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1C33B" w14:textId="7B1B2726" w:rsidR="00FC3F08" w:rsidRPr="00662B68" w:rsidRDefault="00FC3F08" w:rsidP="009C1A18">
      <w:pPr>
        <w:jc w:val="center"/>
        <w:rPr>
          <w:b/>
          <w:bCs/>
          <w:color w:val="222222"/>
          <w:sz w:val="28"/>
          <w:szCs w:val="28"/>
          <w:u w:val="single"/>
        </w:rPr>
      </w:pPr>
      <w:bookmarkStart w:id="0" w:name="_Hlk84496278"/>
      <w:bookmarkStart w:id="1" w:name="_Hlk115432322"/>
      <w:r w:rsidRPr="00662B68">
        <w:rPr>
          <w:b/>
          <w:bCs/>
          <w:color w:val="222222"/>
          <w:sz w:val="28"/>
          <w:szCs w:val="28"/>
          <w:u w:val="single"/>
        </w:rPr>
        <w:t>Supplementary Information</w:t>
      </w:r>
    </w:p>
    <w:p w14:paraId="5BB9C58E" w14:textId="77777777" w:rsidR="008757FF" w:rsidRPr="00662B68" w:rsidRDefault="008757FF" w:rsidP="00662B68">
      <w:pPr>
        <w:jc w:val="center"/>
        <w:rPr>
          <w:b/>
          <w:bCs/>
          <w:color w:val="222222"/>
          <w:sz w:val="28"/>
          <w:szCs w:val="28"/>
          <w:u w:val="single"/>
        </w:rPr>
      </w:pPr>
    </w:p>
    <w:p w14:paraId="64B7C0EA" w14:textId="3E06B660" w:rsidR="00966943" w:rsidRPr="00662B68" w:rsidRDefault="00966943" w:rsidP="00662B68">
      <w:pPr>
        <w:jc w:val="center"/>
        <w:rPr>
          <w:b/>
          <w:bCs/>
          <w:color w:val="222222"/>
          <w:sz w:val="28"/>
          <w:szCs w:val="28"/>
        </w:rPr>
      </w:pPr>
      <w:r w:rsidRPr="00662B68">
        <w:rPr>
          <w:b/>
          <w:bCs/>
          <w:color w:val="222222"/>
          <w:sz w:val="28"/>
          <w:szCs w:val="28"/>
        </w:rPr>
        <w:t xml:space="preserve">Triassic stem caecilian </w:t>
      </w:r>
      <w:r w:rsidR="00004813">
        <w:rPr>
          <w:b/>
          <w:bCs/>
          <w:color w:val="222222"/>
          <w:sz w:val="28"/>
          <w:szCs w:val="28"/>
        </w:rPr>
        <w:t>supports dissorophoid origin of living amphibians</w:t>
      </w:r>
    </w:p>
    <w:p w14:paraId="7870C6DE" w14:textId="77777777" w:rsidR="00966943" w:rsidRPr="00662B68" w:rsidRDefault="00966943" w:rsidP="00662B68">
      <w:pPr>
        <w:jc w:val="center"/>
        <w:rPr>
          <w:color w:val="222222"/>
          <w:sz w:val="28"/>
          <w:szCs w:val="28"/>
        </w:rPr>
      </w:pPr>
    </w:p>
    <w:p w14:paraId="198A2823" w14:textId="403AF4DB" w:rsidR="00966943" w:rsidRPr="00097A21" w:rsidRDefault="00966943" w:rsidP="009C1A18">
      <w:pPr>
        <w:jc w:val="center"/>
        <w:rPr>
          <w:sz w:val="28"/>
          <w:szCs w:val="28"/>
        </w:rPr>
      </w:pPr>
      <w:r w:rsidRPr="00662B68">
        <w:rPr>
          <w:sz w:val="28"/>
          <w:szCs w:val="28"/>
        </w:rPr>
        <w:t xml:space="preserve">Ben T. Kligman, Bryan M. Gee, Adam D. Marsh, </w:t>
      </w:r>
      <w:r w:rsidR="00E51337" w:rsidRPr="00662B68">
        <w:rPr>
          <w:sz w:val="28"/>
          <w:szCs w:val="28"/>
        </w:rPr>
        <w:t>Sterling J. Nesbitt,</w:t>
      </w:r>
      <w:r w:rsidR="00E51337">
        <w:rPr>
          <w:sz w:val="28"/>
          <w:szCs w:val="28"/>
        </w:rPr>
        <w:t xml:space="preserve"> </w:t>
      </w:r>
      <w:r w:rsidRPr="00662B68">
        <w:rPr>
          <w:sz w:val="28"/>
          <w:szCs w:val="28"/>
        </w:rPr>
        <w:t>Matthew E. Smith</w:t>
      </w:r>
      <w:r w:rsidR="00A93BA3">
        <w:rPr>
          <w:sz w:val="28"/>
          <w:szCs w:val="28"/>
        </w:rPr>
        <w:t xml:space="preserve">, </w:t>
      </w:r>
      <w:r w:rsidRPr="00662B68">
        <w:rPr>
          <w:sz w:val="28"/>
          <w:szCs w:val="28"/>
        </w:rPr>
        <w:t>William G. Parker</w:t>
      </w:r>
      <w:r w:rsidR="003E09EE">
        <w:rPr>
          <w:sz w:val="28"/>
          <w:szCs w:val="28"/>
        </w:rPr>
        <w:t xml:space="preserve">, </w:t>
      </w:r>
      <w:r w:rsidR="003E09EE" w:rsidRPr="00662B68">
        <w:rPr>
          <w:sz w:val="28"/>
          <w:szCs w:val="28"/>
        </w:rPr>
        <w:t>Michelle R. Stocker</w:t>
      </w:r>
    </w:p>
    <w:p w14:paraId="42924E85" w14:textId="77777777" w:rsidR="008757FF" w:rsidRPr="00662B68" w:rsidRDefault="008757FF" w:rsidP="00662B68">
      <w:pPr>
        <w:jc w:val="center"/>
        <w:rPr>
          <w:sz w:val="28"/>
          <w:szCs w:val="28"/>
        </w:rPr>
      </w:pPr>
    </w:p>
    <w:p w14:paraId="300EFFCE" w14:textId="1CAE5F60" w:rsidR="008757FF" w:rsidRPr="00662B68" w:rsidRDefault="00DE4588" w:rsidP="00662B68">
      <w:pPr>
        <w:rPr>
          <w:b/>
          <w:bCs/>
          <w:color w:val="222222"/>
          <w:sz w:val="28"/>
          <w:szCs w:val="28"/>
        </w:rPr>
      </w:pPr>
      <w:r>
        <w:rPr>
          <w:b/>
          <w:bCs/>
          <w:color w:val="222222"/>
          <w:sz w:val="28"/>
          <w:szCs w:val="28"/>
        </w:rPr>
        <w:t xml:space="preserve">Table of </w:t>
      </w:r>
      <w:r w:rsidR="000C3C36" w:rsidRPr="00662B68">
        <w:rPr>
          <w:b/>
          <w:bCs/>
          <w:color w:val="222222"/>
          <w:sz w:val="28"/>
          <w:szCs w:val="28"/>
        </w:rPr>
        <w:t>Contents</w:t>
      </w:r>
    </w:p>
    <w:bookmarkEnd w:id="0"/>
    <w:p w14:paraId="32AA20EE" w14:textId="43BE15EA" w:rsidR="000C3C36" w:rsidRPr="00662B68" w:rsidRDefault="000C3C36" w:rsidP="00662B68">
      <w:pPr>
        <w:rPr>
          <w:b/>
          <w:bCs/>
          <w:color w:val="222222"/>
          <w:sz w:val="28"/>
          <w:szCs w:val="28"/>
        </w:rPr>
      </w:pPr>
    </w:p>
    <w:p w14:paraId="59E174A6" w14:textId="72A56D33" w:rsidR="008757FF" w:rsidRPr="002F1EA6" w:rsidRDefault="008757FF" w:rsidP="005621A5">
      <w:pPr>
        <w:pStyle w:val="ListParagraph"/>
        <w:rPr>
          <w:rFonts w:ascii="Times New Roman" w:eastAsia="Times New Roman" w:hAnsi="Times New Roman" w:cs="Times New Roman"/>
          <w:color w:val="222222"/>
        </w:rPr>
      </w:pPr>
    </w:p>
    <w:p w14:paraId="6DB96FDA" w14:textId="5BBF50FB" w:rsidR="008757FF" w:rsidRPr="00662B68" w:rsidRDefault="008876BA" w:rsidP="00662B68">
      <w:pPr>
        <w:pStyle w:val="ListParagraph"/>
        <w:numPr>
          <w:ilvl w:val="0"/>
          <w:numId w:val="1"/>
        </w:numPr>
        <w:rPr>
          <w:rFonts w:ascii="Times New Roman" w:eastAsia="Times New Roman" w:hAnsi="Times New Roman" w:cs="Times New Roman"/>
          <w:b/>
          <w:bCs/>
          <w:color w:val="222222"/>
        </w:rPr>
      </w:pPr>
      <w:r w:rsidRPr="00001691">
        <w:rPr>
          <w:rFonts w:ascii="Times New Roman" w:eastAsia="Times New Roman" w:hAnsi="Times New Roman" w:cs="Times New Roman"/>
          <w:b/>
          <w:bCs/>
          <w:color w:val="222222"/>
        </w:rPr>
        <w:t xml:space="preserve">Complete list of material assigned to </w:t>
      </w:r>
      <w:r w:rsidRPr="00662B68">
        <w:rPr>
          <w:rFonts w:ascii="Times New Roman" w:eastAsia="Times New Roman" w:hAnsi="Times New Roman" w:cs="Times New Roman"/>
          <w:b/>
          <w:bCs/>
          <w:i/>
          <w:iCs/>
          <w:color w:val="222222"/>
        </w:rPr>
        <w:t>Funcusvermis gilmorei</w:t>
      </w:r>
      <w:r w:rsidR="00DE4588" w:rsidRPr="002F1EA6">
        <w:rPr>
          <w:rFonts w:ascii="Times New Roman" w:eastAsia="Times New Roman" w:hAnsi="Times New Roman" w:cs="Times New Roman"/>
          <w:i/>
          <w:iCs/>
          <w:color w:val="222222"/>
        </w:rPr>
        <w:t xml:space="preserve"> </w:t>
      </w:r>
      <w:r w:rsidR="00DE4588" w:rsidRPr="002F1EA6">
        <w:rPr>
          <w:rFonts w:ascii="Times New Roman" w:eastAsia="Times New Roman" w:hAnsi="Times New Roman" w:cs="Times New Roman"/>
          <w:color w:val="222222"/>
        </w:rPr>
        <w:t>[p</w:t>
      </w:r>
      <w:r w:rsidR="00645185">
        <w:rPr>
          <w:rFonts w:ascii="Times New Roman" w:eastAsia="Times New Roman" w:hAnsi="Times New Roman" w:cs="Times New Roman"/>
          <w:color w:val="222222"/>
        </w:rPr>
        <w:t>p</w:t>
      </w:r>
      <w:r w:rsidR="00DE4588" w:rsidRPr="002F1EA6">
        <w:rPr>
          <w:rFonts w:ascii="Times New Roman" w:eastAsia="Times New Roman" w:hAnsi="Times New Roman" w:cs="Times New Roman"/>
          <w:color w:val="222222"/>
        </w:rPr>
        <w:t xml:space="preserve">. </w:t>
      </w:r>
      <w:r w:rsidR="00EA65E2">
        <w:rPr>
          <w:rFonts w:ascii="Times New Roman" w:eastAsia="Times New Roman" w:hAnsi="Times New Roman" w:cs="Times New Roman"/>
          <w:color w:val="222222"/>
        </w:rPr>
        <w:t>2</w:t>
      </w:r>
      <w:r w:rsidR="003E4840" w:rsidRPr="002F1EA6">
        <w:rPr>
          <w:rFonts w:ascii="Times New Roman" w:eastAsia="Times New Roman" w:hAnsi="Times New Roman" w:cs="Times New Roman" w:hint="eastAsia"/>
          <w:color w:val="222222"/>
        </w:rPr>
        <w:t>–</w:t>
      </w:r>
      <w:r w:rsidR="00EA65E2">
        <w:rPr>
          <w:rFonts w:ascii="Times New Roman" w:eastAsia="Times New Roman" w:hAnsi="Times New Roman" w:cs="Times New Roman"/>
          <w:color w:val="222222"/>
        </w:rPr>
        <w:t>3</w:t>
      </w:r>
      <w:r w:rsidR="00DE4588" w:rsidRPr="002F1EA6">
        <w:rPr>
          <w:rFonts w:ascii="Times New Roman" w:eastAsia="Times New Roman" w:hAnsi="Times New Roman" w:cs="Times New Roman"/>
          <w:color w:val="222222"/>
        </w:rPr>
        <w:t>]</w:t>
      </w:r>
    </w:p>
    <w:p w14:paraId="344FDDF7" w14:textId="05AC24DA" w:rsidR="008757FF" w:rsidRPr="002F1EA6" w:rsidRDefault="00FC3F08" w:rsidP="00662B68">
      <w:pPr>
        <w:pStyle w:val="ListParagraph"/>
        <w:numPr>
          <w:ilvl w:val="0"/>
          <w:numId w:val="1"/>
        </w:numPr>
        <w:rPr>
          <w:rFonts w:ascii="Times New Roman" w:eastAsia="Times New Roman" w:hAnsi="Times New Roman" w:cs="Times New Roman"/>
          <w:color w:val="222222"/>
        </w:rPr>
      </w:pPr>
      <w:r w:rsidRPr="00001691">
        <w:rPr>
          <w:rFonts w:ascii="Times New Roman" w:eastAsia="Times New Roman" w:hAnsi="Times New Roman" w:cs="Times New Roman"/>
          <w:b/>
          <w:bCs/>
          <w:color w:val="222222"/>
        </w:rPr>
        <w:t xml:space="preserve">Expanded description of </w:t>
      </w:r>
      <w:r w:rsidRPr="00662B68">
        <w:rPr>
          <w:rFonts w:ascii="Times New Roman" w:eastAsia="Times New Roman" w:hAnsi="Times New Roman" w:cs="Times New Roman"/>
          <w:b/>
          <w:bCs/>
          <w:i/>
          <w:iCs/>
          <w:color w:val="222222"/>
        </w:rPr>
        <w:t>Funcusvermis gilmorei</w:t>
      </w:r>
      <w:r w:rsidR="00DE4588">
        <w:rPr>
          <w:rFonts w:ascii="Times New Roman" w:eastAsia="Times New Roman" w:hAnsi="Times New Roman" w:cs="Times New Roman"/>
          <w:b/>
          <w:bCs/>
          <w:i/>
          <w:iCs/>
          <w:color w:val="222222"/>
        </w:rPr>
        <w:t xml:space="preserve"> </w:t>
      </w:r>
      <w:r w:rsidR="00DE4588" w:rsidRPr="002F1EA6">
        <w:rPr>
          <w:rFonts w:ascii="Times New Roman" w:eastAsia="Times New Roman" w:hAnsi="Times New Roman" w:cs="Times New Roman"/>
          <w:color w:val="222222"/>
        </w:rPr>
        <w:t>[p</w:t>
      </w:r>
      <w:r w:rsidR="00645185">
        <w:rPr>
          <w:rFonts w:ascii="Times New Roman" w:eastAsia="Times New Roman" w:hAnsi="Times New Roman" w:cs="Times New Roman"/>
          <w:color w:val="222222"/>
        </w:rPr>
        <w:t>p</w:t>
      </w:r>
      <w:r w:rsidR="00DE4588" w:rsidRPr="002F1EA6">
        <w:rPr>
          <w:rFonts w:ascii="Times New Roman" w:eastAsia="Times New Roman" w:hAnsi="Times New Roman" w:cs="Times New Roman"/>
          <w:color w:val="222222"/>
        </w:rPr>
        <w:t xml:space="preserve">. </w:t>
      </w:r>
      <w:r w:rsidR="00EA65E2">
        <w:rPr>
          <w:rFonts w:ascii="Times New Roman" w:eastAsia="Times New Roman" w:hAnsi="Times New Roman" w:cs="Times New Roman"/>
          <w:color w:val="222222"/>
        </w:rPr>
        <w:t>3</w:t>
      </w:r>
      <w:r w:rsidR="003E4840" w:rsidRPr="002F1EA6">
        <w:rPr>
          <w:rFonts w:ascii="Times New Roman" w:eastAsia="Times New Roman" w:hAnsi="Times New Roman" w:cs="Times New Roman" w:hint="eastAsia"/>
          <w:color w:val="222222"/>
        </w:rPr>
        <w:t>–</w:t>
      </w:r>
      <w:r w:rsidR="00645185">
        <w:rPr>
          <w:rFonts w:ascii="Times New Roman" w:eastAsia="Times New Roman" w:hAnsi="Times New Roman" w:cs="Times New Roman"/>
          <w:color w:val="222222"/>
        </w:rPr>
        <w:t>17</w:t>
      </w:r>
      <w:r w:rsidR="00DE4588" w:rsidRPr="002F1EA6">
        <w:rPr>
          <w:rFonts w:ascii="Times New Roman" w:eastAsia="Times New Roman" w:hAnsi="Times New Roman" w:cs="Times New Roman"/>
          <w:color w:val="222222"/>
        </w:rPr>
        <w:t>]</w:t>
      </w:r>
    </w:p>
    <w:p w14:paraId="24CC3D7B" w14:textId="29417192" w:rsidR="008757FF" w:rsidRPr="00662B68" w:rsidRDefault="001C3881" w:rsidP="00662B68">
      <w:pPr>
        <w:pStyle w:val="ListParagraph"/>
        <w:numPr>
          <w:ilvl w:val="0"/>
          <w:numId w:val="1"/>
        </w:numPr>
        <w:rPr>
          <w:rFonts w:ascii="Times New Roman" w:hAnsi="Times New Roman" w:cs="Times New Roman"/>
          <w:b/>
          <w:bCs/>
          <w:color w:val="000000" w:themeColor="text1"/>
        </w:rPr>
      </w:pPr>
      <w:r w:rsidRPr="00662B68">
        <w:rPr>
          <w:rFonts w:ascii="Times New Roman" w:hAnsi="Times New Roman" w:cs="Times New Roman"/>
          <w:b/>
          <w:bCs/>
          <w:color w:val="000000" w:themeColor="text1"/>
        </w:rPr>
        <w:t xml:space="preserve">Comparisons to stereospondyl temnospondyls and </w:t>
      </w:r>
      <w:r w:rsidRPr="00662B68">
        <w:rPr>
          <w:rFonts w:ascii="Times New Roman" w:hAnsi="Times New Roman" w:cs="Times New Roman"/>
          <w:b/>
          <w:bCs/>
          <w:i/>
          <w:iCs/>
          <w:color w:val="000000" w:themeColor="text1"/>
        </w:rPr>
        <w:t>Chinlestegophis jenkinsi</w:t>
      </w:r>
      <w:r w:rsidR="00DE4588">
        <w:rPr>
          <w:rFonts w:ascii="Times New Roman" w:hAnsi="Times New Roman" w:cs="Times New Roman"/>
          <w:b/>
          <w:bCs/>
          <w:i/>
          <w:iCs/>
          <w:color w:val="000000" w:themeColor="text1"/>
        </w:rPr>
        <w:t xml:space="preserve"> </w:t>
      </w:r>
      <w:bookmarkStart w:id="2" w:name="_Hlk98859673"/>
      <w:r w:rsidR="00DE4588" w:rsidRPr="002F1EA6">
        <w:rPr>
          <w:rFonts w:ascii="Times New Roman" w:eastAsia="Times New Roman" w:hAnsi="Times New Roman" w:cs="Times New Roman"/>
          <w:color w:val="222222"/>
        </w:rPr>
        <w:t>[p</w:t>
      </w:r>
      <w:r w:rsidR="00645185">
        <w:rPr>
          <w:rFonts w:ascii="Times New Roman" w:eastAsia="Times New Roman" w:hAnsi="Times New Roman" w:cs="Times New Roman"/>
          <w:color w:val="222222"/>
        </w:rPr>
        <w:t>p</w:t>
      </w:r>
      <w:r w:rsidR="00DE4588" w:rsidRPr="002F1EA6">
        <w:rPr>
          <w:rFonts w:ascii="Times New Roman" w:eastAsia="Times New Roman" w:hAnsi="Times New Roman" w:cs="Times New Roman"/>
          <w:color w:val="222222"/>
        </w:rPr>
        <w:t xml:space="preserve">. </w:t>
      </w:r>
      <w:r w:rsidR="00645185">
        <w:rPr>
          <w:rFonts w:ascii="Times New Roman" w:eastAsia="Times New Roman" w:hAnsi="Times New Roman" w:cs="Times New Roman"/>
          <w:color w:val="222222"/>
        </w:rPr>
        <w:t>18</w:t>
      </w:r>
      <w:r w:rsidR="003E4840" w:rsidRPr="002F1EA6">
        <w:rPr>
          <w:rFonts w:ascii="Times New Roman" w:eastAsia="Times New Roman" w:hAnsi="Times New Roman" w:cs="Times New Roman" w:hint="eastAsia"/>
          <w:color w:val="222222"/>
        </w:rPr>
        <w:t>–</w:t>
      </w:r>
      <w:r w:rsidR="00505262">
        <w:rPr>
          <w:rFonts w:ascii="Times New Roman" w:eastAsia="Times New Roman" w:hAnsi="Times New Roman" w:cs="Times New Roman"/>
          <w:color w:val="222222"/>
        </w:rPr>
        <w:tab/>
      </w:r>
      <w:r w:rsidR="00645185">
        <w:rPr>
          <w:rFonts w:ascii="Times New Roman" w:eastAsia="Times New Roman" w:hAnsi="Times New Roman" w:cs="Times New Roman"/>
          <w:color w:val="222222"/>
        </w:rPr>
        <w:t>32</w:t>
      </w:r>
      <w:r w:rsidR="00DE4588" w:rsidRPr="002F1EA6">
        <w:rPr>
          <w:rFonts w:ascii="Times New Roman" w:eastAsia="Times New Roman" w:hAnsi="Times New Roman" w:cs="Times New Roman"/>
          <w:color w:val="222222"/>
        </w:rPr>
        <w:t>]</w:t>
      </w:r>
    </w:p>
    <w:bookmarkEnd w:id="2"/>
    <w:p w14:paraId="56FBB31C" w14:textId="3ACEC842" w:rsidR="008757FF" w:rsidRPr="002F1EA6" w:rsidRDefault="00B83F4A" w:rsidP="00662B68">
      <w:pPr>
        <w:pStyle w:val="ListParagraph"/>
        <w:numPr>
          <w:ilvl w:val="0"/>
          <w:numId w:val="1"/>
        </w:numPr>
        <w:rPr>
          <w:rFonts w:ascii="Times New Roman" w:eastAsia="Times New Roman" w:hAnsi="Times New Roman" w:cs="Times New Roman"/>
          <w:color w:val="222222"/>
        </w:rPr>
      </w:pPr>
      <w:r w:rsidRPr="00001691">
        <w:rPr>
          <w:rFonts w:ascii="Times New Roman" w:eastAsia="Times New Roman" w:hAnsi="Times New Roman" w:cs="Times New Roman"/>
          <w:b/>
          <w:bCs/>
          <w:color w:val="222222"/>
        </w:rPr>
        <w:t>Revision</w:t>
      </w:r>
      <w:r w:rsidR="00E84964">
        <w:rPr>
          <w:rFonts w:ascii="Times New Roman" w:eastAsia="Times New Roman" w:hAnsi="Times New Roman" w:cs="Times New Roman"/>
          <w:b/>
          <w:bCs/>
          <w:color w:val="222222"/>
        </w:rPr>
        <w:t xml:space="preserve">s </w:t>
      </w:r>
      <w:r w:rsidR="0020700D">
        <w:rPr>
          <w:rFonts w:ascii="Times New Roman" w:eastAsia="Times New Roman" w:hAnsi="Times New Roman" w:cs="Times New Roman"/>
          <w:b/>
          <w:bCs/>
          <w:color w:val="222222"/>
        </w:rPr>
        <w:t xml:space="preserve">and additions </w:t>
      </w:r>
      <w:r w:rsidR="00E84964">
        <w:rPr>
          <w:rFonts w:ascii="Times New Roman" w:eastAsia="Times New Roman" w:hAnsi="Times New Roman" w:cs="Times New Roman"/>
          <w:b/>
          <w:bCs/>
          <w:color w:val="222222"/>
        </w:rPr>
        <w:t>to</w:t>
      </w:r>
      <w:r w:rsidRPr="00001691">
        <w:rPr>
          <w:rFonts w:ascii="Times New Roman" w:eastAsia="Times New Roman" w:hAnsi="Times New Roman" w:cs="Times New Roman"/>
          <w:b/>
          <w:bCs/>
          <w:color w:val="222222"/>
        </w:rPr>
        <w:t xml:space="preserve"> phylogenetic dataset</w:t>
      </w:r>
      <w:r w:rsidR="00DE4588">
        <w:rPr>
          <w:rFonts w:ascii="Times New Roman" w:eastAsia="Times New Roman" w:hAnsi="Times New Roman" w:cs="Times New Roman"/>
          <w:b/>
          <w:bCs/>
          <w:color w:val="222222"/>
        </w:rPr>
        <w:t xml:space="preserve"> </w:t>
      </w:r>
      <w:r w:rsidR="00DE4588" w:rsidRPr="002F1EA6">
        <w:rPr>
          <w:rFonts w:ascii="Times New Roman" w:eastAsia="Times New Roman" w:hAnsi="Times New Roman" w:cs="Times New Roman"/>
          <w:color w:val="222222"/>
        </w:rPr>
        <w:t>[p</w:t>
      </w:r>
      <w:r w:rsidR="00645185">
        <w:rPr>
          <w:rFonts w:ascii="Times New Roman" w:eastAsia="Times New Roman" w:hAnsi="Times New Roman" w:cs="Times New Roman"/>
          <w:color w:val="222222"/>
        </w:rPr>
        <w:t>p</w:t>
      </w:r>
      <w:r w:rsidR="00DE4588" w:rsidRPr="002F1EA6">
        <w:rPr>
          <w:rFonts w:ascii="Times New Roman" w:eastAsia="Times New Roman" w:hAnsi="Times New Roman" w:cs="Times New Roman"/>
          <w:color w:val="222222"/>
        </w:rPr>
        <w:t xml:space="preserve">. </w:t>
      </w:r>
      <w:r w:rsidR="00645185">
        <w:rPr>
          <w:rFonts w:ascii="Times New Roman" w:eastAsia="Times New Roman" w:hAnsi="Times New Roman" w:cs="Times New Roman"/>
          <w:color w:val="222222"/>
        </w:rPr>
        <w:t>33</w:t>
      </w:r>
      <w:r w:rsidR="003E4840" w:rsidRPr="002F1EA6">
        <w:rPr>
          <w:rFonts w:ascii="Times New Roman" w:eastAsia="Times New Roman" w:hAnsi="Times New Roman" w:cs="Times New Roman" w:hint="eastAsia"/>
          <w:color w:val="222222"/>
        </w:rPr>
        <w:t>–</w:t>
      </w:r>
      <w:r w:rsidR="00645185">
        <w:rPr>
          <w:rFonts w:ascii="Times New Roman" w:eastAsia="Times New Roman" w:hAnsi="Times New Roman" w:cs="Times New Roman"/>
          <w:color w:val="222222"/>
        </w:rPr>
        <w:t>106</w:t>
      </w:r>
      <w:r w:rsidR="00DE4588" w:rsidRPr="002F1EA6">
        <w:rPr>
          <w:rFonts w:ascii="Times New Roman" w:eastAsia="Times New Roman" w:hAnsi="Times New Roman" w:cs="Times New Roman"/>
          <w:color w:val="222222"/>
        </w:rPr>
        <w:t>]</w:t>
      </w:r>
    </w:p>
    <w:p w14:paraId="47089AD8" w14:textId="126B2722" w:rsidR="008757FF" w:rsidRPr="002F1EA6" w:rsidRDefault="00FC3F08" w:rsidP="002F1EA6">
      <w:pPr>
        <w:pStyle w:val="ListParagraph"/>
        <w:numPr>
          <w:ilvl w:val="0"/>
          <w:numId w:val="1"/>
        </w:numPr>
        <w:rPr>
          <w:b/>
          <w:bCs/>
          <w:color w:val="222222"/>
        </w:rPr>
      </w:pPr>
      <w:r w:rsidRPr="00001691">
        <w:rPr>
          <w:rFonts w:ascii="Times New Roman" w:eastAsia="Times New Roman" w:hAnsi="Times New Roman" w:cs="Times New Roman"/>
          <w:b/>
          <w:bCs/>
          <w:color w:val="222222"/>
        </w:rPr>
        <w:t>Supplementary Tables</w:t>
      </w:r>
      <w:r w:rsidR="00DE4588">
        <w:rPr>
          <w:rFonts w:ascii="Times New Roman" w:eastAsia="Times New Roman" w:hAnsi="Times New Roman" w:cs="Times New Roman"/>
          <w:b/>
          <w:bCs/>
          <w:color w:val="222222"/>
        </w:rPr>
        <w:t xml:space="preserve"> </w:t>
      </w:r>
      <w:r w:rsidR="00DE4588" w:rsidRPr="002F1EA6">
        <w:rPr>
          <w:rFonts w:ascii="Times New Roman" w:eastAsia="Times New Roman" w:hAnsi="Times New Roman" w:cs="Times New Roman"/>
          <w:color w:val="222222"/>
        </w:rPr>
        <w:t>[p</w:t>
      </w:r>
      <w:r w:rsidR="00645185">
        <w:rPr>
          <w:rFonts w:ascii="Times New Roman" w:eastAsia="Times New Roman" w:hAnsi="Times New Roman" w:cs="Times New Roman"/>
          <w:color w:val="222222"/>
        </w:rPr>
        <w:t>p</w:t>
      </w:r>
      <w:r w:rsidR="00DE4588" w:rsidRPr="002F1EA6">
        <w:rPr>
          <w:rFonts w:ascii="Times New Roman" w:eastAsia="Times New Roman" w:hAnsi="Times New Roman" w:cs="Times New Roman"/>
          <w:color w:val="222222"/>
        </w:rPr>
        <w:t xml:space="preserve">. </w:t>
      </w:r>
      <w:r w:rsidR="00645185">
        <w:rPr>
          <w:rFonts w:ascii="Times New Roman" w:eastAsia="Times New Roman" w:hAnsi="Times New Roman" w:cs="Times New Roman"/>
          <w:color w:val="222222"/>
        </w:rPr>
        <w:t>10</w:t>
      </w:r>
      <w:r w:rsidR="00931AF4">
        <w:rPr>
          <w:rFonts w:ascii="Times New Roman" w:eastAsia="Times New Roman" w:hAnsi="Times New Roman" w:cs="Times New Roman"/>
          <w:color w:val="222222"/>
        </w:rPr>
        <w:t>8</w:t>
      </w:r>
      <w:r w:rsidR="003E4840" w:rsidRPr="002F1EA6">
        <w:rPr>
          <w:rFonts w:ascii="Times New Roman" w:eastAsia="Times New Roman" w:hAnsi="Times New Roman" w:cs="Times New Roman" w:hint="eastAsia"/>
          <w:color w:val="222222"/>
        </w:rPr>
        <w:t>–</w:t>
      </w:r>
      <w:r w:rsidR="00645185">
        <w:rPr>
          <w:rFonts w:ascii="Times New Roman" w:eastAsia="Times New Roman" w:hAnsi="Times New Roman" w:cs="Times New Roman"/>
          <w:color w:val="222222"/>
        </w:rPr>
        <w:t>11</w:t>
      </w:r>
      <w:r w:rsidR="00931AF4">
        <w:rPr>
          <w:rFonts w:ascii="Times New Roman" w:eastAsia="Times New Roman" w:hAnsi="Times New Roman" w:cs="Times New Roman"/>
          <w:color w:val="222222"/>
        </w:rPr>
        <w:t>6</w:t>
      </w:r>
      <w:r w:rsidR="00DE4588" w:rsidRPr="002F1EA6">
        <w:rPr>
          <w:rFonts w:ascii="Times New Roman" w:eastAsia="Times New Roman" w:hAnsi="Times New Roman" w:cs="Times New Roman"/>
          <w:color w:val="222222"/>
        </w:rPr>
        <w:t>]</w:t>
      </w:r>
    </w:p>
    <w:p w14:paraId="7F5324D6" w14:textId="359B6174" w:rsidR="00921BA1" w:rsidRPr="00001691" w:rsidRDefault="001C3881" w:rsidP="009C1A18">
      <w:pPr>
        <w:ind w:left="720" w:firstLine="720"/>
        <w:rPr>
          <w:b/>
          <w:bCs/>
          <w:color w:val="222222"/>
        </w:rPr>
      </w:pPr>
      <w:r w:rsidRPr="00001691">
        <w:rPr>
          <w:b/>
          <w:bCs/>
          <w:color w:val="222222"/>
        </w:rPr>
        <w:t>1</w:t>
      </w:r>
      <w:r w:rsidR="003E4840">
        <w:rPr>
          <w:b/>
          <w:bCs/>
          <w:color w:val="222222"/>
        </w:rPr>
        <w:t>.</w:t>
      </w:r>
      <w:r w:rsidRPr="00001691">
        <w:rPr>
          <w:b/>
          <w:bCs/>
          <w:color w:val="222222"/>
        </w:rPr>
        <w:t xml:space="preserve"> </w:t>
      </w:r>
      <w:r w:rsidR="00921BA1">
        <w:rPr>
          <w:b/>
          <w:bCs/>
          <w:color w:val="222222"/>
        </w:rPr>
        <w:t>Adductor fossa to pseudoangular length ratios</w:t>
      </w:r>
      <w:r w:rsidR="00DE4588">
        <w:rPr>
          <w:b/>
          <w:bCs/>
          <w:color w:val="222222"/>
        </w:rPr>
        <w:t xml:space="preserve"> </w:t>
      </w:r>
      <w:r w:rsidR="00DE4588" w:rsidRPr="002F1EA6">
        <w:rPr>
          <w:color w:val="222222"/>
        </w:rPr>
        <w:t xml:space="preserve">[p. </w:t>
      </w:r>
      <w:r w:rsidR="00645185">
        <w:rPr>
          <w:color w:val="222222"/>
        </w:rPr>
        <w:t>10</w:t>
      </w:r>
      <w:r w:rsidR="00931AF4">
        <w:rPr>
          <w:color w:val="222222"/>
        </w:rPr>
        <w:t>8</w:t>
      </w:r>
      <w:r w:rsidR="00DE4588" w:rsidRPr="002F1EA6">
        <w:rPr>
          <w:color w:val="222222"/>
        </w:rPr>
        <w:t>]</w:t>
      </w:r>
    </w:p>
    <w:p w14:paraId="76E737AE" w14:textId="4AC5DA82" w:rsidR="00070137" w:rsidRPr="00662B68" w:rsidRDefault="00001691" w:rsidP="003E4840">
      <w:pPr>
        <w:ind w:left="1440"/>
        <w:rPr>
          <w:b/>
          <w:bCs/>
          <w:color w:val="222222"/>
        </w:rPr>
      </w:pPr>
      <w:r w:rsidRPr="00001691">
        <w:rPr>
          <w:b/>
          <w:bCs/>
          <w:color w:val="222222"/>
        </w:rPr>
        <w:t>2</w:t>
      </w:r>
      <w:r w:rsidR="003E4840">
        <w:rPr>
          <w:b/>
          <w:bCs/>
          <w:color w:val="222222"/>
        </w:rPr>
        <w:t>.</w:t>
      </w:r>
      <w:r w:rsidRPr="00001691">
        <w:rPr>
          <w:b/>
          <w:bCs/>
          <w:color w:val="222222"/>
        </w:rPr>
        <w:t xml:space="preserve"> </w:t>
      </w:r>
      <w:r w:rsidR="00921BA1">
        <w:rPr>
          <w:b/>
          <w:bCs/>
          <w:color w:val="222222"/>
        </w:rPr>
        <w:t>Fossil g</w:t>
      </w:r>
      <w:r w:rsidR="00921BA1" w:rsidRPr="00286C82">
        <w:rPr>
          <w:b/>
          <w:bCs/>
          <w:color w:val="222222"/>
        </w:rPr>
        <w:t xml:space="preserve">ymnophionomorph </w:t>
      </w:r>
      <w:r w:rsidR="00921BA1">
        <w:rPr>
          <w:b/>
          <w:bCs/>
          <w:color w:val="222222"/>
        </w:rPr>
        <w:t>o</w:t>
      </w:r>
      <w:r w:rsidR="00921BA1" w:rsidRPr="00286C82">
        <w:rPr>
          <w:b/>
          <w:bCs/>
          <w:color w:val="222222"/>
        </w:rPr>
        <w:t>ccurrence</w:t>
      </w:r>
      <w:r w:rsidR="00921BA1">
        <w:rPr>
          <w:b/>
          <w:bCs/>
          <w:color w:val="222222"/>
        </w:rPr>
        <w:t xml:space="preserve"> data</w:t>
      </w:r>
      <w:r w:rsidR="00DE4588">
        <w:rPr>
          <w:b/>
          <w:bCs/>
          <w:color w:val="222222"/>
        </w:rPr>
        <w:t xml:space="preserve"> </w:t>
      </w:r>
      <w:r w:rsidR="00DE4588" w:rsidRPr="002F1EA6">
        <w:rPr>
          <w:color w:val="222222"/>
        </w:rPr>
        <w:t xml:space="preserve">[p. </w:t>
      </w:r>
      <w:r w:rsidR="00645185">
        <w:rPr>
          <w:color w:val="222222"/>
        </w:rPr>
        <w:t>10</w:t>
      </w:r>
      <w:r w:rsidR="00931AF4">
        <w:rPr>
          <w:color w:val="222222"/>
        </w:rPr>
        <w:t>9</w:t>
      </w:r>
      <w:r w:rsidR="00DE4588" w:rsidRPr="002F1EA6">
        <w:rPr>
          <w:color w:val="222222"/>
        </w:rPr>
        <w:t>]</w:t>
      </w:r>
    </w:p>
    <w:p w14:paraId="68FD5927" w14:textId="27AA2C44" w:rsidR="00070137" w:rsidRPr="00001691" w:rsidRDefault="00001691" w:rsidP="003E4840">
      <w:pPr>
        <w:ind w:left="720" w:firstLine="720"/>
        <w:rPr>
          <w:b/>
          <w:bCs/>
          <w:color w:val="222222"/>
        </w:rPr>
      </w:pPr>
      <w:r w:rsidRPr="00001691">
        <w:rPr>
          <w:b/>
          <w:bCs/>
          <w:color w:val="222222"/>
        </w:rPr>
        <w:t>3</w:t>
      </w:r>
      <w:r w:rsidR="003E4840">
        <w:rPr>
          <w:b/>
          <w:bCs/>
          <w:color w:val="222222"/>
        </w:rPr>
        <w:t>.</w:t>
      </w:r>
      <w:r w:rsidR="00FC3F08" w:rsidRPr="00001691">
        <w:rPr>
          <w:b/>
          <w:bCs/>
          <w:color w:val="222222"/>
        </w:rPr>
        <w:t xml:space="preserve"> </w:t>
      </w:r>
      <w:r w:rsidR="00921BA1">
        <w:rPr>
          <w:b/>
          <w:bCs/>
          <w:color w:val="222222"/>
        </w:rPr>
        <w:t>Triassic batrachian occurrenc</w:t>
      </w:r>
      <w:r w:rsidR="00DE4588">
        <w:rPr>
          <w:b/>
          <w:bCs/>
          <w:color w:val="222222"/>
        </w:rPr>
        <w:t xml:space="preserve">e data </w:t>
      </w:r>
      <w:r w:rsidR="00DE4588" w:rsidRPr="002F1EA6">
        <w:rPr>
          <w:color w:val="222222"/>
        </w:rPr>
        <w:t xml:space="preserve">[p. </w:t>
      </w:r>
      <w:r w:rsidR="00645185">
        <w:rPr>
          <w:color w:val="222222"/>
        </w:rPr>
        <w:t>1</w:t>
      </w:r>
      <w:r w:rsidR="00931AF4">
        <w:rPr>
          <w:color w:val="222222"/>
        </w:rPr>
        <w:t>10</w:t>
      </w:r>
      <w:r w:rsidR="00DE4588" w:rsidRPr="002F1EA6">
        <w:rPr>
          <w:color w:val="222222"/>
        </w:rPr>
        <w:t>]</w:t>
      </w:r>
    </w:p>
    <w:p w14:paraId="56260EB2" w14:textId="7FBE6C6F" w:rsidR="00070137" w:rsidRPr="00001691" w:rsidRDefault="00001691" w:rsidP="00662B68">
      <w:pPr>
        <w:ind w:left="720" w:firstLine="720"/>
        <w:rPr>
          <w:b/>
          <w:bCs/>
          <w:color w:val="222222"/>
        </w:rPr>
      </w:pPr>
      <w:r w:rsidRPr="00001691">
        <w:rPr>
          <w:b/>
          <w:bCs/>
          <w:color w:val="222222"/>
        </w:rPr>
        <w:t>4</w:t>
      </w:r>
      <w:r w:rsidR="003E4840">
        <w:rPr>
          <w:b/>
          <w:bCs/>
          <w:color w:val="222222"/>
        </w:rPr>
        <w:t>.</w:t>
      </w:r>
      <w:r w:rsidR="00FC3F08" w:rsidRPr="00001691">
        <w:rPr>
          <w:b/>
          <w:bCs/>
          <w:color w:val="222222"/>
        </w:rPr>
        <w:t xml:space="preserve"> </w:t>
      </w:r>
      <w:r w:rsidR="00921BA1" w:rsidRPr="00062F7E">
        <w:rPr>
          <w:b/>
          <w:bCs/>
          <w:color w:val="222222"/>
        </w:rPr>
        <w:t xml:space="preserve">Molecular clock estimates of </w:t>
      </w:r>
      <w:r w:rsidR="00921BA1">
        <w:rPr>
          <w:b/>
          <w:bCs/>
          <w:color w:val="222222"/>
        </w:rPr>
        <w:t>G</w:t>
      </w:r>
      <w:r w:rsidR="00921BA1" w:rsidRPr="00062F7E">
        <w:rPr>
          <w:b/>
          <w:bCs/>
          <w:color w:val="222222"/>
        </w:rPr>
        <w:t>ymnophionomorph</w:t>
      </w:r>
      <w:r w:rsidR="00921BA1">
        <w:rPr>
          <w:b/>
          <w:bCs/>
          <w:color w:val="222222"/>
        </w:rPr>
        <w:t>a</w:t>
      </w:r>
      <w:r w:rsidR="00921BA1" w:rsidRPr="00062F7E">
        <w:rPr>
          <w:b/>
          <w:bCs/>
          <w:color w:val="222222"/>
        </w:rPr>
        <w:t>-</w:t>
      </w:r>
      <w:r w:rsidR="00921BA1">
        <w:rPr>
          <w:b/>
          <w:bCs/>
          <w:color w:val="222222"/>
        </w:rPr>
        <w:t>B</w:t>
      </w:r>
      <w:r w:rsidR="00921BA1" w:rsidRPr="00062F7E">
        <w:rPr>
          <w:b/>
          <w:bCs/>
          <w:color w:val="222222"/>
        </w:rPr>
        <w:t>atrachia divergence</w:t>
      </w:r>
      <w:r w:rsidR="00921BA1">
        <w:rPr>
          <w:b/>
          <w:bCs/>
          <w:color w:val="222222"/>
        </w:rPr>
        <w:t xml:space="preserve"> </w:t>
      </w:r>
      <w:r w:rsidR="004110FB">
        <w:rPr>
          <w:b/>
          <w:bCs/>
          <w:color w:val="222222"/>
        </w:rPr>
        <w:tab/>
      </w:r>
      <w:r w:rsidR="004110FB">
        <w:rPr>
          <w:b/>
          <w:bCs/>
          <w:color w:val="222222"/>
        </w:rPr>
        <w:tab/>
        <w:t xml:space="preserve">               </w:t>
      </w:r>
      <w:r w:rsidR="00921BA1">
        <w:rPr>
          <w:b/>
          <w:bCs/>
          <w:color w:val="222222"/>
        </w:rPr>
        <w:t xml:space="preserve">without </w:t>
      </w:r>
      <w:r w:rsidR="00921BA1" w:rsidRPr="00662B68">
        <w:rPr>
          <w:b/>
          <w:bCs/>
          <w:i/>
          <w:iCs/>
          <w:color w:val="222222"/>
        </w:rPr>
        <w:t>Gerobatrachus</w:t>
      </w:r>
      <w:r w:rsidR="00921BA1">
        <w:rPr>
          <w:b/>
          <w:bCs/>
          <w:color w:val="222222"/>
        </w:rPr>
        <w:t xml:space="preserve"> calibration</w:t>
      </w:r>
      <w:r w:rsidR="00DE4588">
        <w:rPr>
          <w:b/>
          <w:bCs/>
          <w:color w:val="222222"/>
        </w:rPr>
        <w:t xml:space="preserve"> </w:t>
      </w:r>
      <w:r w:rsidR="00DE4588" w:rsidRPr="002F1EA6">
        <w:rPr>
          <w:color w:val="222222"/>
        </w:rPr>
        <w:t xml:space="preserve">[p. </w:t>
      </w:r>
      <w:r w:rsidR="00645185">
        <w:rPr>
          <w:color w:val="222222"/>
        </w:rPr>
        <w:t>11</w:t>
      </w:r>
      <w:r w:rsidR="00931AF4">
        <w:rPr>
          <w:color w:val="222222"/>
        </w:rPr>
        <w:t>1</w:t>
      </w:r>
      <w:r w:rsidR="00DE4588" w:rsidRPr="002F1EA6">
        <w:rPr>
          <w:color w:val="222222"/>
        </w:rPr>
        <w:t>]</w:t>
      </w:r>
    </w:p>
    <w:p w14:paraId="2C779642" w14:textId="156BDFE1" w:rsidR="00070137" w:rsidRDefault="00001691" w:rsidP="009C1A18">
      <w:pPr>
        <w:ind w:left="720" w:firstLine="720"/>
        <w:rPr>
          <w:b/>
          <w:bCs/>
          <w:color w:val="222222"/>
        </w:rPr>
      </w:pPr>
      <w:r w:rsidRPr="00001691">
        <w:rPr>
          <w:b/>
          <w:bCs/>
          <w:color w:val="222222"/>
        </w:rPr>
        <w:t>5</w:t>
      </w:r>
      <w:r w:rsidR="003E4840">
        <w:rPr>
          <w:b/>
          <w:bCs/>
          <w:color w:val="222222"/>
        </w:rPr>
        <w:t>.</w:t>
      </w:r>
      <w:r w:rsidR="00FC3F08" w:rsidRPr="00001691">
        <w:rPr>
          <w:b/>
          <w:bCs/>
          <w:color w:val="222222"/>
        </w:rPr>
        <w:t xml:space="preserve"> </w:t>
      </w:r>
      <w:r w:rsidR="00921BA1" w:rsidRPr="00001691">
        <w:rPr>
          <w:b/>
          <w:bCs/>
          <w:color w:val="222222"/>
        </w:rPr>
        <w:t>Gymnophionomorpha-Batrachia divergence data</w:t>
      </w:r>
      <w:r w:rsidR="00921BA1">
        <w:rPr>
          <w:b/>
          <w:bCs/>
          <w:color w:val="222222"/>
        </w:rPr>
        <w:t xml:space="preserve"> with </w:t>
      </w:r>
      <w:r w:rsidR="00921BA1" w:rsidRPr="00F36C83">
        <w:rPr>
          <w:b/>
          <w:bCs/>
          <w:i/>
          <w:iCs/>
          <w:color w:val="222222"/>
        </w:rPr>
        <w:t>Gerobatrachus</w:t>
      </w:r>
      <w:r w:rsidR="00921BA1">
        <w:rPr>
          <w:b/>
          <w:bCs/>
          <w:color w:val="222222"/>
        </w:rPr>
        <w:t xml:space="preserve"> </w:t>
      </w:r>
      <w:r w:rsidR="004110FB">
        <w:rPr>
          <w:b/>
          <w:bCs/>
          <w:color w:val="222222"/>
        </w:rPr>
        <w:tab/>
      </w:r>
      <w:r w:rsidR="004110FB">
        <w:rPr>
          <w:b/>
          <w:bCs/>
          <w:color w:val="222222"/>
        </w:rPr>
        <w:tab/>
        <w:t xml:space="preserve">               </w:t>
      </w:r>
      <w:r w:rsidR="00921BA1">
        <w:rPr>
          <w:b/>
          <w:bCs/>
          <w:color w:val="222222"/>
        </w:rPr>
        <w:t>calibration</w:t>
      </w:r>
      <w:r w:rsidR="003E4840">
        <w:rPr>
          <w:b/>
          <w:bCs/>
          <w:color w:val="222222"/>
        </w:rPr>
        <w:t xml:space="preserve"> </w:t>
      </w:r>
      <w:r w:rsidR="003E4840" w:rsidRPr="002F1EA6">
        <w:rPr>
          <w:color w:val="222222"/>
        </w:rPr>
        <w:t xml:space="preserve">[p. </w:t>
      </w:r>
      <w:r w:rsidR="00645185">
        <w:rPr>
          <w:color w:val="222222"/>
        </w:rPr>
        <w:t>11</w:t>
      </w:r>
      <w:r w:rsidR="00931AF4">
        <w:rPr>
          <w:color w:val="222222"/>
        </w:rPr>
        <w:t>2</w:t>
      </w:r>
      <w:r w:rsidR="003E4840" w:rsidRPr="002F1EA6">
        <w:rPr>
          <w:color w:val="222222"/>
        </w:rPr>
        <w:t>]</w:t>
      </w:r>
    </w:p>
    <w:p w14:paraId="7CBE5945" w14:textId="1979F74F" w:rsidR="00070137" w:rsidRPr="00001691" w:rsidRDefault="00070137" w:rsidP="00662B68">
      <w:pPr>
        <w:ind w:left="1440"/>
        <w:rPr>
          <w:b/>
          <w:bCs/>
          <w:color w:val="222222"/>
        </w:rPr>
      </w:pPr>
      <w:r>
        <w:rPr>
          <w:b/>
          <w:bCs/>
          <w:color w:val="222222"/>
        </w:rPr>
        <w:t>6</w:t>
      </w:r>
      <w:r w:rsidR="003E4840">
        <w:rPr>
          <w:b/>
          <w:bCs/>
          <w:color w:val="222222"/>
        </w:rPr>
        <w:t>.</w:t>
      </w:r>
      <w:r>
        <w:rPr>
          <w:b/>
          <w:bCs/>
          <w:color w:val="222222"/>
        </w:rPr>
        <w:t xml:space="preserve"> </w:t>
      </w:r>
      <w:r w:rsidR="00921BA1" w:rsidRPr="00921BA1">
        <w:rPr>
          <w:b/>
          <w:bCs/>
          <w:color w:val="222222"/>
        </w:rPr>
        <w:t>Molecular clock estimates of Salientia-Caudata divergence</w:t>
      </w:r>
      <w:r w:rsidR="003E4840">
        <w:rPr>
          <w:b/>
          <w:bCs/>
          <w:color w:val="222222"/>
        </w:rPr>
        <w:t xml:space="preserve"> </w:t>
      </w:r>
      <w:r w:rsidR="003E4840" w:rsidRPr="002F1EA6">
        <w:rPr>
          <w:color w:val="222222"/>
        </w:rPr>
        <w:t xml:space="preserve">[p. </w:t>
      </w:r>
      <w:r w:rsidR="00645185">
        <w:rPr>
          <w:color w:val="222222"/>
        </w:rPr>
        <w:t>11</w:t>
      </w:r>
      <w:r w:rsidR="00931AF4">
        <w:rPr>
          <w:color w:val="222222"/>
        </w:rPr>
        <w:t>3</w:t>
      </w:r>
      <w:r w:rsidR="003E4840" w:rsidRPr="002F1EA6">
        <w:rPr>
          <w:color w:val="222222"/>
        </w:rPr>
        <w:t>]</w:t>
      </w:r>
    </w:p>
    <w:p w14:paraId="2BB6401B" w14:textId="6EB38F5B" w:rsidR="00070137" w:rsidRPr="00001691" w:rsidRDefault="00F36C83" w:rsidP="00662B68">
      <w:pPr>
        <w:ind w:left="1440"/>
        <w:rPr>
          <w:b/>
          <w:bCs/>
          <w:color w:val="222222"/>
        </w:rPr>
      </w:pPr>
      <w:r>
        <w:rPr>
          <w:b/>
          <w:bCs/>
          <w:color w:val="222222"/>
        </w:rPr>
        <w:t>7</w:t>
      </w:r>
      <w:r w:rsidR="003E4840">
        <w:rPr>
          <w:b/>
          <w:bCs/>
          <w:color w:val="222222"/>
        </w:rPr>
        <w:t>.</w:t>
      </w:r>
      <w:r w:rsidR="00070137">
        <w:rPr>
          <w:b/>
          <w:bCs/>
          <w:color w:val="222222"/>
        </w:rPr>
        <w:t xml:space="preserve"> </w:t>
      </w:r>
      <w:proofErr w:type="spellStart"/>
      <w:r w:rsidR="00921BA1" w:rsidRPr="00001691">
        <w:rPr>
          <w:b/>
          <w:bCs/>
          <w:color w:val="222222"/>
        </w:rPr>
        <w:t>Rhinatrematidae-Stegokrotaphia</w:t>
      </w:r>
      <w:proofErr w:type="spellEnd"/>
      <w:r w:rsidR="00921BA1" w:rsidRPr="00001691">
        <w:rPr>
          <w:b/>
          <w:bCs/>
          <w:color w:val="222222"/>
        </w:rPr>
        <w:t xml:space="preserve"> divergence data</w:t>
      </w:r>
      <w:r w:rsidR="003E4840">
        <w:rPr>
          <w:b/>
          <w:bCs/>
          <w:color w:val="222222"/>
        </w:rPr>
        <w:t xml:space="preserve"> </w:t>
      </w:r>
      <w:r w:rsidR="003E4840" w:rsidRPr="002F1EA6">
        <w:rPr>
          <w:color w:val="222222"/>
        </w:rPr>
        <w:t xml:space="preserve">[p. </w:t>
      </w:r>
      <w:r w:rsidR="00645185">
        <w:rPr>
          <w:color w:val="222222"/>
        </w:rPr>
        <w:t>11</w:t>
      </w:r>
      <w:r w:rsidR="00931AF4">
        <w:rPr>
          <w:color w:val="222222"/>
        </w:rPr>
        <w:t>4</w:t>
      </w:r>
      <w:r w:rsidR="003E4840" w:rsidRPr="002F1EA6">
        <w:rPr>
          <w:color w:val="222222"/>
        </w:rPr>
        <w:t>]</w:t>
      </w:r>
    </w:p>
    <w:p w14:paraId="618A1211" w14:textId="4AA5323F" w:rsidR="00D45E01" w:rsidRDefault="00F36C83" w:rsidP="00662B68">
      <w:pPr>
        <w:ind w:left="1440"/>
        <w:rPr>
          <w:b/>
          <w:bCs/>
          <w:color w:val="222222"/>
        </w:rPr>
      </w:pPr>
      <w:r>
        <w:rPr>
          <w:b/>
          <w:bCs/>
          <w:color w:val="222222"/>
        </w:rPr>
        <w:t>8</w:t>
      </w:r>
      <w:r w:rsidR="003E4840">
        <w:rPr>
          <w:b/>
          <w:bCs/>
          <w:color w:val="222222"/>
        </w:rPr>
        <w:t>.</w:t>
      </w:r>
      <w:r w:rsidR="00070137">
        <w:rPr>
          <w:b/>
          <w:bCs/>
          <w:color w:val="222222"/>
        </w:rPr>
        <w:t xml:space="preserve"> </w:t>
      </w:r>
      <w:r w:rsidR="00921BA1">
        <w:rPr>
          <w:b/>
          <w:bCs/>
          <w:color w:val="222222"/>
        </w:rPr>
        <w:t>Micro-computed tomographic scan</w:t>
      </w:r>
      <w:r w:rsidR="00921BA1" w:rsidRPr="00062F7E">
        <w:rPr>
          <w:b/>
          <w:bCs/>
          <w:color w:val="222222"/>
        </w:rPr>
        <w:t xml:space="preserve"> parameters</w:t>
      </w:r>
      <w:r w:rsidR="003E4840">
        <w:rPr>
          <w:b/>
          <w:bCs/>
          <w:color w:val="222222"/>
        </w:rPr>
        <w:t xml:space="preserve"> </w:t>
      </w:r>
      <w:r w:rsidR="003E4840" w:rsidRPr="002F1EA6">
        <w:rPr>
          <w:color w:val="222222"/>
        </w:rPr>
        <w:t xml:space="preserve">[p. </w:t>
      </w:r>
      <w:r w:rsidR="00645185">
        <w:rPr>
          <w:color w:val="222222"/>
        </w:rPr>
        <w:t>11</w:t>
      </w:r>
      <w:r w:rsidR="00931AF4">
        <w:rPr>
          <w:color w:val="222222"/>
        </w:rPr>
        <w:t>4</w:t>
      </w:r>
      <w:r w:rsidR="003E4840" w:rsidRPr="002F1EA6">
        <w:rPr>
          <w:color w:val="222222"/>
        </w:rPr>
        <w:t>]</w:t>
      </w:r>
    </w:p>
    <w:p w14:paraId="1ECD95B5" w14:textId="01BB6206" w:rsidR="00B86756" w:rsidRDefault="00D45E01" w:rsidP="002F1EA6">
      <w:pPr>
        <w:ind w:left="1440"/>
        <w:rPr>
          <w:color w:val="222222"/>
        </w:rPr>
      </w:pPr>
      <w:r>
        <w:rPr>
          <w:b/>
          <w:bCs/>
          <w:color w:val="222222"/>
        </w:rPr>
        <w:t>9</w:t>
      </w:r>
      <w:r w:rsidR="003E4840">
        <w:rPr>
          <w:b/>
          <w:bCs/>
          <w:color w:val="222222"/>
        </w:rPr>
        <w:t>.</w:t>
      </w:r>
      <w:r>
        <w:rPr>
          <w:b/>
          <w:bCs/>
          <w:color w:val="222222"/>
        </w:rPr>
        <w:t xml:space="preserve"> </w:t>
      </w:r>
      <w:r w:rsidR="00921BA1">
        <w:rPr>
          <w:b/>
          <w:bCs/>
          <w:color w:val="222222"/>
        </w:rPr>
        <w:t xml:space="preserve">Character and character state coding for </w:t>
      </w:r>
      <w:r w:rsidR="00921BA1" w:rsidRPr="003E2EE4">
        <w:rPr>
          <w:b/>
          <w:bCs/>
          <w:i/>
          <w:iCs/>
          <w:color w:val="222222"/>
        </w:rPr>
        <w:t>Funcusvermis</w:t>
      </w:r>
      <w:r w:rsidR="00921BA1" w:rsidRPr="00771757">
        <w:rPr>
          <w:b/>
          <w:bCs/>
          <w:i/>
          <w:iCs/>
          <w:color w:val="222222"/>
        </w:rPr>
        <w:t xml:space="preserve"> gilmorei</w:t>
      </w:r>
      <w:r w:rsidR="003E4840">
        <w:rPr>
          <w:b/>
          <w:bCs/>
          <w:i/>
          <w:iCs/>
          <w:color w:val="222222"/>
        </w:rPr>
        <w:t xml:space="preserve"> </w:t>
      </w:r>
      <w:r w:rsidR="003E4840" w:rsidRPr="002F1EA6">
        <w:rPr>
          <w:color w:val="222222"/>
        </w:rPr>
        <w:t xml:space="preserve">[p. </w:t>
      </w:r>
      <w:r w:rsidR="00645185">
        <w:rPr>
          <w:color w:val="222222"/>
        </w:rPr>
        <w:t>11</w:t>
      </w:r>
      <w:r w:rsidR="00931AF4">
        <w:rPr>
          <w:color w:val="222222"/>
        </w:rPr>
        <w:t>5</w:t>
      </w:r>
      <w:r w:rsidR="003E4840" w:rsidRPr="002F1EA6">
        <w:rPr>
          <w:color w:val="222222"/>
        </w:rPr>
        <w:t>]</w:t>
      </w:r>
    </w:p>
    <w:p w14:paraId="7785728E" w14:textId="77757417" w:rsidR="00511315" w:rsidRPr="005621A5" w:rsidRDefault="00511315" w:rsidP="005621A5">
      <w:pPr>
        <w:pStyle w:val="ListParagraph"/>
        <w:numPr>
          <w:ilvl w:val="0"/>
          <w:numId w:val="1"/>
        </w:numPr>
        <w:rPr>
          <w:rFonts w:ascii="Times New Roman" w:eastAsia="Times New Roman" w:hAnsi="Times New Roman" w:cs="Times New Roman"/>
          <w:color w:val="222222"/>
        </w:rPr>
      </w:pPr>
      <w:r w:rsidRPr="00001691">
        <w:rPr>
          <w:rFonts w:ascii="Times New Roman" w:eastAsia="Times New Roman" w:hAnsi="Times New Roman" w:cs="Times New Roman"/>
          <w:b/>
          <w:bCs/>
          <w:color w:val="222222"/>
        </w:rPr>
        <w:t>Institutional abbreviations</w:t>
      </w:r>
      <w:r>
        <w:rPr>
          <w:rFonts w:ascii="Times New Roman" w:eastAsia="Times New Roman" w:hAnsi="Times New Roman" w:cs="Times New Roman"/>
          <w:b/>
          <w:bCs/>
          <w:color w:val="222222"/>
        </w:rPr>
        <w:t xml:space="preserve"> </w:t>
      </w:r>
      <w:r w:rsidRPr="002F1EA6">
        <w:rPr>
          <w:rFonts w:ascii="Times New Roman" w:eastAsia="Times New Roman" w:hAnsi="Times New Roman" w:cs="Times New Roman"/>
          <w:color w:val="222222"/>
        </w:rPr>
        <w:t xml:space="preserve">[p. </w:t>
      </w:r>
      <w:r w:rsidR="00645185">
        <w:rPr>
          <w:rFonts w:ascii="Times New Roman" w:eastAsia="Times New Roman" w:hAnsi="Times New Roman" w:cs="Times New Roman"/>
          <w:color w:val="222222"/>
        </w:rPr>
        <w:t>11</w:t>
      </w:r>
      <w:r w:rsidR="00992E61">
        <w:rPr>
          <w:rFonts w:ascii="Times New Roman" w:eastAsia="Times New Roman" w:hAnsi="Times New Roman" w:cs="Times New Roman"/>
          <w:color w:val="222222"/>
        </w:rPr>
        <w:t>6</w:t>
      </w:r>
      <w:r w:rsidRPr="002F1EA6">
        <w:rPr>
          <w:rFonts w:ascii="Times New Roman" w:eastAsia="Times New Roman" w:hAnsi="Times New Roman" w:cs="Times New Roman"/>
          <w:color w:val="222222"/>
        </w:rPr>
        <w:t>]</w:t>
      </w:r>
    </w:p>
    <w:p w14:paraId="0DA999BD" w14:textId="124170D1" w:rsidR="003E4840" w:rsidRPr="002F1EA6" w:rsidRDefault="00B83F4A" w:rsidP="003E4840">
      <w:pPr>
        <w:pStyle w:val="ListParagraph"/>
        <w:numPr>
          <w:ilvl w:val="0"/>
          <w:numId w:val="1"/>
        </w:numPr>
        <w:rPr>
          <w:rFonts w:ascii="Times New Roman" w:hAnsi="Times New Roman" w:cs="Times New Roman"/>
          <w:color w:val="000000" w:themeColor="text1"/>
        </w:rPr>
      </w:pPr>
      <w:r w:rsidRPr="00001691">
        <w:rPr>
          <w:rFonts w:ascii="Times New Roman" w:eastAsia="Times New Roman" w:hAnsi="Times New Roman" w:cs="Times New Roman"/>
          <w:b/>
          <w:bCs/>
          <w:color w:val="222222"/>
        </w:rPr>
        <w:t xml:space="preserve">Supplementary </w:t>
      </w:r>
      <w:r w:rsidR="008C032C">
        <w:rPr>
          <w:rFonts w:ascii="Times New Roman" w:eastAsia="Times New Roman" w:hAnsi="Times New Roman" w:cs="Times New Roman"/>
          <w:b/>
          <w:bCs/>
          <w:color w:val="222222"/>
        </w:rPr>
        <w:t>r</w:t>
      </w:r>
      <w:r w:rsidRPr="00001691">
        <w:rPr>
          <w:rFonts w:ascii="Times New Roman" w:eastAsia="Times New Roman" w:hAnsi="Times New Roman" w:cs="Times New Roman"/>
          <w:b/>
          <w:bCs/>
          <w:color w:val="222222"/>
        </w:rPr>
        <w:t>eferences</w:t>
      </w:r>
      <w:r w:rsidR="003E4840">
        <w:rPr>
          <w:rFonts w:ascii="Times New Roman" w:eastAsia="Times New Roman" w:hAnsi="Times New Roman" w:cs="Times New Roman"/>
          <w:b/>
          <w:bCs/>
          <w:color w:val="222222"/>
        </w:rPr>
        <w:t xml:space="preserve"> </w:t>
      </w:r>
      <w:bookmarkStart w:id="3" w:name="_Hlk98860855"/>
      <w:r w:rsidR="003E4840" w:rsidRPr="002F1EA6">
        <w:rPr>
          <w:rFonts w:ascii="Times New Roman" w:eastAsia="Times New Roman" w:hAnsi="Times New Roman" w:cs="Times New Roman"/>
          <w:color w:val="222222"/>
        </w:rPr>
        <w:t>[p</w:t>
      </w:r>
      <w:r w:rsidR="00645185">
        <w:rPr>
          <w:rFonts w:ascii="Times New Roman" w:eastAsia="Times New Roman" w:hAnsi="Times New Roman" w:cs="Times New Roman"/>
          <w:color w:val="222222"/>
        </w:rPr>
        <w:t>p</w:t>
      </w:r>
      <w:r w:rsidR="003E4840" w:rsidRPr="002F1EA6">
        <w:rPr>
          <w:rFonts w:ascii="Times New Roman" w:eastAsia="Times New Roman" w:hAnsi="Times New Roman" w:cs="Times New Roman"/>
          <w:color w:val="222222"/>
        </w:rPr>
        <w:t xml:space="preserve">. </w:t>
      </w:r>
      <w:r w:rsidR="00645185">
        <w:rPr>
          <w:rFonts w:ascii="Times New Roman" w:eastAsia="Times New Roman" w:hAnsi="Times New Roman" w:cs="Times New Roman"/>
          <w:color w:val="222222"/>
        </w:rPr>
        <w:t>11</w:t>
      </w:r>
      <w:r w:rsidR="00992E61">
        <w:rPr>
          <w:rFonts w:ascii="Times New Roman" w:eastAsia="Times New Roman" w:hAnsi="Times New Roman" w:cs="Times New Roman"/>
          <w:color w:val="222222"/>
        </w:rPr>
        <w:t>7</w:t>
      </w:r>
      <w:r w:rsidR="003E4840" w:rsidRPr="002F1EA6">
        <w:rPr>
          <w:rFonts w:ascii="Times New Roman" w:eastAsia="Times New Roman" w:hAnsi="Times New Roman" w:cs="Times New Roman" w:hint="eastAsia"/>
          <w:color w:val="222222"/>
        </w:rPr>
        <w:t>–</w:t>
      </w:r>
      <w:r w:rsidR="00645185">
        <w:rPr>
          <w:rFonts w:ascii="Times New Roman" w:eastAsia="Times New Roman" w:hAnsi="Times New Roman" w:cs="Times New Roman"/>
          <w:color w:val="222222"/>
        </w:rPr>
        <w:t>13</w:t>
      </w:r>
      <w:r w:rsidR="00992E61">
        <w:rPr>
          <w:rFonts w:ascii="Times New Roman" w:eastAsia="Times New Roman" w:hAnsi="Times New Roman" w:cs="Times New Roman"/>
          <w:color w:val="222222"/>
        </w:rPr>
        <w:t>8</w:t>
      </w:r>
      <w:r w:rsidR="003E4840" w:rsidRPr="002F1EA6">
        <w:rPr>
          <w:rFonts w:ascii="Times New Roman" w:eastAsia="Times New Roman" w:hAnsi="Times New Roman" w:cs="Times New Roman"/>
          <w:color w:val="222222"/>
        </w:rPr>
        <w:t>]</w:t>
      </w:r>
      <w:bookmarkEnd w:id="3"/>
    </w:p>
    <w:p w14:paraId="086D60B5" w14:textId="69796A4E" w:rsidR="00447B41" w:rsidRPr="003E4840" w:rsidRDefault="003E4840" w:rsidP="003E4840">
      <w:pPr>
        <w:pStyle w:val="ListParagraph"/>
        <w:numPr>
          <w:ilvl w:val="0"/>
          <w:numId w:val="1"/>
        </w:numPr>
        <w:rPr>
          <w:rFonts w:ascii="Times New Roman" w:eastAsia="Times New Roman" w:hAnsi="Times New Roman" w:cs="Times New Roman"/>
          <w:b/>
          <w:bCs/>
          <w:color w:val="222222"/>
        </w:rPr>
      </w:pPr>
      <w:r>
        <w:rPr>
          <w:rFonts w:ascii="Times New Roman" w:eastAsia="Times New Roman" w:hAnsi="Times New Roman" w:cs="Times New Roman"/>
          <w:b/>
          <w:bCs/>
          <w:color w:val="222222"/>
        </w:rPr>
        <w:t xml:space="preserve"> </w:t>
      </w:r>
      <w:r w:rsidR="002D2B11">
        <w:rPr>
          <w:rFonts w:ascii="Times New Roman" w:eastAsia="Times New Roman" w:hAnsi="Times New Roman" w:cs="Times New Roman"/>
          <w:b/>
          <w:bCs/>
          <w:color w:val="222222"/>
        </w:rPr>
        <w:t>Character list and p</w:t>
      </w:r>
      <w:r>
        <w:rPr>
          <w:rFonts w:ascii="Times New Roman" w:eastAsia="Times New Roman" w:hAnsi="Times New Roman" w:cs="Times New Roman"/>
          <w:b/>
          <w:bCs/>
          <w:color w:val="222222"/>
        </w:rPr>
        <w:t xml:space="preserve">hylogenetic datasets </w:t>
      </w:r>
      <w:r w:rsidRPr="002F1EA6">
        <w:rPr>
          <w:rFonts w:ascii="Times New Roman" w:eastAsia="Times New Roman" w:hAnsi="Times New Roman" w:cs="Times New Roman"/>
          <w:color w:val="222222"/>
        </w:rPr>
        <w:t>[p</w:t>
      </w:r>
      <w:r w:rsidR="00645185">
        <w:rPr>
          <w:rFonts w:ascii="Times New Roman" w:eastAsia="Times New Roman" w:hAnsi="Times New Roman" w:cs="Times New Roman"/>
          <w:color w:val="222222"/>
        </w:rPr>
        <w:t>p</w:t>
      </w:r>
      <w:r w:rsidRPr="002F1EA6">
        <w:rPr>
          <w:rFonts w:ascii="Times New Roman" w:eastAsia="Times New Roman" w:hAnsi="Times New Roman" w:cs="Times New Roman"/>
          <w:color w:val="222222"/>
        </w:rPr>
        <w:t xml:space="preserve">. </w:t>
      </w:r>
      <w:r w:rsidR="00645185">
        <w:rPr>
          <w:rFonts w:ascii="Times New Roman" w:eastAsia="Times New Roman" w:hAnsi="Times New Roman" w:cs="Times New Roman"/>
          <w:color w:val="222222"/>
        </w:rPr>
        <w:t>13</w:t>
      </w:r>
      <w:r w:rsidR="00992E61">
        <w:rPr>
          <w:rFonts w:ascii="Times New Roman" w:eastAsia="Times New Roman" w:hAnsi="Times New Roman" w:cs="Times New Roman"/>
          <w:color w:val="222222"/>
        </w:rPr>
        <w:t>8</w:t>
      </w:r>
      <w:r w:rsidRPr="002F1EA6">
        <w:rPr>
          <w:rFonts w:ascii="Times New Roman" w:eastAsia="Times New Roman" w:hAnsi="Times New Roman" w:cs="Times New Roman" w:hint="eastAsia"/>
          <w:color w:val="222222"/>
        </w:rPr>
        <w:t>–</w:t>
      </w:r>
      <w:r w:rsidR="00645185">
        <w:rPr>
          <w:rFonts w:ascii="Times New Roman" w:eastAsia="Times New Roman" w:hAnsi="Times New Roman" w:cs="Times New Roman"/>
          <w:color w:val="222222"/>
        </w:rPr>
        <w:t>18</w:t>
      </w:r>
      <w:r w:rsidR="00992E61">
        <w:rPr>
          <w:rFonts w:ascii="Times New Roman" w:eastAsia="Times New Roman" w:hAnsi="Times New Roman" w:cs="Times New Roman"/>
          <w:color w:val="222222"/>
        </w:rPr>
        <w:t>2</w:t>
      </w:r>
      <w:r w:rsidRPr="002F1EA6">
        <w:rPr>
          <w:rFonts w:ascii="Times New Roman" w:eastAsia="Times New Roman" w:hAnsi="Times New Roman" w:cs="Times New Roman"/>
          <w:color w:val="222222"/>
        </w:rPr>
        <w:t>]</w:t>
      </w:r>
    </w:p>
    <w:bookmarkEnd w:id="1"/>
    <w:p w14:paraId="2D7B253D" w14:textId="5451445C" w:rsidR="00FC3F08" w:rsidRPr="00662B68" w:rsidRDefault="00FC3F08" w:rsidP="00662B68">
      <w:pPr>
        <w:ind w:left="720" w:firstLine="720"/>
        <w:rPr>
          <w:b/>
          <w:bCs/>
          <w:color w:val="222222"/>
        </w:rPr>
      </w:pPr>
    </w:p>
    <w:p w14:paraId="349C3903" w14:textId="0A578E33" w:rsidR="00F36C83" w:rsidRDefault="00F36C83" w:rsidP="00F36C83">
      <w:pPr>
        <w:rPr>
          <w:sz w:val="28"/>
          <w:szCs w:val="28"/>
        </w:rPr>
      </w:pPr>
    </w:p>
    <w:p w14:paraId="5BF6FC77" w14:textId="22DE6C17" w:rsidR="00F36C83" w:rsidRDefault="00F36C83" w:rsidP="00F36C83">
      <w:pPr>
        <w:rPr>
          <w:sz w:val="28"/>
          <w:szCs w:val="28"/>
        </w:rPr>
      </w:pPr>
    </w:p>
    <w:p w14:paraId="49E564C1" w14:textId="2B6317B7" w:rsidR="00EA65E2" w:rsidRDefault="00EA65E2" w:rsidP="00F36C83">
      <w:pPr>
        <w:rPr>
          <w:sz w:val="28"/>
          <w:szCs w:val="28"/>
        </w:rPr>
      </w:pPr>
    </w:p>
    <w:p w14:paraId="13919B7A" w14:textId="11CB0C2C" w:rsidR="00EA65E2" w:rsidRDefault="00EA65E2" w:rsidP="00F36C83">
      <w:pPr>
        <w:rPr>
          <w:sz w:val="28"/>
          <w:szCs w:val="28"/>
        </w:rPr>
      </w:pPr>
    </w:p>
    <w:p w14:paraId="359EAF07" w14:textId="3E3AFA35" w:rsidR="00EA65E2" w:rsidRDefault="00EA65E2" w:rsidP="00F36C83">
      <w:pPr>
        <w:rPr>
          <w:sz w:val="28"/>
          <w:szCs w:val="28"/>
        </w:rPr>
      </w:pPr>
    </w:p>
    <w:p w14:paraId="779D9A9E" w14:textId="6B8CAF86" w:rsidR="00EA65E2" w:rsidRDefault="00EA65E2" w:rsidP="00F36C83">
      <w:pPr>
        <w:rPr>
          <w:sz w:val="28"/>
          <w:szCs w:val="28"/>
        </w:rPr>
      </w:pPr>
    </w:p>
    <w:p w14:paraId="0F369EE5" w14:textId="2D477E2F" w:rsidR="00EA65E2" w:rsidRDefault="00EA65E2" w:rsidP="00F36C83">
      <w:pPr>
        <w:rPr>
          <w:sz w:val="28"/>
          <w:szCs w:val="28"/>
        </w:rPr>
      </w:pPr>
    </w:p>
    <w:p w14:paraId="2AC09EDA" w14:textId="26CBBD53" w:rsidR="00EA65E2" w:rsidRDefault="00EA65E2" w:rsidP="00F36C83">
      <w:pPr>
        <w:rPr>
          <w:sz w:val="28"/>
          <w:szCs w:val="28"/>
        </w:rPr>
      </w:pPr>
    </w:p>
    <w:p w14:paraId="712ACFEC" w14:textId="77A32734" w:rsidR="00EA65E2" w:rsidRDefault="00EA65E2" w:rsidP="00F36C83">
      <w:pPr>
        <w:rPr>
          <w:sz w:val="28"/>
          <w:szCs w:val="28"/>
        </w:rPr>
      </w:pPr>
    </w:p>
    <w:p w14:paraId="4923FE2F" w14:textId="779AA980" w:rsidR="00EA65E2" w:rsidRDefault="00EA65E2" w:rsidP="00F36C83">
      <w:pPr>
        <w:rPr>
          <w:sz w:val="28"/>
          <w:szCs w:val="28"/>
        </w:rPr>
      </w:pPr>
    </w:p>
    <w:p w14:paraId="03659534" w14:textId="447BD32E" w:rsidR="00EA65E2" w:rsidRDefault="00EA65E2" w:rsidP="00F36C83">
      <w:pPr>
        <w:rPr>
          <w:sz w:val="28"/>
          <w:szCs w:val="28"/>
        </w:rPr>
      </w:pPr>
    </w:p>
    <w:p w14:paraId="5D6164A6" w14:textId="77777777" w:rsidR="00875848" w:rsidRDefault="00875848" w:rsidP="00F36C83">
      <w:pPr>
        <w:rPr>
          <w:sz w:val="28"/>
          <w:szCs w:val="28"/>
        </w:rPr>
      </w:pPr>
    </w:p>
    <w:p w14:paraId="3D7E0E47" w14:textId="1E5F5BE5" w:rsidR="008876BA" w:rsidRDefault="00511315" w:rsidP="002D3DAA">
      <w:pPr>
        <w:rPr>
          <w:b/>
          <w:bCs/>
          <w:i/>
          <w:iCs/>
          <w:color w:val="222222"/>
          <w:sz w:val="28"/>
          <w:szCs w:val="28"/>
        </w:rPr>
      </w:pPr>
      <w:r>
        <w:rPr>
          <w:b/>
          <w:bCs/>
          <w:color w:val="222222"/>
          <w:sz w:val="28"/>
          <w:szCs w:val="28"/>
        </w:rPr>
        <w:lastRenderedPageBreak/>
        <w:t>1</w:t>
      </w:r>
      <w:r w:rsidR="00CF6452" w:rsidRPr="00662B68">
        <w:rPr>
          <w:b/>
          <w:bCs/>
          <w:color w:val="222222"/>
          <w:sz w:val="28"/>
          <w:szCs w:val="28"/>
        </w:rPr>
        <w:t xml:space="preserve">. </w:t>
      </w:r>
      <w:bookmarkStart w:id="4" w:name="_Hlk88997489"/>
      <w:r w:rsidR="008876BA" w:rsidRPr="00662B68">
        <w:rPr>
          <w:b/>
          <w:bCs/>
          <w:color w:val="222222"/>
          <w:sz w:val="28"/>
          <w:szCs w:val="28"/>
        </w:rPr>
        <w:t>Complete list of</w:t>
      </w:r>
      <w:r w:rsidR="004777E3" w:rsidRPr="00662B68">
        <w:rPr>
          <w:b/>
          <w:bCs/>
          <w:color w:val="222222"/>
          <w:sz w:val="28"/>
          <w:szCs w:val="28"/>
        </w:rPr>
        <w:t xml:space="preserve"> </w:t>
      </w:r>
      <w:r w:rsidR="00B83F4A" w:rsidRPr="00662B68">
        <w:rPr>
          <w:b/>
          <w:bCs/>
          <w:color w:val="222222"/>
          <w:sz w:val="28"/>
          <w:szCs w:val="28"/>
        </w:rPr>
        <w:t xml:space="preserve">material </w:t>
      </w:r>
      <w:r w:rsidR="008876BA" w:rsidRPr="00662B68">
        <w:rPr>
          <w:b/>
          <w:bCs/>
          <w:color w:val="222222"/>
          <w:sz w:val="28"/>
          <w:szCs w:val="28"/>
        </w:rPr>
        <w:t xml:space="preserve">assigned to </w:t>
      </w:r>
      <w:r w:rsidR="00B83F4A" w:rsidRPr="00662B68">
        <w:rPr>
          <w:b/>
          <w:bCs/>
          <w:i/>
          <w:iCs/>
          <w:color w:val="222222"/>
          <w:sz w:val="28"/>
          <w:szCs w:val="28"/>
        </w:rPr>
        <w:t>Funcusvermis gilmorei</w:t>
      </w:r>
      <w:bookmarkEnd w:id="4"/>
    </w:p>
    <w:p w14:paraId="1A5B8D19" w14:textId="77777777" w:rsidR="00001691" w:rsidRPr="00662B68" w:rsidRDefault="00001691" w:rsidP="00662B68">
      <w:pPr>
        <w:rPr>
          <w:b/>
          <w:bCs/>
          <w:i/>
          <w:iCs/>
          <w:color w:val="222222"/>
          <w:sz w:val="28"/>
          <w:szCs w:val="28"/>
        </w:rPr>
      </w:pPr>
    </w:p>
    <w:p w14:paraId="5A44CD22" w14:textId="1F3B0EAC" w:rsidR="00356521" w:rsidRDefault="008876BA" w:rsidP="002D3DAA">
      <w:r w:rsidRPr="000C7B84">
        <w:rPr>
          <w:b/>
          <w:bCs/>
        </w:rPr>
        <w:t xml:space="preserve">Holotype. </w:t>
      </w:r>
      <w:r w:rsidRPr="00697641">
        <w:t>PEFO 43891, right pseudodentary</w:t>
      </w:r>
      <w:r w:rsidRPr="000C7B84">
        <w:t xml:space="preserve"> (Fig</w:t>
      </w:r>
      <w:r>
        <w:t xml:space="preserve">. 1, Extended Data Figs. </w:t>
      </w:r>
      <w:r w:rsidR="00C749A7">
        <w:t>3</w:t>
      </w:r>
      <w:bookmarkStart w:id="5" w:name="_Hlk98859631"/>
      <w:r w:rsidRPr="000305E8">
        <w:rPr>
          <w:rFonts w:hint="eastAsia"/>
        </w:rPr>
        <w:t>–</w:t>
      </w:r>
      <w:bookmarkEnd w:id="5"/>
      <w:r w:rsidR="00C749A7">
        <w:t>4</w:t>
      </w:r>
      <w:r w:rsidRPr="000C7B84">
        <w:t>)</w:t>
      </w:r>
      <w:r w:rsidR="003A4A8A">
        <w:t>.</w:t>
      </w:r>
    </w:p>
    <w:p w14:paraId="069CD4D7" w14:textId="77777777" w:rsidR="00DD2E01" w:rsidRPr="00062F7E" w:rsidRDefault="00DD2E01" w:rsidP="00662B68">
      <w:pPr>
        <w:rPr>
          <w:b/>
          <w:bCs/>
          <w:color w:val="222222"/>
        </w:rPr>
      </w:pPr>
    </w:p>
    <w:p w14:paraId="6DA124F7" w14:textId="4089F73C" w:rsidR="00DD2E01" w:rsidRDefault="008876BA" w:rsidP="00662B68">
      <w:r w:rsidRPr="00217C37">
        <w:rPr>
          <w:b/>
          <w:bCs/>
        </w:rPr>
        <w:t xml:space="preserve">Paratypes. </w:t>
      </w:r>
      <w:r w:rsidRPr="00913214">
        <w:t>PEFO 44432</w:t>
      </w:r>
      <w:r>
        <w:t>, right pseudodentary;</w:t>
      </w:r>
      <w:r w:rsidRPr="00913214">
        <w:t xml:space="preserve"> PEFO 45800</w:t>
      </w:r>
      <w:r>
        <w:t>, right pseudodentary;</w:t>
      </w:r>
      <w:r w:rsidRPr="00913214">
        <w:t xml:space="preserve"> PEFO 46284</w:t>
      </w:r>
      <w:r>
        <w:t>, right pseudodentary (</w:t>
      </w:r>
      <w:r w:rsidRPr="000C7B84">
        <w:t>Fig</w:t>
      </w:r>
      <w:r>
        <w:t>.</w:t>
      </w:r>
      <w:r w:rsidRPr="000C7B84">
        <w:t xml:space="preserve"> </w:t>
      </w:r>
      <w:r>
        <w:t xml:space="preserve">1, Extended Data Figs. </w:t>
      </w:r>
      <w:r w:rsidR="00C749A7">
        <w:t>3</w:t>
      </w:r>
      <w:r w:rsidRPr="000305E8">
        <w:rPr>
          <w:rFonts w:hint="eastAsia"/>
        </w:rPr>
        <w:t>–</w:t>
      </w:r>
      <w:r w:rsidR="00C749A7">
        <w:t>4</w:t>
      </w:r>
      <w:r w:rsidRPr="000C7B84">
        <w:t>)</w:t>
      </w:r>
      <w:r>
        <w:t xml:space="preserve">. </w:t>
      </w:r>
    </w:p>
    <w:p w14:paraId="7EEE466E" w14:textId="77777777" w:rsidR="008876BA" w:rsidRPr="00062F7E" w:rsidRDefault="008876BA" w:rsidP="00662B68">
      <w:pPr>
        <w:rPr>
          <w:color w:val="222222"/>
        </w:rPr>
      </w:pPr>
    </w:p>
    <w:p w14:paraId="64C033A0" w14:textId="07FB98F9" w:rsidR="00D710E7" w:rsidRDefault="002978C4" w:rsidP="002978C4">
      <w:pPr>
        <w:rPr>
          <w:color w:val="222222"/>
        </w:rPr>
      </w:pPr>
      <w:r w:rsidRPr="002978C4">
        <w:rPr>
          <w:b/>
          <w:bCs/>
          <w:color w:val="222222"/>
        </w:rPr>
        <w:t>Paratypes not mentioned in main text.</w:t>
      </w:r>
      <w:r w:rsidRPr="002978C4">
        <w:rPr>
          <w:color w:val="222222"/>
        </w:rPr>
        <w:t xml:space="preserve"> PEFO 43804, right pseudodentary; PEFO 43889, right pseudodentary; PEFO 44425, right pseudodentary; PEFO 44432, right pseudodentary; PEFO 45643, right pseudodentary;  PEFO 45768, right pseudodentary;  PEFO 45800, right pseudodentary; PEFO 45982, right pseudodentary; PEFO 46084, right pseudodentary; PEFO 46112, right pseudodentary; PEFO 46138, right pseudodentary; PEFO 46243, right pseudodentary; PEFO 46284, right pseudodentary; PEFO 46477, right pseudodentary; PEFO 46478, right pseudodentary; PEFO 46485, right pseudodentary; PEFO 46486, right pseudodentary; PEFO 46487, right pseudodentary; PEFO 46488, right pseudodentary; PEFO 46489, partial pseudodentary; PEFO 46491, right pseudodentary; PEFO 46493, right pseudodentary; PEFO 46495, right pseudodentary; PEFO 46497, right pseudodentary; PEFO 46498, right pseudodentary; PEFO 46499, partial pseudodentary; PEFO 46636, right pseudodentary; PEFO 46730, right pseudodentary; PEFO 47675, right pseudodentary; PEFO 47676, right pseudodentary; PEFO 47677, right pseudodentary; PEFO 47678, right pseudodentary; PEFO 47679, right pseudodentary; PEFO 47680, right pseudodentary; PEFO 47849, right pseudodentary; PEFO 47850, right pseudodentary; PEFO 47851, right pseudodentary; PEFO 47852, right pseudodentary; PEFO 47853, right pseudodentary; PEFO 47854, left pseudodentary; PEFO 47855, right pseudodentary; PEFO 47856, right pseudodentary; PEFO 47857, right pseudodentary; PEFO 47858, right pseudodentary; PEFO 47859, right pseudodentary;  PEFO 47860, right pseudodentary; PEFO 47861, right pseudodentary; PEFO 47862, right pseudodentary; PEFO 47863, right pseudodentary; PEFO 47864, left pseudodentary; PEFO 47869, right pseudodentary; PEFO 47871, right pseudodentary; PEFO 47873, right pseudodentary; PEFO 48872, right pseudodentary; PEFO 49495, right pseudodentary; PEFO 49522, right pseudodentary; PEFO 49535, right pseudodentary; PEFO 49620, right pseudodentary; PEFO 49737, right pseudodentary; </w:t>
      </w:r>
      <w:r w:rsidR="00950C16">
        <w:rPr>
          <w:color w:val="222222"/>
        </w:rPr>
        <w:t>PEFO 5023, right pseudodentary;</w:t>
      </w:r>
      <w:r w:rsidR="00C947AB" w:rsidRPr="00C947AB">
        <w:rPr>
          <w:color w:val="222222"/>
        </w:rPr>
        <w:t xml:space="preserve"> PEFO 50339, right pseudodentary; PEFO 50348, right pseudodentary; PEFO 50403, right pseudodentary; PEFO 50425, right pseudodentary; PEFO 50469, right pseudodentary; PEFO 50543, right pseudodentary; PEFO 50544, right pseudodentary; PEFO 50569, right pseudodentary; PEFO 50572, right pseudodentary; PEFO 50719, right </w:t>
      </w:r>
      <w:proofErr w:type="spellStart"/>
      <w:r w:rsidR="00C947AB" w:rsidRPr="00C947AB">
        <w:rPr>
          <w:color w:val="222222"/>
        </w:rPr>
        <w:t>pseudodentary</w:t>
      </w:r>
      <w:proofErr w:type="spellEnd"/>
      <w:r w:rsidR="00C947AB" w:rsidRPr="00C947AB">
        <w:rPr>
          <w:color w:val="222222"/>
        </w:rPr>
        <w:t>;</w:t>
      </w:r>
      <w:r w:rsidR="00F31B84">
        <w:rPr>
          <w:color w:val="222222"/>
        </w:rPr>
        <w:t xml:space="preserve"> PEFO 51047, right </w:t>
      </w:r>
      <w:proofErr w:type="spellStart"/>
      <w:r w:rsidR="00F31B84">
        <w:rPr>
          <w:color w:val="222222"/>
        </w:rPr>
        <w:t>pseudodentary</w:t>
      </w:r>
      <w:proofErr w:type="spellEnd"/>
      <w:r w:rsidR="008322F2">
        <w:rPr>
          <w:color w:val="222222"/>
        </w:rPr>
        <w:t xml:space="preserve">; PEFO 51187, right </w:t>
      </w:r>
      <w:proofErr w:type="spellStart"/>
      <w:r w:rsidR="008322F2">
        <w:rPr>
          <w:color w:val="222222"/>
        </w:rPr>
        <w:t>psuedodentary</w:t>
      </w:r>
      <w:proofErr w:type="spellEnd"/>
      <w:r w:rsidR="008322F2">
        <w:rPr>
          <w:color w:val="222222"/>
        </w:rPr>
        <w:t xml:space="preserve">; PEFO 51300, right </w:t>
      </w:r>
      <w:proofErr w:type="spellStart"/>
      <w:r w:rsidR="008322F2">
        <w:rPr>
          <w:color w:val="222222"/>
        </w:rPr>
        <w:t>pseudodentary</w:t>
      </w:r>
      <w:proofErr w:type="spellEnd"/>
      <w:r w:rsidR="008322F2">
        <w:rPr>
          <w:color w:val="222222"/>
        </w:rPr>
        <w:t>;</w:t>
      </w:r>
      <w:r w:rsidR="00C947AB">
        <w:rPr>
          <w:color w:val="222222"/>
        </w:rPr>
        <w:t xml:space="preserve"> </w:t>
      </w:r>
      <w:r w:rsidR="00C02DAD">
        <w:rPr>
          <w:color w:val="222222"/>
        </w:rPr>
        <w:t xml:space="preserve">PEFO 51382, right </w:t>
      </w:r>
      <w:proofErr w:type="spellStart"/>
      <w:r w:rsidR="00C02DAD">
        <w:rPr>
          <w:color w:val="222222"/>
        </w:rPr>
        <w:t>pseudodentary</w:t>
      </w:r>
      <w:proofErr w:type="spellEnd"/>
      <w:r w:rsidR="00C02DAD">
        <w:rPr>
          <w:color w:val="222222"/>
        </w:rPr>
        <w:t xml:space="preserve">; PEFO 51465, right </w:t>
      </w:r>
      <w:proofErr w:type="spellStart"/>
      <w:r w:rsidR="00C02DAD">
        <w:rPr>
          <w:color w:val="222222"/>
        </w:rPr>
        <w:t>pseudodentary</w:t>
      </w:r>
      <w:proofErr w:type="spellEnd"/>
      <w:r w:rsidR="00C02DAD">
        <w:rPr>
          <w:color w:val="222222"/>
        </w:rPr>
        <w:t>;</w:t>
      </w:r>
      <w:r w:rsidR="00B31191">
        <w:rPr>
          <w:color w:val="222222"/>
        </w:rPr>
        <w:t xml:space="preserve"> PEFO 51509, right </w:t>
      </w:r>
      <w:proofErr w:type="spellStart"/>
      <w:r w:rsidR="00B31191">
        <w:rPr>
          <w:color w:val="222222"/>
        </w:rPr>
        <w:t>pseudodentary</w:t>
      </w:r>
      <w:proofErr w:type="spellEnd"/>
      <w:r w:rsidR="00B31191">
        <w:rPr>
          <w:color w:val="222222"/>
        </w:rPr>
        <w:t>;</w:t>
      </w:r>
      <w:r w:rsidR="00C02DAD">
        <w:rPr>
          <w:color w:val="222222"/>
        </w:rPr>
        <w:t xml:space="preserve"> </w:t>
      </w:r>
      <w:r w:rsidRPr="002978C4">
        <w:rPr>
          <w:color w:val="222222"/>
        </w:rPr>
        <w:t xml:space="preserve">PEFO 49738, left </w:t>
      </w:r>
      <w:proofErr w:type="spellStart"/>
      <w:r w:rsidRPr="002978C4">
        <w:rPr>
          <w:color w:val="222222"/>
        </w:rPr>
        <w:t>pseudodentary</w:t>
      </w:r>
      <w:proofErr w:type="spellEnd"/>
      <w:r w:rsidRPr="002978C4">
        <w:rPr>
          <w:color w:val="222222"/>
        </w:rPr>
        <w:t xml:space="preserve">. All </w:t>
      </w:r>
      <w:proofErr w:type="spellStart"/>
      <w:r w:rsidRPr="002978C4">
        <w:rPr>
          <w:color w:val="222222"/>
        </w:rPr>
        <w:t>pseudodentaries</w:t>
      </w:r>
      <w:proofErr w:type="spellEnd"/>
      <w:r w:rsidRPr="002978C4">
        <w:rPr>
          <w:color w:val="222222"/>
        </w:rPr>
        <w:t xml:space="preserve"> are partial due to fragmentation.</w:t>
      </w:r>
    </w:p>
    <w:p w14:paraId="5F917A19" w14:textId="77777777" w:rsidR="00DD2E01" w:rsidRPr="00062F7E" w:rsidRDefault="00DD2E01" w:rsidP="00662B68">
      <w:pPr>
        <w:rPr>
          <w:color w:val="222222"/>
        </w:rPr>
      </w:pPr>
    </w:p>
    <w:p w14:paraId="5089B457" w14:textId="54AD1832" w:rsidR="002978C4" w:rsidRDefault="002978C4" w:rsidP="002978C4">
      <w:r w:rsidRPr="00662B68">
        <w:rPr>
          <w:b/>
          <w:bCs/>
          <w:color w:val="222222"/>
        </w:rPr>
        <w:t>Referred material.</w:t>
      </w:r>
      <w:r w:rsidRPr="00062F7E">
        <w:rPr>
          <w:color w:val="222222"/>
        </w:rPr>
        <w:t xml:space="preserve"> PEFO 46481, left maxillopalatine</w:t>
      </w:r>
      <w:r>
        <w:rPr>
          <w:color w:val="222222"/>
        </w:rPr>
        <w:t xml:space="preserve"> </w:t>
      </w:r>
      <w:r>
        <w:t>(</w:t>
      </w:r>
      <w:r w:rsidRPr="000C7B84">
        <w:t>Fig</w:t>
      </w:r>
      <w:r>
        <w:t>.</w:t>
      </w:r>
      <w:r w:rsidRPr="000C7B84">
        <w:t xml:space="preserve"> </w:t>
      </w:r>
      <w:r>
        <w:t xml:space="preserve">1, Extended Data Fig. </w:t>
      </w:r>
      <w:r w:rsidR="006861C0">
        <w:t>4</w:t>
      </w:r>
      <w:r>
        <w:t xml:space="preserve">); PEFO 46479, partial right pseudoangular; </w:t>
      </w:r>
      <w:r w:rsidRPr="00913214">
        <w:t>PEFO 46480</w:t>
      </w:r>
      <w:r>
        <w:t>, left</w:t>
      </w:r>
      <w:r w:rsidRPr="00913214">
        <w:t xml:space="preserve"> pseudoangular</w:t>
      </w:r>
      <w:r>
        <w:t xml:space="preserve"> (Fig. 1, Extended Data Fig. </w:t>
      </w:r>
      <w:r w:rsidR="006861C0">
        <w:t>3</w:t>
      </w:r>
      <w:r>
        <w:t>)</w:t>
      </w:r>
      <w:r w:rsidRPr="00913214">
        <w:t>;</w:t>
      </w:r>
      <w:r>
        <w:t xml:space="preserve"> </w:t>
      </w:r>
      <w:r w:rsidRPr="00062F7E">
        <w:rPr>
          <w:color w:val="222222"/>
        </w:rPr>
        <w:t>PEFO 46482, partial right pseudoangular; PEFO 47865, partial left pseudoangular; PEFO 47866, nearly complete left pseudoangular</w:t>
      </w:r>
      <w:r>
        <w:rPr>
          <w:color w:val="222222"/>
        </w:rPr>
        <w:t xml:space="preserve">; </w:t>
      </w:r>
      <w:r>
        <w:t xml:space="preserve">PEFO 48687, partial pseudoangular; PEFO 49376, partial right </w:t>
      </w:r>
      <w:proofErr w:type="spellStart"/>
      <w:r>
        <w:t>pseudoangular</w:t>
      </w:r>
      <w:proofErr w:type="spellEnd"/>
      <w:r>
        <w:t>;</w:t>
      </w:r>
      <w:r w:rsidR="008322F2">
        <w:t xml:space="preserve"> PEFO 51188, partial left </w:t>
      </w:r>
      <w:proofErr w:type="spellStart"/>
      <w:r w:rsidR="008322F2">
        <w:t>pseudoangular</w:t>
      </w:r>
      <w:proofErr w:type="spellEnd"/>
      <w:r w:rsidR="008322F2">
        <w:t>;</w:t>
      </w:r>
      <w:r>
        <w:t xml:space="preserve"> </w:t>
      </w:r>
      <w:r w:rsidR="0021169A">
        <w:t xml:space="preserve">PEFO 51380, partial left </w:t>
      </w:r>
      <w:proofErr w:type="spellStart"/>
      <w:r w:rsidR="0021169A">
        <w:lastRenderedPageBreak/>
        <w:t>pseudoangular</w:t>
      </w:r>
      <w:proofErr w:type="spellEnd"/>
      <w:r w:rsidR="0021169A">
        <w:t xml:space="preserve">; </w:t>
      </w:r>
      <w:r w:rsidRPr="00913214">
        <w:t>PEFO 45810</w:t>
      </w:r>
      <w:r>
        <w:t xml:space="preserve">, </w:t>
      </w:r>
      <w:proofErr w:type="spellStart"/>
      <w:r w:rsidRPr="00913214">
        <w:t>postatlantal</w:t>
      </w:r>
      <w:proofErr w:type="spellEnd"/>
      <w:r w:rsidRPr="00913214">
        <w:t xml:space="preserve"> vertebra</w:t>
      </w:r>
      <w:r>
        <w:t xml:space="preserve"> (Extended Data Fig. </w:t>
      </w:r>
      <w:r w:rsidR="006861C0">
        <w:t>3</w:t>
      </w:r>
      <w:r>
        <w:t>),</w:t>
      </w:r>
      <w:r w:rsidRPr="00913214">
        <w:t xml:space="preserve"> PEFO 4381</w:t>
      </w:r>
      <w:r>
        <w:t xml:space="preserve">l, proximal end of </w:t>
      </w:r>
      <w:r w:rsidRPr="00913214">
        <w:t>right femur</w:t>
      </w:r>
      <w:r>
        <w:t xml:space="preserve"> (Extended Data Fig. </w:t>
      </w:r>
      <w:r w:rsidR="006861C0">
        <w:t>3</w:t>
      </w:r>
      <w:r>
        <w:t>).</w:t>
      </w:r>
    </w:p>
    <w:p w14:paraId="01B5D66B" w14:textId="77777777" w:rsidR="008C5FD0" w:rsidRDefault="008C5FD0" w:rsidP="002978C4"/>
    <w:p w14:paraId="01B65F85" w14:textId="4F32460E" w:rsidR="008C5FD0" w:rsidRPr="008C5FD0" w:rsidRDefault="008C5FD0" w:rsidP="008C5FD0">
      <w:pPr>
        <w:rPr>
          <w:color w:val="222222"/>
        </w:rPr>
      </w:pPr>
      <w:r w:rsidRPr="008C5FD0">
        <w:rPr>
          <w:b/>
          <w:bCs/>
          <w:color w:val="222222"/>
        </w:rPr>
        <w:t>Minimum number of individuals.</w:t>
      </w:r>
      <w:r w:rsidRPr="008C5FD0">
        <w:rPr>
          <w:color w:val="222222"/>
        </w:rPr>
        <w:t xml:space="preserve"> </w:t>
      </w:r>
      <w:proofErr w:type="spellStart"/>
      <w:r w:rsidRPr="008C5FD0">
        <w:rPr>
          <w:color w:val="222222"/>
        </w:rPr>
        <w:t>Pseudodentaries</w:t>
      </w:r>
      <w:proofErr w:type="spellEnd"/>
      <w:r w:rsidRPr="008C5FD0">
        <w:rPr>
          <w:color w:val="222222"/>
        </w:rPr>
        <w:t xml:space="preserve"> are the most common element assigned to </w:t>
      </w:r>
      <w:r w:rsidRPr="008C5FD0">
        <w:rPr>
          <w:i/>
          <w:iCs/>
          <w:color w:val="222222"/>
        </w:rPr>
        <w:t>Funcusvermis</w:t>
      </w:r>
      <w:r w:rsidRPr="008C5FD0">
        <w:rPr>
          <w:color w:val="222222"/>
        </w:rPr>
        <w:t xml:space="preserve">, with a minimum number of </w:t>
      </w:r>
      <w:r w:rsidR="00C947AB">
        <w:rPr>
          <w:color w:val="222222"/>
        </w:rPr>
        <w:t>7</w:t>
      </w:r>
      <w:r w:rsidR="00B31191">
        <w:rPr>
          <w:color w:val="222222"/>
        </w:rPr>
        <w:t>6</w:t>
      </w:r>
      <w:r w:rsidRPr="008C5FD0">
        <w:rPr>
          <w:color w:val="222222"/>
        </w:rPr>
        <w:t xml:space="preserve"> individuals (MNI) represented by right </w:t>
      </w:r>
      <w:proofErr w:type="spellStart"/>
      <w:r w:rsidRPr="008C5FD0">
        <w:rPr>
          <w:color w:val="222222"/>
        </w:rPr>
        <w:t>pseudodentaries</w:t>
      </w:r>
      <w:proofErr w:type="spellEnd"/>
      <w:r w:rsidRPr="008C5FD0">
        <w:rPr>
          <w:color w:val="222222"/>
        </w:rPr>
        <w:t xml:space="preserve">; this abundance is unprecedented in the gymnophionomorph fossil record, where only </w:t>
      </w:r>
      <w:r w:rsidRPr="008C5FD0">
        <w:rPr>
          <w:i/>
          <w:iCs/>
          <w:color w:val="222222"/>
        </w:rPr>
        <w:t>Eocaecilia</w:t>
      </w:r>
      <w:r w:rsidRPr="008C5FD0">
        <w:rPr>
          <w:color w:val="222222"/>
        </w:rPr>
        <w:t xml:space="preserve"> and </w:t>
      </w:r>
      <w:r w:rsidRPr="008C5FD0">
        <w:rPr>
          <w:i/>
          <w:iCs/>
          <w:color w:val="222222"/>
        </w:rPr>
        <w:t>Rubricacaecilia</w:t>
      </w:r>
      <w:r w:rsidRPr="008C5FD0">
        <w:rPr>
          <w:color w:val="222222"/>
        </w:rPr>
        <w:t xml:space="preserve"> are known from an MNI greater than one, a MNI of 11 and two, respectively (Supplementary Table 2). </w:t>
      </w:r>
    </w:p>
    <w:p w14:paraId="4C7B19ED" w14:textId="77777777" w:rsidR="008C5FD0" w:rsidRPr="008C5FD0" w:rsidRDefault="008C5FD0" w:rsidP="008C5FD0">
      <w:pPr>
        <w:rPr>
          <w:color w:val="222222"/>
          <w:sz w:val="28"/>
          <w:szCs w:val="28"/>
        </w:rPr>
      </w:pPr>
    </w:p>
    <w:p w14:paraId="65487BCF" w14:textId="3198B3D4" w:rsidR="00606D73" w:rsidRPr="008C5FD0" w:rsidRDefault="008C5FD0" w:rsidP="008C5FD0">
      <w:pPr>
        <w:rPr>
          <w:color w:val="222222"/>
        </w:rPr>
      </w:pPr>
      <w:r w:rsidRPr="008C5FD0">
        <w:rPr>
          <w:b/>
          <w:bCs/>
          <w:color w:val="222222"/>
        </w:rPr>
        <w:t xml:space="preserve">Pseudodentary size variation. </w:t>
      </w:r>
      <w:r w:rsidRPr="008C5FD0">
        <w:rPr>
          <w:color w:val="222222"/>
        </w:rPr>
        <w:t>Dorsoventral height of the pseudodentary at the posterior terminus of the lingual tooth row ranges from 0.92 mm (PEFO 47863) to 1.43 mm (PEFO 44425). This may be a result of ontogeny or some other form of intraspecific variation.</w:t>
      </w:r>
    </w:p>
    <w:p w14:paraId="4A378E40" w14:textId="77777777" w:rsidR="008C5FD0" w:rsidRPr="00662B68" w:rsidRDefault="008C5FD0" w:rsidP="008C5FD0">
      <w:pPr>
        <w:rPr>
          <w:color w:val="222222"/>
          <w:sz w:val="28"/>
          <w:szCs w:val="28"/>
        </w:rPr>
      </w:pPr>
    </w:p>
    <w:p w14:paraId="43485271" w14:textId="25875B7D" w:rsidR="00606D73" w:rsidRPr="00662B68" w:rsidRDefault="00511315" w:rsidP="00662B68">
      <w:pPr>
        <w:rPr>
          <w:b/>
          <w:bCs/>
          <w:color w:val="222222"/>
          <w:sz w:val="28"/>
          <w:szCs w:val="28"/>
        </w:rPr>
      </w:pPr>
      <w:r>
        <w:rPr>
          <w:b/>
          <w:bCs/>
          <w:color w:val="222222"/>
          <w:sz w:val="28"/>
          <w:szCs w:val="28"/>
        </w:rPr>
        <w:t>2</w:t>
      </w:r>
      <w:r w:rsidR="00606D73" w:rsidRPr="00606D73">
        <w:rPr>
          <w:b/>
          <w:bCs/>
          <w:color w:val="222222"/>
          <w:sz w:val="28"/>
          <w:szCs w:val="28"/>
        </w:rPr>
        <w:t>.</w:t>
      </w:r>
      <w:r w:rsidR="00606D73">
        <w:rPr>
          <w:b/>
          <w:bCs/>
          <w:color w:val="222222"/>
          <w:sz w:val="28"/>
          <w:szCs w:val="28"/>
        </w:rPr>
        <w:t xml:space="preserve"> </w:t>
      </w:r>
      <w:r w:rsidR="00606D73" w:rsidRPr="00662B68">
        <w:rPr>
          <w:b/>
          <w:bCs/>
          <w:color w:val="222222"/>
          <w:sz w:val="28"/>
          <w:szCs w:val="28"/>
        </w:rPr>
        <w:t xml:space="preserve">Expanded description of </w:t>
      </w:r>
      <w:r w:rsidR="00606D73" w:rsidRPr="00662B68">
        <w:rPr>
          <w:b/>
          <w:bCs/>
          <w:i/>
          <w:iCs/>
          <w:color w:val="222222"/>
          <w:sz w:val="28"/>
          <w:szCs w:val="28"/>
        </w:rPr>
        <w:t>Funcusvermis gilmorei</w:t>
      </w:r>
    </w:p>
    <w:p w14:paraId="69D6DD2B" w14:textId="488F88D9" w:rsidR="00A52197" w:rsidRPr="00662B68" w:rsidRDefault="00A52197" w:rsidP="00662B68">
      <w:pPr>
        <w:rPr>
          <w:b/>
          <w:bCs/>
          <w:color w:val="222222"/>
          <w:sz w:val="28"/>
          <w:szCs w:val="28"/>
        </w:rPr>
      </w:pPr>
    </w:p>
    <w:p w14:paraId="46A788E6" w14:textId="5251887E" w:rsidR="00A05FAA" w:rsidRDefault="00F755E2" w:rsidP="00662B68">
      <w:pPr>
        <w:tabs>
          <w:tab w:val="left" w:pos="3587"/>
        </w:tabs>
        <w:rPr>
          <w:color w:val="222222"/>
        </w:rPr>
      </w:pPr>
      <w:r w:rsidRPr="00062F7E">
        <w:rPr>
          <w:b/>
          <w:bCs/>
          <w:color w:val="222222"/>
        </w:rPr>
        <w:t>Differential</w:t>
      </w:r>
      <w:r w:rsidR="002D3E63" w:rsidRPr="00062F7E">
        <w:rPr>
          <w:b/>
          <w:bCs/>
          <w:color w:val="222222"/>
        </w:rPr>
        <w:t xml:space="preserve"> </w:t>
      </w:r>
      <w:r w:rsidR="00606D73">
        <w:rPr>
          <w:b/>
          <w:bCs/>
          <w:color w:val="222222"/>
        </w:rPr>
        <w:t>d</w:t>
      </w:r>
      <w:r w:rsidR="00CF6452" w:rsidRPr="00062F7E">
        <w:rPr>
          <w:b/>
          <w:bCs/>
          <w:color w:val="222222"/>
        </w:rPr>
        <w:t xml:space="preserve">iagnosis. </w:t>
      </w:r>
      <w:r w:rsidR="00D2450E" w:rsidRPr="00062F7E">
        <w:rPr>
          <w:color w:val="222222"/>
        </w:rPr>
        <w:t xml:space="preserve">A gymnophionomorph </w:t>
      </w:r>
      <w:r w:rsidR="002E389A">
        <w:rPr>
          <w:color w:val="222222"/>
        </w:rPr>
        <w:t xml:space="preserve">diagnosed by a unique </w:t>
      </w:r>
      <w:r w:rsidR="00865F92" w:rsidRPr="00062F7E">
        <w:rPr>
          <w:color w:val="222222"/>
        </w:rPr>
        <w:t xml:space="preserve">combination of </w:t>
      </w:r>
      <w:r w:rsidR="002E389A">
        <w:rPr>
          <w:color w:val="222222"/>
        </w:rPr>
        <w:t xml:space="preserve">features and </w:t>
      </w:r>
      <w:r w:rsidR="006E5E03" w:rsidRPr="00062F7E">
        <w:rPr>
          <w:color w:val="222222"/>
        </w:rPr>
        <w:t>autapomorphi</w:t>
      </w:r>
      <w:r w:rsidR="002E389A">
        <w:rPr>
          <w:color w:val="222222"/>
        </w:rPr>
        <w:t>es</w:t>
      </w:r>
      <w:r w:rsidR="006E5E03" w:rsidRPr="00062F7E">
        <w:rPr>
          <w:color w:val="222222"/>
        </w:rPr>
        <w:t xml:space="preserve"> </w:t>
      </w:r>
      <w:r w:rsidR="002E389A">
        <w:rPr>
          <w:color w:val="222222"/>
        </w:rPr>
        <w:t>(</w:t>
      </w:r>
      <w:r w:rsidR="006E5E03" w:rsidRPr="00062F7E">
        <w:rPr>
          <w:color w:val="222222"/>
        </w:rPr>
        <w:t xml:space="preserve">listed in the main </w:t>
      </w:r>
      <w:r w:rsidR="00375661" w:rsidRPr="00062F7E">
        <w:rPr>
          <w:color w:val="222222"/>
        </w:rPr>
        <w:t>text</w:t>
      </w:r>
      <w:r w:rsidR="00BA2163" w:rsidRPr="00062F7E">
        <w:rPr>
          <w:color w:val="222222"/>
        </w:rPr>
        <w:t>)</w:t>
      </w:r>
      <w:r w:rsidR="002E389A">
        <w:rPr>
          <w:color w:val="222222"/>
        </w:rPr>
        <w:t xml:space="preserve">. </w:t>
      </w:r>
      <w:r w:rsidR="002E389A" w:rsidRPr="00662B68">
        <w:rPr>
          <w:i/>
          <w:iCs/>
          <w:color w:val="222222"/>
        </w:rPr>
        <w:t>Funcusvermis gilmorei</w:t>
      </w:r>
      <w:r w:rsidR="002E389A">
        <w:rPr>
          <w:color w:val="222222"/>
        </w:rPr>
        <w:t xml:space="preserve"> is d</w:t>
      </w:r>
      <w:r w:rsidR="006E5E03" w:rsidRPr="00062F7E">
        <w:rPr>
          <w:color w:val="222222"/>
        </w:rPr>
        <w:t>ifferentiated from closely related taxa based on a unique combination of character states</w:t>
      </w:r>
      <w:r w:rsidR="00905A04">
        <w:rPr>
          <w:color w:val="222222"/>
        </w:rPr>
        <w:t>:</w:t>
      </w:r>
      <w:r w:rsidR="002E389A">
        <w:rPr>
          <w:color w:val="222222"/>
        </w:rPr>
        <w:t xml:space="preserve"> </w:t>
      </w:r>
      <w:bookmarkStart w:id="6" w:name="_Hlk99276409"/>
      <w:r w:rsidR="002E389A">
        <w:rPr>
          <w:color w:val="222222"/>
        </w:rPr>
        <w:t>(*</w:t>
      </w:r>
      <w:r w:rsidR="00921FC2">
        <w:rPr>
          <w:color w:val="222222"/>
        </w:rPr>
        <w:t>*</w:t>
      </w:r>
      <w:r w:rsidR="002E389A">
        <w:rPr>
          <w:color w:val="222222"/>
        </w:rPr>
        <w:t xml:space="preserve"> denotes features found in </w:t>
      </w:r>
      <w:r w:rsidR="00420728">
        <w:rPr>
          <w:color w:val="222222"/>
        </w:rPr>
        <w:t xml:space="preserve">holotype </w:t>
      </w:r>
      <w:r w:rsidR="002E389A">
        <w:rPr>
          <w:color w:val="222222"/>
        </w:rPr>
        <w:t xml:space="preserve">and </w:t>
      </w:r>
      <w:r w:rsidR="00420728">
        <w:rPr>
          <w:color w:val="222222"/>
        </w:rPr>
        <w:t xml:space="preserve">paratype </w:t>
      </w:r>
      <w:r w:rsidR="002E389A">
        <w:rPr>
          <w:color w:val="222222"/>
        </w:rPr>
        <w:t>pseudodentary specimens</w:t>
      </w:r>
      <w:r w:rsidR="00F012B3">
        <w:rPr>
          <w:color w:val="222222"/>
        </w:rPr>
        <w:t>, all other features are found in referred specimens</w:t>
      </w:r>
      <w:r w:rsidR="002E389A">
        <w:rPr>
          <w:color w:val="222222"/>
        </w:rPr>
        <w:t>)</w:t>
      </w:r>
      <w:r w:rsidR="000D68EA">
        <w:rPr>
          <w:color w:val="222222"/>
        </w:rPr>
        <w:t xml:space="preserve">. </w:t>
      </w:r>
      <w:bookmarkEnd w:id="6"/>
    </w:p>
    <w:p w14:paraId="667CF79B" w14:textId="2B049EAE" w:rsidR="00A05FAA" w:rsidRDefault="00A05FAA" w:rsidP="00A05FAA">
      <w:pPr>
        <w:tabs>
          <w:tab w:val="left" w:pos="900"/>
        </w:tabs>
        <w:rPr>
          <w:color w:val="222222"/>
        </w:rPr>
      </w:pPr>
      <w:r>
        <w:rPr>
          <w:color w:val="222222"/>
        </w:rPr>
        <w:tab/>
      </w:r>
      <w:r w:rsidR="00B40C65" w:rsidRPr="00062F7E">
        <w:rPr>
          <w:color w:val="222222"/>
        </w:rPr>
        <w:t>Differentiated from</w:t>
      </w:r>
      <w:r w:rsidR="005253F4">
        <w:rPr>
          <w:color w:val="222222"/>
        </w:rPr>
        <w:t xml:space="preserve"> non-</w:t>
      </w:r>
      <w:proofErr w:type="spellStart"/>
      <w:r w:rsidR="005253F4">
        <w:rPr>
          <w:color w:val="222222"/>
        </w:rPr>
        <w:t>lissamphibian</w:t>
      </w:r>
      <w:proofErr w:type="spellEnd"/>
      <w:r w:rsidR="00B40C65" w:rsidRPr="00062F7E">
        <w:rPr>
          <w:color w:val="222222"/>
        </w:rPr>
        <w:t xml:space="preserve"> </w:t>
      </w:r>
      <w:proofErr w:type="spellStart"/>
      <w:r w:rsidR="00B40C65" w:rsidRPr="00062F7E">
        <w:rPr>
          <w:color w:val="222222"/>
        </w:rPr>
        <w:t>amphibamiform</w:t>
      </w:r>
      <w:proofErr w:type="spellEnd"/>
      <w:r w:rsidR="00B40C65" w:rsidRPr="00062F7E">
        <w:rPr>
          <w:color w:val="222222"/>
        </w:rPr>
        <w:t xml:space="preserve"> </w:t>
      </w:r>
      <w:proofErr w:type="spellStart"/>
      <w:r w:rsidR="00B40C65" w:rsidRPr="00062F7E">
        <w:rPr>
          <w:color w:val="222222"/>
        </w:rPr>
        <w:t>diss</w:t>
      </w:r>
      <w:r w:rsidR="003909C2" w:rsidRPr="00062F7E">
        <w:rPr>
          <w:color w:val="222222"/>
        </w:rPr>
        <w:t>o</w:t>
      </w:r>
      <w:r w:rsidR="00B40C65" w:rsidRPr="00062F7E">
        <w:rPr>
          <w:color w:val="222222"/>
        </w:rPr>
        <w:t>rophoids</w:t>
      </w:r>
      <w:proofErr w:type="spellEnd"/>
      <w:r w:rsidR="00B40C65" w:rsidRPr="00062F7E">
        <w:rPr>
          <w:color w:val="222222"/>
        </w:rPr>
        <w:t xml:space="preserve"> in the </w:t>
      </w:r>
      <w:proofErr w:type="spellStart"/>
      <w:r w:rsidR="00FA6E2E">
        <w:rPr>
          <w:color w:val="222222"/>
        </w:rPr>
        <w:t>coossification</w:t>
      </w:r>
      <w:proofErr w:type="spellEnd"/>
      <w:r w:rsidR="00FA6E2E" w:rsidRPr="00062F7E">
        <w:rPr>
          <w:color w:val="222222"/>
        </w:rPr>
        <w:t xml:space="preserve"> </w:t>
      </w:r>
      <w:r w:rsidR="00B40C65" w:rsidRPr="00062F7E">
        <w:rPr>
          <w:color w:val="222222"/>
        </w:rPr>
        <w:t xml:space="preserve">of </w:t>
      </w:r>
      <w:r w:rsidR="000D68EA">
        <w:rPr>
          <w:color w:val="222222"/>
        </w:rPr>
        <w:t>postdentary elements forming the</w:t>
      </w:r>
      <w:r w:rsidR="00B40C65" w:rsidRPr="00062F7E">
        <w:rPr>
          <w:color w:val="222222"/>
        </w:rPr>
        <w:t xml:space="preserve"> </w:t>
      </w:r>
      <w:proofErr w:type="spellStart"/>
      <w:r w:rsidR="00B40C65" w:rsidRPr="00062F7E">
        <w:rPr>
          <w:color w:val="222222"/>
        </w:rPr>
        <w:t>pseudoangular</w:t>
      </w:r>
      <w:proofErr w:type="spellEnd"/>
      <w:r w:rsidR="006F6330" w:rsidRPr="00062F7E">
        <w:rPr>
          <w:color w:val="222222"/>
        </w:rPr>
        <w:t xml:space="preserve">, </w:t>
      </w:r>
      <w:proofErr w:type="spellStart"/>
      <w:r w:rsidR="00FA6E2E">
        <w:rPr>
          <w:color w:val="222222"/>
        </w:rPr>
        <w:t>coossification</w:t>
      </w:r>
      <w:proofErr w:type="spellEnd"/>
      <w:r w:rsidR="00FA6E2E" w:rsidRPr="00062F7E">
        <w:rPr>
          <w:color w:val="222222"/>
        </w:rPr>
        <w:t xml:space="preserve"> </w:t>
      </w:r>
      <w:r w:rsidR="00B40C65" w:rsidRPr="00062F7E">
        <w:rPr>
          <w:color w:val="222222"/>
        </w:rPr>
        <w:t>of the maxilla and palatine into a compound maxillopalatine</w:t>
      </w:r>
      <w:r w:rsidR="000D68EA">
        <w:rPr>
          <w:color w:val="222222"/>
        </w:rPr>
        <w:t>,</w:t>
      </w:r>
      <w:r w:rsidR="005253F4">
        <w:rPr>
          <w:color w:val="222222"/>
        </w:rPr>
        <w:t xml:space="preserve"> expansion of the </w:t>
      </w:r>
      <w:r w:rsidR="00CC12BE">
        <w:rPr>
          <w:color w:val="222222"/>
        </w:rPr>
        <w:t>adsymphyseal</w:t>
      </w:r>
      <w:r w:rsidR="005253F4">
        <w:rPr>
          <w:color w:val="222222"/>
        </w:rPr>
        <w:t xml:space="preserve"> tooth row to include &gt;20 teeth</w:t>
      </w:r>
      <w:r w:rsidR="004E7667">
        <w:rPr>
          <w:color w:val="222222"/>
        </w:rPr>
        <w:t>*</w:t>
      </w:r>
      <w:r w:rsidR="00BD633E">
        <w:rPr>
          <w:color w:val="222222"/>
        </w:rPr>
        <w:t>*</w:t>
      </w:r>
      <w:r w:rsidR="005253F4">
        <w:rPr>
          <w:color w:val="222222"/>
        </w:rPr>
        <w:t>,</w:t>
      </w:r>
      <w:r w:rsidR="000D68EA">
        <w:rPr>
          <w:color w:val="222222"/>
        </w:rPr>
        <w:t xml:space="preserve"> and absence of </w:t>
      </w:r>
      <w:r w:rsidR="005253F4">
        <w:rPr>
          <w:color w:val="222222"/>
        </w:rPr>
        <w:t>coronoid</w:t>
      </w:r>
      <w:r w:rsidR="000A723B">
        <w:rPr>
          <w:color w:val="222222"/>
        </w:rPr>
        <w:t>*</w:t>
      </w:r>
      <w:r w:rsidR="00BD633E">
        <w:rPr>
          <w:color w:val="222222"/>
        </w:rPr>
        <w:t>*</w:t>
      </w:r>
      <w:r w:rsidR="005253F4">
        <w:rPr>
          <w:color w:val="222222"/>
        </w:rPr>
        <w:t>, splenial</w:t>
      </w:r>
      <w:r w:rsidR="000A723B">
        <w:rPr>
          <w:color w:val="222222"/>
        </w:rPr>
        <w:t>*</w:t>
      </w:r>
      <w:r w:rsidR="00BD633E">
        <w:rPr>
          <w:color w:val="222222"/>
        </w:rPr>
        <w:t>*</w:t>
      </w:r>
      <w:r w:rsidR="005253F4">
        <w:rPr>
          <w:color w:val="222222"/>
        </w:rPr>
        <w:t>, and surangular elements</w:t>
      </w:r>
      <w:r w:rsidR="00B40C65" w:rsidRPr="00062F7E">
        <w:rPr>
          <w:color w:val="222222"/>
        </w:rPr>
        <w:t xml:space="preserve">. </w:t>
      </w:r>
    </w:p>
    <w:p w14:paraId="2E813E88" w14:textId="75AAE12F" w:rsidR="00A05FAA" w:rsidRDefault="00A05FAA" w:rsidP="00A05FAA">
      <w:pPr>
        <w:tabs>
          <w:tab w:val="left" w:pos="900"/>
        </w:tabs>
        <w:rPr>
          <w:color w:val="222222"/>
        </w:rPr>
      </w:pPr>
      <w:r>
        <w:rPr>
          <w:color w:val="222222"/>
        </w:rPr>
        <w:tab/>
      </w:r>
      <w:r w:rsidR="00B40C65" w:rsidRPr="00062F7E">
        <w:rPr>
          <w:color w:val="222222"/>
        </w:rPr>
        <w:t xml:space="preserve">Differentiated from </w:t>
      </w:r>
      <w:r w:rsidR="000D68EA">
        <w:rPr>
          <w:color w:val="222222"/>
        </w:rPr>
        <w:t xml:space="preserve">adult </w:t>
      </w:r>
      <w:r w:rsidR="00B40C65" w:rsidRPr="00062F7E">
        <w:rPr>
          <w:color w:val="222222"/>
        </w:rPr>
        <w:t>batrachians</w:t>
      </w:r>
      <w:r w:rsidR="006F6330" w:rsidRPr="00062F7E">
        <w:rPr>
          <w:color w:val="222222"/>
        </w:rPr>
        <w:t xml:space="preserve"> and albanerpetontids</w:t>
      </w:r>
      <w:r w:rsidR="00B40C65" w:rsidRPr="00062F7E">
        <w:rPr>
          <w:color w:val="222222"/>
        </w:rPr>
        <w:t xml:space="preserve"> in the presence of </w:t>
      </w:r>
      <w:r w:rsidR="000D68EA">
        <w:rPr>
          <w:color w:val="222222"/>
        </w:rPr>
        <w:t>palatal and</w:t>
      </w:r>
      <w:r w:rsidR="00040FA0">
        <w:rPr>
          <w:color w:val="222222"/>
        </w:rPr>
        <w:t xml:space="preserve"> a</w:t>
      </w:r>
      <w:r w:rsidR="00FD586D">
        <w:rPr>
          <w:color w:val="222222"/>
        </w:rPr>
        <w:t>dsym</w:t>
      </w:r>
      <w:r w:rsidR="007B7AFD">
        <w:rPr>
          <w:color w:val="222222"/>
        </w:rPr>
        <w:t>physeal</w:t>
      </w:r>
      <w:r w:rsidR="000A723B">
        <w:rPr>
          <w:color w:val="222222"/>
        </w:rPr>
        <w:t>*</w:t>
      </w:r>
      <w:r w:rsidR="00BD633E">
        <w:rPr>
          <w:color w:val="222222"/>
        </w:rPr>
        <w:t>*</w:t>
      </w:r>
      <w:r w:rsidR="000D68EA">
        <w:rPr>
          <w:color w:val="222222"/>
        </w:rPr>
        <w:t xml:space="preserve"> tooth rows in the upper and lower jaws, respectively; further differentiated from</w:t>
      </w:r>
      <w:r w:rsidR="005253F4">
        <w:rPr>
          <w:color w:val="222222"/>
        </w:rPr>
        <w:t xml:space="preserve"> batrachians in the presence of</w:t>
      </w:r>
      <w:r w:rsidR="008D40F9">
        <w:rPr>
          <w:color w:val="222222"/>
        </w:rPr>
        <w:t xml:space="preserve"> heavily pitted </w:t>
      </w:r>
      <w:proofErr w:type="spellStart"/>
      <w:r w:rsidR="008D40F9">
        <w:rPr>
          <w:color w:val="222222"/>
        </w:rPr>
        <w:t>dermatocranial</w:t>
      </w:r>
      <w:proofErr w:type="spellEnd"/>
      <w:r w:rsidR="008D40F9">
        <w:rPr>
          <w:color w:val="222222"/>
        </w:rPr>
        <w:t xml:space="preserve"> elements,</w:t>
      </w:r>
      <w:r w:rsidR="005253F4">
        <w:rPr>
          <w:color w:val="222222"/>
        </w:rPr>
        <w:t xml:space="preserve"> a symphyseal foramen</w:t>
      </w:r>
      <w:r w:rsidR="00B37CA9">
        <w:rPr>
          <w:color w:val="222222"/>
        </w:rPr>
        <w:t>*</w:t>
      </w:r>
      <w:r w:rsidR="00BD633E">
        <w:rPr>
          <w:color w:val="222222"/>
        </w:rPr>
        <w:t>*</w:t>
      </w:r>
      <w:r w:rsidR="005B56BD">
        <w:rPr>
          <w:color w:val="222222"/>
        </w:rPr>
        <w:t xml:space="preserve"> in adults</w:t>
      </w:r>
      <w:r w:rsidR="005253F4">
        <w:rPr>
          <w:color w:val="222222"/>
        </w:rPr>
        <w:t xml:space="preserve"> (indicating unossified </w:t>
      </w:r>
      <w:r w:rsidR="002D3DAA">
        <w:rPr>
          <w:color w:val="222222"/>
        </w:rPr>
        <w:t>mentomeckelian</w:t>
      </w:r>
      <w:r w:rsidR="005253F4">
        <w:rPr>
          <w:color w:val="222222"/>
        </w:rPr>
        <w:t xml:space="preserve"> cartilage at the mandibular symphysis), and </w:t>
      </w:r>
      <w:proofErr w:type="spellStart"/>
      <w:r w:rsidR="005253F4">
        <w:rPr>
          <w:color w:val="222222"/>
        </w:rPr>
        <w:t>postzygaphophysial</w:t>
      </w:r>
      <w:proofErr w:type="spellEnd"/>
      <w:r w:rsidR="005253F4">
        <w:rPr>
          <w:color w:val="222222"/>
        </w:rPr>
        <w:t xml:space="preserve"> interconnection in </w:t>
      </w:r>
      <w:proofErr w:type="spellStart"/>
      <w:r w:rsidR="005253F4">
        <w:rPr>
          <w:color w:val="222222"/>
        </w:rPr>
        <w:t>postatlantal</w:t>
      </w:r>
      <w:proofErr w:type="spellEnd"/>
      <w:r w:rsidR="005253F4">
        <w:rPr>
          <w:color w:val="222222"/>
        </w:rPr>
        <w:t xml:space="preserve"> vertebrae. </w:t>
      </w:r>
      <w:r w:rsidR="007C4AAB">
        <w:rPr>
          <w:color w:val="222222"/>
        </w:rPr>
        <w:t>D</w:t>
      </w:r>
      <w:r w:rsidR="006F6330" w:rsidRPr="00062F7E">
        <w:rPr>
          <w:color w:val="222222"/>
        </w:rPr>
        <w:t>ifferentiated from albanerpetontids in the presence of pedicellate dentition</w:t>
      </w:r>
      <w:r w:rsidR="00B37CA9">
        <w:rPr>
          <w:color w:val="222222"/>
        </w:rPr>
        <w:t>*</w:t>
      </w:r>
      <w:r w:rsidR="00BD633E">
        <w:rPr>
          <w:color w:val="222222"/>
        </w:rPr>
        <w:t>*</w:t>
      </w:r>
      <w:r w:rsidR="006F6330" w:rsidRPr="00062F7E">
        <w:rPr>
          <w:color w:val="222222"/>
        </w:rPr>
        <w:t xml:space="preserve">, and presence of a dorsally </w:t>
      </w:r>
      <w:r w:rsidR="003C5FB3" w:rsidRPr="00062F7E">
        <w:rPr>
          <w:color w:val="222222"/>
        </w:rPr>
        <w:t xml:space="preserve">facing </w:t>
      </w:r>
      <w:r w:rsidR="005B56BD">
        <w:rPr>
          <w:color w:val="222222"/>
        </w:rPr>
        <w:t>jaw</w:t>
      </w:r>
      <w:r w:rsidR="005B56BD" w:rsidRPr="00062F7E">
        <w:rPr>
          <w:color w:val="222222"/>
        </w:rPr>
        <w:t xml:space="preserve"> </w:t>
      </w:r>
      <w:r w:rsidR="005B56BD">
        <w:rPr>
          <w:color w:val="222222"/>
        </w:rPr>
        <w:t>articulation surface</w:t>
      </w:r>
      <w:r w:rsidR="005B56BD" w:rsidRPr="00062F7E">
        <w:rPr>
          <w:color w:val="222222"/>
        </w:rPr>
        <w:t xml:space="preserve"> </w:t>
      </w:r>
      <w:r w:rsidR="006F6330" w:rsidRPr="00062F7E">
        <w:rPr>
          <w:color w:val="222222"/>
        </w:rPr>
        <w:t xml:space="preserve">of the lower jaw. </w:t>
      </w:r>
    </w:p>
    <w:p w14:paraId="62AB030F" w14:textId="03B9AAC3" w:rsidR="00B40C65" w:rsidRDefault="00A05FAA" w:rsidP="00D57021">
      <w:pPr>
        <w:tabs>
          <w:tab w:val="left" w:pos="900"/>
        </w:tabs>
        <w:rPr>
          <w:color w:val="222222"/>
        </w:rPr>
      </w:pPr>
      <w:r>
        <w:rPr>
          <w:color w:val="222222"/>
        </w:rPr>
        <w:tab/>
      </w:r>
      <w:r w:rsidR="00BA2163" w:rsidRPr="00062F7E">
        <w:rPr>
          <w:color w:val="222222"/>
        </w:rPr>
        <w:t>Diffe</w:t>
      </w:r>
      <w:r w:rsidR="00093C8C">
        <w:rPr>
          <w:color w:val="222222"/>
        </w:rPr>
        <w:t xml:space="preserve">rentiated </w:t>
      </w:r>
      <w:r w:rsidR="006F6330" w:rsidRPr="00062F7E">
        <w:rPr>
          <w:color w:val="222222"/>
        </w:rPr>
        <w:t xml:space="preserve">from </w:t>
      </w:r>
      <w:r w:rsidR="006F6330" w:rsidRPr="00062F7E">
        <w:rPr>
          <w:i/>
          <w:iCs/>
          <w:color w:val="222222"/>
        </w:rPr>
        <w:t>Eocaecilia</w:t>
      </w:r>
      <w:r w:rsidR="00EF0A96">
        <w:rPr>
          <w:i/>
          <w:iCs/>
          <w:color w:val="222222"/>
        </w:rPr>
        <w:t xml:space="preserve"> micropodia</w:t>
      </w:r>
      <w:r w:rsidR="006F6330" w:rsidRPr="00062F7E">
        <w:rPr>
          <w:i/>
          <w:iCs/>
          <w:color w:val="222222"/>
        </w:rPr>
        <w:t xml:space="preserve"> </w:t>
      </w:r>
      <w:r w:rsidR="006F6330" w:rsidRPr="00062F7E">
        <w:rPr>
          <w:color w:val="222222"/>
        </w:rPr>
        <w:t xml:space="preserve">and </w:t>
      </w:r>
      <w:r w:rsidR="006F6330" w:rsidRPr="00062F7E">
        <w:rPr>
          <w:i/>
          <w:iCs/>
          <w:color w:val="222222"/>
        </w:rPr>
        <w:t>Rubricacaecilia</w:t>
      </w:r>
      <w:r w:rsidR="006F6330" w:rsidRPr="00062F7E">
        <w:rPr>
          <w:color w:val="222222"/>
        </w:rPr>
        <w:t xml:space="preserve"> </w:t>
      </w:r>
      <w:r w:rsidR="00EF0A96">
        <w:rPr>
          <w:i/>
          <w:iCs/>
          <w:color w:val="222222"/>
        </w:rPr>
        <w:t xml:space="preserve">monbaroni </w:t>
      </w:r>
      <w:r w:rsidR="006F6330" w:rsidRPr="00062F7E">
        <w:rPr>
          <w:color w:val="222222"/>
        </w:rPr>
        <w:t xml:space="preserve">in the presence of a </w:t>
      </w:r>
      <w:proofErr w:type="spellStart"/>
      <w:r w:rsidR="00FA6E2E">
        <w:rPr>
          <w:color w:val="222222"/>
        </w:rPr>
        <w:t>coossified</w:t>
      </w:r>
      <w:proofErr w:type="spellEnd"/>
      <w:r w:rsidR="00FA6E2E" w:rsidRPr="00062F7E">
        <w:rPr>
          <w:color w:val="222222"/>
        </w:rPr>
        <w:t xml:space="preserve"> </w:t>
      </w:r>
      <w:r w:rsidR="006F6330" w:rsidRPr="00062F7E">
        <w:rPr>
          <w:color w:val="222222"/>
        </w:rPr>
        <w:t>maxilla and palatine. Differ</w:t>
      </w:r>
      <w:r w:rsidR="00093C8C">
        <w:rPr>
          <w:color w:val="222222"/>
        </w:rPr>
        <w:t xml:space="preserve">entiated </w:t>
      </w:r>
      <w:r w:rsidR="006F6330" w:rsidRPr="00062F7E">
        <w:rPr>
          <w:color w:val="222222"/>
        </w:rPr>
        <w:t xml:space="preserve">from </w:t>
      </w:r>
      <w:r w:rsidR="00EF0A96">
        <w:rPr>
          <w:i/>
          <w:iCs/>
          <w:color w:val="222222"/>
        </w:rPr>
        <w:t>E. micropodia</w:t>
      </w:r>
      <w:r w:rsidR="006F6330" w:rsidRPr="00062F7E">
        <w:rPr>
          <w:color w:val="222222"/>
        </w:rPr>
        <w:t xml:space="preserve">, </w:t>
      </w:r>
      <w:r w:rsidR="00EF0A96">
        <w:rPr>
          <w:i/>
          <w:iCs/>
          <w:color w:val="222222"/>
        </w:rPr>
        <w:t>R. monbaroni</w:t>
      </w:r>
      <w:r w:rsidR="006F6330" w:rsidRPr="00062F7E">
        <w:rPr>
          <w:color w:val="222222"/>
        </w:rPr>
        <w:t>, and gymnophionans in the</w:t>
      </w:r>
      <w:r w:rsidR="00AE457D" w:rsidRPr="00062F7E">
        <w:rPr>
          <w:color w:val="222222"/>
        </w:rPr>
        <w:t xml:space="preserve"> absence of osteological correlates for the tentacular organ,</w:t>
      </w:r>
      <w:r w:rsidR="00BD633E">
        <w:rPr>
          <w:color w:val="222222"/>
        </w:rPr>
        <w:t xml:space="preserve"> absence of continuous vomerine-palatal dentition,</w:t>
      </w:r>
      <w:r w:rsidR="006F6330" w:rsidRPr="00062F7E">
        <w:rPr>
          <w:color w:val="222222"/>
        </w:rPr>
        <w:t xml:space="preserve"> absence of the retroarticular and internal processes of the pseudoangular, presence of an enlarged</w:t>
      </w:r>
      <w:r w:rsidR="0049211E">
        <w:rPr>
          <w:color w:val="222222"/>
        </w:rPr>
        <w:t xml:space="preserve"> (occupying &gt;30% pseudoangular length)</w:t>
      </w:r>
      <w:r w:rsidR="005B56BD">
        <w:rPr>
          <w:color w:val="222222"/>
        </w:rPr>
        <w:t xml:space="preserve"> </w:t>
      </w:r>
      <w:r w:rsidR="006F6330" w:rsidRPr="00062F7E">
        <w:rPr>
          <w:color w:val="222222"/>
        </w:rPr>
        <w:t>adductor fossa</w:t>
      </w:r>
      <w:r w:rsidR="00AE457D" w:rsidRPr="00062F7E">
        <w:rPr>
          <w:color w:val="222222"/>
        </w:rPr>
        <w:t xml:space="preserve"> of the pseudoangular</w:t>
      </w:r>
      <w:r w:rsidR="00E81D24">
        <w:rPr>
          <w:color w:val="222222"/>
        </w:rPr>
        <w:t>,</w:t>
      </w:r>
      <w:r w:rsidR="006F6330" w:rsidRPr="00062F7E">
        <w:rPr>
          <w:color w:val="222222"/>
        </w:rPr>
        <w:t xml:space="preserve"> </w:t>
      </w:r>
      <w:r w:rsidR="005B56BD">
        <w:rPr>
          <w:color w:val="222222"/>
        </w:rPr>
        <w:t xml:space="preserve">presence of three insertions for </w:t>
      </w:r>
      <w:r w:rsidR="00DE1EDD">
        <w:rPr>
          <w:color w:val="222222"/>
        </w:rPr>
        <w:t xml:space="preserve">cranial </w:t>
      </w:r>
      <w:r w:rsidR="00813161">
        <w:rPr>
          <w:color w:val="222222"/>
        </w:rPr>
        <w:t>nerve</w:t>
      </w:r>
      <w:r w:rsidR="009C349C">
        <w:rPr>
          <w:color w:val="222222"/>
        </w:rPr>
        <w:t xml:space="preserve"> V</w:t>
      </w:r>
      <w:r w:rsidR="003309E7">
        <w:rPr>
          <w:color w:val="222222"/>
        </w:rPr>
        <w:t xml:space="preserve"> (CN</w:t>
      </w:r>
      <w:r w:rsidR="00DC09A5">
        <w:rPr>
          <w:color w:val="222222"/>
        </w:rPr>
        <w:t xml:space="preserve"> V)</w:t>
      </w:r>
      <w:r w:rsidR="005B56BD">
        <w:rPr>
          <w:color w:val="222222"/>
        </w:rPr>
        <w:t xml:space="preserve"> in the pseudoangular, </w:t>
      </w:r>
      <w:r w:rsidR="00AE457D" w:rsidRPr="00062F7E">
        <w:rPr>
          <w:color w:val="222222"/>
        </w:rPr>
        <w:t>and presence of a symphyseal foramen in the pseudodentary</w:t>
      </w:r>
      <w:r w:rsidR="00BF505B">
        <w:rPr>
          <w:color w:val="222222"/>
        </w:rPr>
        <w:t>*</w:t>
      </w:r>
      <w:r w:rsidR="00BD633E">
        <w:rPr>
          <w:color w:val="222222"/>
        </w:rPr>
        <w:t>*</w:t>
      </w:r>
      <w:r w:rsidR="006F6330" w:rsidRPr="00062F7E">
        <w:rPr>
          <w:color w:val="222222"/>
        </w:rPr>
        <w:t xml:space="preserve">. </w:t>
      </w:r>
      <w:r w:rsidR="00BA2163" w:rsidRPr="00062F7E">
        <w:rPr>
          <w:color w:val="222222"/>
        </w:rPr>
        <w:t>Differ</w:t>
      </w:r>
      <w:r w:rsidR="005E1DE5">
        <w:rPr>
          <w:color w:val="222222"/>
        </w:rPr>
        <w:t xml:space="preserve">entiated </w:t>
      </w:r>
      <w:r w:rsidR="006F6330" w:rsidRPr="00062F7E">
        <w:rPr>
          <w:color w:val="222222"/>
        </w:rPr>
        <w:t xml:space="preserve">from </w:t>
      </w:r>
      <w:r w:rsidR="00EF0A96">
        <w:rPr>
          <w:i/>
          <w:iCs/>
          <w:color w:val="222222"/>
        </w:rPr>
        <w:t>R. monbaroni</w:t>
      </w:r>
      <w:r w:rsidR="00EF0A96" w:rsidRPr="00062F7E">
        <w:rPr>
          <w:color w:val="222222"/>
        </w:rPr>
        <w:t xml:space="preserve"> </w:t>
      </w:r>
      <w:r w:rsidR="00AE457D" w:rsidRPr="00062F7E">
        <w:rPr>
          <w:color w:val="222222"/>
        </w:rPr>
        <w:t xml:space="preserve">and gymnophionans in the absence of a transversely aligned </w:t>
      </w:r>
      <w:r w:rsidR="00F76CEF">
        <w:rPr>
          <w:color w:val="222222"/>
        </w:rPr>
        <w:t>deeply inset U</w:t>
      </w:r>
      <w:r w:rsidR="00AE457D" w:rsidRPr="00062F7E">
        <w:rPr>
          <w:color w:val="222222"/>
        </w:rPr>
        <w:t xml:space="preserve">-shaped </w:t>
      </w:r>
      <w:r w:rsidR="005B56BD">
        <w:rPr>
          <w:color w:val="222222"/>
        </w:rPr>
        <w:t>jaw</w:t>
      </w:r>
      <w:r w:rsidR="005B56BD" w:rsidRPr="00062F7E">
        <w:rPr>
          <w:color w:val="222222"/>
        </w:rPr>
        <w:t xml:space="preserve"> </w:t>
      </w:r>
      <w:r w:rsidR="00AE457D" w:rsidRPr="00062F7E">
        <w:rPr>
          <w:color w:val="222222"/>
        </w:rPr>
        <w:t xml:space="preserve">articulation surface of the pseudoangular, and &gt;40 and &gt;20 tooth pedicels in the labial and lingual tooth rows of the </w:t>
      </w:r>
      <w:proofErr w:type="spellStart"/>
      <w:r w:rsidR="00AE457D" w:rsidRPr="00062F7E">
        <w:rPr>
          <w:color w:val="222222"/>
        </w:rPr>
        <w:t>pseudodentary</w:t>
      </w:r>
      <w:proofErr w:type="spellEnd"/>
      <w:r w:rsidR="009B0AFE">
        <w:rPr>
          <w:color w:val="222222"/>
        </w:rPr>
        <w:t>*</w:t>
      </w:r>
      <w:r w:rsidR="00BD633E">
        <w:rPr>
          <w:color w:val="222222"/>
        </w:rPr>
        <w:t>*</w:t>
      </w:r>
      <w:r w:rsidR="00AE457D" w:rsidRPr="00062F7E">
        <w:rPr>
          <w:color w:val="222222"/>
        </w:rPr>
        <w:t>, respectively (except</w:t>
      </w:r>
      <w:r w:rsidR="00E302F6" w:rsidRPr="00062F7E">
        <w:rPr>
          <w:color w:val="222222"/>
        </w:rPr>
        <w:t>ing</w:t>
      </w:r>
      <w:r w:rsidR="00AE457D" w:rsidRPr="00062F7E">
        <w:rPr>
          <w:color w:val="222222"/>
        </w:rPr>
        <w:t xml:space="preserve"> </w:t>
      </w:r>
      <w:proofErr w:type="spellStart"/>
      <w:r w:rsidR="00AE457D" w:rsidRPr="00062F7E">
        <w:rPr>
          <w:i/>
          <w:iCs/>
          <w:color w:val="222222"/>
        </w:rPr>
        <w:t>Praslinia</w:t>
      </w:r>
      <w:proofErr w:type="spellEnd"/>
      <w:r w:rsidR="00AE457D" w:rsidRPr="00062F7E">
        <w:rPr>
          <w:i/>
          <w:iCs/>
          <w:color w:val="222222"/>
        </w:rPr>
        <w:t xml:space="preserve"> </w:t>
      </w:r>
      <w:proofErr w:type="spellStart"/>
      <w:r w:rsidR="00AE457D" w:rsidRPr="00062F7E">
        <w:rPr>
          <w:i/>
          <w:iCs/>
          <w:color w:val="222222"/>
        </w:rPr>
        <w:t>cooperi</w:t>
      </w:r>
      <w:proofErr w:type="spellEnd"/>
      <w:r w:rsidR="00AE457D" w:rsidRPr="00062F7E">
        <w:rPr>
          <w:color w:val="222222"/>
        </w:rPr>
        <w:t>). Differ</w:t>
      </w:r>
      <w:r w:rsidR="007A79EB">
        <w:rPr>
          <w:color w:val="222222"/>
        </w:rPr>
        <w:t>entiated f</w:t>
      </w:r>
      <w:r w:rsidR="00AE457D" w:rsidRPr="00062F7E">
        <w:rPr>
          <w:color w:val="222222"/>
        </w:rPr>
        <w:t>rom gymnophionans in the presence of hind limbs</w:t>
      </w:r>
      <w:r w:rsidR="008D40F9">
        <w:rPr>
          <w:color w:val="222222"/>
        </w:rPr>
        <w:t xml:space="preserve">. </w:t>
      </w:r>
    </w:p>
    <w:p w14:paraId="24D03D7F" w14:textId="77777777" w:rsidR="00D665DC" w:rsidRPr="00062F7E" w:rsidRDefault="00D665DC" w:rsidP="00662B68">
      <w:pPr>
        <w:tabs>
          <w:tab w:val="left" w:pos="3587"/>
        </w:tabs>
        <w:rPr>
          <w:color w:val="222222"/>
        </w:rPr>
      </w:pPr>
    </w:p>
    <w:p w14:paraId="55EB7961" w14:textId="459C6544" w:rsidR="00CF6452" w:rsidRPr="00062F7E" w:rsidRDefault="00CF6452" w:rsidP="00662B68">
      <w:pPr>
        <w:rPr>
          <w:b/>
          <w:bCs/>
          <w:color w:val="222222"/>
        </w:rPr>
      </w:pPr>
    </w:p>
    <w:p w14:paraId="174C1DFA" w14:textId="42FE1F8E" w:rsidR="002131A7" w:rsidRDefault="00F97E2F">
      <w:pPr>
        <w:rPr>
          <w:color w:val="000000" w:themeColor="text1"/>
        </w:rPr>
      </w:pPr>
      <w:r>
        <w:rPr>
          <w:b/>
          <w:bCs/>
          <w:color w:val="000000" w:themeColor="text1"/>
        </w:rPr>
        <w:t>Maxillopalatine</w:t>
      </w:r>
      <w:r w:rsidR="00CF6452" w:rsidRPr="00062F7E">
        <w:rPr>
          <w:i/>
          <w:iCs/>
          <w:color w:val="000000" w:themeColor="text1"/>
        </w:rPr>
        <w:t>.</w:t>
      </w:r>
      <w:r w:rsidR="00CF6452" w:rsidRPr="00062F7E">
        <w:rPr>
          <w:color w:val="000000" w:themeColor="text1"/>
        </w:rPr>
        <w:t xml:space="preserve"> </w:t>
      </w:r>
      <w:r w:rsidR="00331FC1" w:rsidRPr="00062F7E">
        <w:rPr>
          <w:color w:val="000000" w:themeColor="text1"/>
        </w:rPr>
        <w:t>PEFO 46481</w:t>
      </w:r>
      <w:r w:rsidR="00BD633E">
        <w:rPr>
          <w:color w:val="000000" w:themeColor="text1"/>
        </w:rPr>
        <w:t xml:space="preserve"> (</w:t>
      </w:r>
      <w:r w:rsidRPr="000C7B84">
        <w:t>Fig</w:t>
      </w:r>
      <w:r>
        <w:t>.</w:t>
      </w:r>
      <w:r w:rsidRPr="000C7B84">
        <w:t xml:space="preserve"> </w:t>
      </w:r>
      <w:r>
        <w:t xml:space="preserve">1, Extended Data Fig. </w:t>
      </w:r>
      <w:r w:rsidR="006861C0">
        <w:t>4</w:t>
      </w:r>
      <w:r w:rsidRPr="000C7B84">
        <w:t>)</w:t>
      </w:r>
      <w:r w:rsidR="00331FC1" w:rsidRPr="00062F7E">
        <w:rPr>
          <w:color w:val="000000" w:themeColor="text1"/>
        </w:rPr>
        <w:t xml:space="preserve"> represents a partial left maxillopalatine </w:t>
      </w:r>
      <w:r w:rsidR="0008677C" w:rsidRPr="00062F7E">
        <w:rPr>
          <w:color w:val="000000" w:themeColor="text1"/>
        </w:rPr>
        <w:t>missing</w:t>
      </w:r>
      <w:r w:rsidR="00331FC1" w:rsidRPr="00062F7E">
        <w:rPr>
          <w:color w:val="000000" w:themeColor="text1"/>
        </w:rPr>
        <w:t xml:space="preserve"> its</w:t>
      </w:r>
      <w:r w:rsidR="0008677C" w:rsidRPr="00062F7E">
        <w:rPr>
          <w:color w:val="000000" w:themeColor="text1"/>
        </w:rPr>
        <w:t xml:space="preserve"> dorsal,</w:t>
      </w:r>
      <w:r w:rsidR="00331FC1" w:rsidRPr="00062F7E">
        <w:rPr>
          <w:color w:val="000000" w:themeColor="text1"/>
        </w:rPr>
        <w:t xml:space="preserve"> posterior</w:t>
      </w:r>
      <w:r w:rsidR="0008677C" w:rsidRPr="00062F7E">
        <w:rPr>
          <w:color w:val="000000" w:themeColor="text1"/>
        </w:rPr>
        <w:t xml:space="preserve">, and </w:t>
      </w:r>
      <w:r w:rsidR="00331FC1" w:rsidRPr="00062F7E">
        <w:rPr>
          <w:color w:val="000000" w:themeColor="text1"/>
        </w:rPr>
        <w:t xml:space="preserve">anterior </w:t>
      </w:r>
      <w:r w:rsidR="0008677C" w:rsidRPr="00062F7E">
        <w:rPr>
          <w:color w:val="000000" w:themeColor="text1"/>
        </w:rPr>
        <w:t>surfaces</w:t>
      </w:r>
      <w:r w:rsidR="00402238" w:rsidRPr="00062F7E">
        <w:rPr>
          <w:color w:val="000000" w:themeColor="text1"/>
        </w:rPr>
        <w:t xml:space="preserve"> due to breakage during </w:t>
      </w:r>
      <w:r w:rsidR="00402238" w:rsidRPr="00062F7E">
        <w:rPr>
          <w:color w:val="000000" w:themeColor="text1"/>
        </w:rPr>
        <w:lastRenderedPageBreak/>
        <w:t>collection</w:t>
      </w:r>
      <w:r w:rsidR="00331FC1" w:rsidRPr="00062F7E">
        <w:rPr>
          <w:color w:val="000000" w:themeColor="text1"/>
        </w:rPr>
        <w:t xml:space="preserve">. </w:t>
      </w:r>
      <w:r w:rsidR="00402238" w:rsidRPr="00062F7E">
        <w:rPr>
          <w:color w:val="000000" w:themeColor="text1"/>
        </w:rPr>
        <w:t xml:space="preserve">The medial and ventral surfaces are obscured in rock </w:t>
      </w:r>
      <w:r w:rsidR="00725DD8" w:rsidRPr="00062F7E">
        <w:rPr>
          <w:color w:val="000000" w:themeColor="text1"/>
        </w:rPr>
        <w:t>matrix and</w:t>
      </w:r>
      <w:r w:rsidR="00402238" w:rsidRPr="00062F7E">
        <w:rPr>
          <w:color w:val="000000" w:themeColor="text1"/>
        </w:rPr>
        <w:t xml:space="preserve"> were digitally segmented </w:t>
      </w:r>
      <w:r w:rsidR="00A52197" w:rsidRPr="00062F7E">
        <w:rPr>
          <w:color w:val="000000" w:themeColor="text1"/>
        </w:rPr>
        <w:t xml:space="preserve">from CT data </w:t>
      </w:r>
      <w:r w:rsidR="00402238" w:rsidRPr="00062F7E">
        <w:rPr>
          <w:color w:val="000000" w:themeColor="text1"/>
        </w:rPr>
        <w:t>to reveal the underlying morphology</w:t>
      </w:r>
      <w:r w:rsidR="001B6523">
        <w:rPr>
          <w:color w:val="000000" w:themeColor="text1"/>
        </w:rPr>
        <w:t xml:space="preserve"> (Methods)</w:t>
      </w:r>
      <w:r w:rsidR="00402238" w:rsidRPr="00062F7E">
        <w:rPr>
          <w:color w:val="000000" w:themeColor="text1"/>
        </w:rPr>
        <w:t xml:space="preserve">. </w:t>
      </w:r>
      <w:r w:rsidR="005C7B0A" w:rsidRPr="00062F7E">
        <w:rPr>
          <w:color w:val="000000" w:themeColor="text1"/>
        </w:rPr>
        <w:t>The element</w:t>
      </w:r>
      <w:r w:rsidR="00BD344C" w:rsidRPr="00062F7E">
        <w:rPr>
          <w:color w:val="000000" w:themeColor="text1"/>
        </w:rPr>
        <w:t xml:space="preserve"> is mediolaterally broad, accommodating the parallel maxillary</w:t>
      </w:r>
      <w:r w:rsidR="006C7150" w:rsidRPr="00062F7E">
        <w:rPr>
          <w:color w:val="000000" w:themeColor="text1"/>
        </w:rPr>
        <w:t xml:space="preserve"> </w:t>
      </w:r>
      <w:r w:rsidR="00BD344C" w:rsidRPr="00062F7E">
        <w:rPr>
          <w:color w:val="000000" w:themeColor="text1"/>
        </w:rPr>
        <w:t>and palatal</w:t>
      </w:r>
      <w:r w:rsidR="004035D1" w:rsidRPr="00062F7E">
        <w:rPr>
          <w:color w:val="000000" w:themeColor="text1"/>
        </w:rPr>
        <w:t xml:space="preserve"> </w:t>
      </w:r>
      <w:r w:rsidR="00BD344C" w:rsidRPr="00062F7E">
        <w:rPr>
          <w:color w:val="000000" w:themeColor="text1"/>
        </w:rPr>
        <w:t xml:space="preserve">tooth rows on its ventral surface. </w:t>
      </w:r>
      <w:r w:rsidR="00E60CE2" w:rsidRPr="00062F7E">
        <w:rPr>
          <w:color w:val="000000" w:themeColor="text1"/>
        </w:rPr>
        <w:t xml:space="preserve">The maxillopalatine in </w:t>
      </w:r>
      <w:r w:rsidR="00E60CE2" w:rsidRPr="00062F7E">
        <w:rPr>
          <w:i/>
          <w:iCs/>
          <w:color w:val="000000" w:themeColor="text1"/>
        </w:rPr>
        <w:t>Funcusvermis</w:t>
      </w:r>
      <w:r w:rsidR="00EF0A96">
        <w:rPr>
          <w:i/>
          <w:iCs/>
          <w:color w:val="000000" w:themeColor="text1"/>
        </w:rPr>
        <w:t xml:space="preserve"> gilmorei</w:t>
      </w:r>
      <w:r w:rsidR="00E60CE2" w:rsidRPr="00062F7E">
        <w:rPr>
          <w:color w:val="000000" w:themeColor="text1"/>
        </w:rPr>
        <w:t xml:space="preserve"> is formed by a </w:t>
      </w:r>
      <w:proofErr w:type="spellStart"/>
      <w:r w:rsidR="00FA6E2E">
        <w:rPr>
          <w:color w:val="000000" w:themeColor="text1"/>
        </w:rPr>
        <w:t>coossification</w:t>
      </w:r>
      <w:proofErr w:type="spellEnd"/>
      <w:r w:rsidR="00FA6E2E" w:rsidRPr="00062F7E">
        <w:rPr>
          <w:color w:val="000000" w:themeColor="text1"/>
        </w:rPr>
        <w:t xml:space="preserve"> </w:t>
      </w:r>
      <w:r w:rsidR="00E60CE2" w:rsidRPr="00062F7E">
        <w:rPr>
          <w:color w:val="000000" w:themeColor="text1"/>
        </w:rPr>
        <w:t xml:space="preserve">of the maxilla to the palatine, differing from the condition in </w:t>
      </w:r>
      <w:r w:rsidR="00E60CE2" w:rsidRPr="00062F7E">
        <w:rPr>
          <w:i/>
          <w:iCs/>
          <w:color w:val="000000" w:themeColor="text1"/>
        </w:rPr>
        <w:t>Eocaecilia</w:t>
      </w:r>
      <w:r w:rsidR="000839E5" w:rsidRPr="00062F7E">
        <w:rPr>
          <w:i/>
          <w:iCs/>
          <w:color w:val="000000" w:themeColor="text1"/>
        </w:rPr>
        <w:t xml:space="preserve"> micropod</w:t>
      </w:r>
      <w:r w:rsidR="005D6724">
        <w:rPr>
          <w:i/>
          <w:iCs/>
          <w:color w:val="000000" w:themeColor="text1"/>
        </w:rPr>
        <w:t>i</w:t>
      </w:r>
      <w:r w:rsidR="000839E5" w:rsidRPr="00062F7E">
        <w:rPr>
          <w:i/>
          <w:iCs/>
          <w:color w:val="000000" w:themeColor="text1"/>
        </w:rPr>
        <w:t xml:space="preserve">a </w:t>
      </w:r>
      <w:r w:rsidR="000839E5" w:rsidRPr="00062F7E">
        <w:rPr>
          <w:color w:val="000000" w:themeColor="text1"/>
        </w:rPr>
        <w:t>(Jenkins and Walsh, 1993; Jenkins et al., 2007)</w:t>
      </w:r>
      <w:r w:rsidR="00E60CE2" w:rsidRPr="00062F7E">
        <w:rPr>
          <w:color w:val="000000" w:themeColor="text1"/>
        </w:rPr>
        <w:t xml:space="preserve"> and </w:t>
      </w:r>
      <w:proofErr w:type="spellStart"/>
      <w:r w:rsidR="00E60CE2" w:rsidRPr="00062F7E">
        <w:rPr>
          <w:i/>
          <w:iCs/>
          <w:color w:val="000000" w:themeColor="text1"/>
        </w:rPr>
        <w:t>Rubricacaecilia</w:t>
      </w:r>
      <w:proofErr w:type="spellEnd"/>
      <w:r w:rsidR="00E60CE2" w:rsidRPr="00062F7E">
        <w:rPr>
          <w:color w:val="000000" w:themeColor="text1"/>
        </w:rPr>
        <w:t xml:space="preserve"> </w:t>
      </w:r>
      <w:proofErr w:type="spellStart"/>
      <w:r w:rsidR="000839E5" w:rsidRPr="00062F7E">
        <w:rPr>
          <w:i/>
          <w:iCs/>
          <w:color w:val="000000" w:themeColor="text1"/>
        </w:rPr>
        <w:t>monbaroni</w:t>
      </w:r>
      <w:proofErr w:type="spellEnd"/>
      <w:r w:rsidR="000839E5" w:rsidRPr="00062F7E">
        <w:rPr>
          <w:color w:val="000000" w:themeColor="text1"/>
        </w:rPr>
        <w:t xml:space="preserve"> (Evans </w:t>
      </w:r>
      <w:r w:rsidR="00DE7110">
        <w:rPr>
          <w:color w:val="000000" w:themeColor="text1"/>
        </w:rPr>
        <w:t>&amp;</w:t>
      </w:r>
      <w:r w:rsidR="000839E5" w:rsidRPr="00062F7E">
        <w:rPr>
          <w:color w:val="000000" w:themeColor="text1"/>
        </w:rPr>
        <w:t xml:space="preserve"> </w:t>
      </w:r>
      <w:proofErr w:type="spellStart"/>
      <w:r w:rsidR="000839E5" w:rsidRPr="00062F7E">
        <w:rPr>
          <w:color w:val="000000" w:themeColor="text1"/>
        </w:rPr>
        <w:t>Sigogneau</w:t>
      </w:r>
      <w:proofErr w:type="spellEnd"/>
      <w:r w:rsidR="000839E5" w:rsidRPr="00062F7E">
        <w:rPr>
          <w:color w:val="000000" w:themeColor="text1"/>
        </w:rPr>
        <w:t xml:space="preserve">-Russel, 2001) </w:t>
      </w:r>
      <w:r w:rsidR="00E60CE2" w:rsidRPr="00062F7E">
        <w:rPr>
          <w:color w:val="000000" w:themeColor="text1"/>
        </w:rPr>
        <w:t xml:space="preserve">where these elements are separate </w:t>
      </w:r>
      <w:r w:rsidR="00FE4619">
        <w:rPr>
          <w:color w:val="000000" w:themeColor="text1"/>
        </w:rPr>
        <w:t xml:space="preserve">(i.e., </w:t>
      </w:r>
      <w:r w:rsidR="00FA6E2E">
        <w:rPr>
          <w:color w:val="000000" w:themeColor="text1"/>
        </w:rPr>
        <w:t>non-</w:t>
      </w:r>
      <w:proofErr w:type="spellStart"/>
      <w:r w:rsidR="00FA6E2E">
        <w:rPr>
          <w:color w:val="000000" w:themeColor="text1"/>
        </w:rPr>
        <w:t>coossified</w:t>
      </w:r>
      <w:proofErr w:type="spellEnd"/>
      <w:r w:rsidR="00FE4619">
        <w:rPr>
          <w:color w:val="000000" w:themeColor="text1"/>
        </w:rPr>
        <w:t>)</w:t>
      </w:r>
      <w:r w:rsidR="00FA6E2E" w:rsidRPr="00062F7E">
        <w:rPr>
          <w:color w:val="000000" w:themeColor="text1"/>
        </w:rPr>
        <w:t xml:space="preserve"> </w:t>
      </w:r>
      <w:r w:rsidR="00E60CE2" w:rsidRPr="00062F7E">
        <w:rPr>
          <w:color w:val="000000" w:themeColor="text1"/>
        </w:rPr>
        <w:t xml:space="preserve">ossifications. Given the </w:t>
      </w:r>
      <w:r w:rsidR="006C4FA9" w:rsidRPr="00062F7E">
        <w:rPr>
          <w:color w:val="000000" w:themeColor="text1"/>
        </w:rPr>
        <w:t>earliest-diverging</w:t>
      </w:r>
      <w:r w:rsidR="00E60CE2" w:rsidRPr="00062F7E">
        <w:rPr>
          <w:color w:val="000000" w:themeColor="text1"/>
        </w:rPr>
        <w:t xml:space="preserve"> position of </w:t>
      </w:r>
      <w:r w:rsidR="00EF0A96">
        <w:rPr>
          <w:i/>
          <w:iCs/>
          <w:color w:val="000000" w:themeColor="text1"/>
        </w:rPr>
        <w:t>F. gilmorei</w:t>
      </w:r>
      <w:r w:rsidR="00EF0A96" w:rsidRPr="00062F7E">
        <w:rPr>
          <w:i/>
          <w:iCs/>
          <w:color w:val="000000" w:themeColor="text1"/>
        </w:rPr>
        <w:t xml:space="preserve"> </w:t>
      </w:r>
      <w:r w:rsidR="00E60CE2" w:rsidRPr="00062F7E">
        <w:rPr>
          <w:color w:val="000000" w:themeColor="text1"/>
        </w:rPr>
        <w:t>among gymnophionomorphs as recovered in our phylogenetic analyses,</w:t>
      </w:r>
      <w:r w:rsidR="006C4FA9" w:rsidRPr="00062F7E">
        <w:rPr>
          <w:color w:val="000000" w:themeColor="text1"/>
        </w:rPr>
        <w:t xml:space="preserve"> </w:t>
      </w:r>
      <w:proofErr w:type="spellStart"/>
      <w:r w:rsidR="00FA6E2E">
        <w:rPr>
          <w:color w:val="000000" w:themeColor="text1"/>
        </w:rPr>
        <w:t>coossification</w:t>
      </w:r>
      <w:proofErr w:type="spellEnd"/>
      <w:r w:rsidR="00FA6E2E" w:rsidRPr="00062F7E">
        <w:rPr>
          <w:color w:val="000000" w:themeColor="text1"/>
        </w:rPr>
        <w:t xml:space="preserve"> </w:t>
      </w:r>
      <w:r w:rsidR="006C4FA9" w:rsidRPr="00062F7E">
        <w:rPr>
          <w:color w:val="000000" w:themeColor="text1"/>
        </w:rPr>
        <w:t xml:space="preserve">of the maxilla and palatine occurred early in gymnophionomorph evolution and is present </w:t>
      </w:r>
      <w:r w:rsidR="00A05FAA">
        <w:rPr>
          <w:color w:val="000000" w:themeColor="text1"/>
        </w:rPr>
        <w:t>by</w:t>
      </w:r>
      <w:r w:rsidR="006C4FA9" w:rsidRPr="00062F7E">
        <w:rPr>
          <w:color w:val="000000" w:themeColor="text1"/>
        </w:rPr>
        <w:t xml:space="preserve"> the common ancestor of </w:t>
      </w:r>
      <w:r w:rsidR="00EF0A96">
        <w:rPr>
          <w:i/>
          <w:iCs/>
          <w:color w:val="000000" w:themeColor="text1"/>
        </w:rPr>
        <w:t>F. gilmorei</w:t>
      </w:r>
      <w:r w:rsidR="00EF0A96" w:rsidRPr="00062F7E">
        <w:rPr>
          <w:color w:val="000000" w:themeColor="text1"/>
        </w:rPr>
        <w:t xml:space="preserve"> </w:t>
      </w:r>
      <w:r w:rsidR="006C4FA9" w:rsidRPr="00062F7E">
        <w:rPr>
          <w:color w:val="000000" w:themeColor="text1"/>
        </w:rPr>
        <w:t>and Gymnophiona.</w:t>
      </w:r>
      <w:r w:rsidR="00E60CE2" w:rsidRPr="00062F7E">
        <w:rPr>
          <w:color w:val="000000" w:themeColor="text1"/>
        </w:rPr>
        <w:t xml:space="preserve"> </w:t>
      </w:r>
      <w:r w:rsidR="006C4FA9" w:rsidRPr="00062F7E">
        <w:rPr>
          <w:color w:val="000000" w:themeColor="text1"/>
        </w:rPr>
        <w:t>T</w:t>
      </w:r>
      <w:r w:rsidR="00E60CE2" w:rsidRPr="00062F7E">
        <w:rPr>
          <w:color w:val="000000" w:themeColor="text1"/>
        </w:rPr>
        <w:t xml:space="preserve">he separate maxilla and palatine </w:t>
      </w:r>
      <w:r w:rsidR="006C4FA9" w:rsidRPr="00062F7E">
        <w:rPr>
          <w:color w:val="000000" w:themeColor="text1"/>
        </w:rPr>
        <w:t>ossifications reported in</w:t>
      </w:r>
      <w:r w:rsidR="00E60CE2" w:rsidRPr="00062F7E">
        <w:rPr>
          <w:color w:val="000000" w:themeColor="text1"/>
        </w:rPr>
        <w:t xml:space="preserve"> </w:t>
      </w:r>
      <w:r w:rsidR="00EF0A96">
        <w:rPr>
          <w:i/>
          <w:iCs/>
          <w:color w:val="000000" w:themeColor="text1"/>
        </w:rPr>
        <w:t>E. micropodia</w:t>
      </w:r>
      <w:r w:rsidR="00EF0A96" w:rsidRPr="00062F7E">
        <w:rPr>
          <w:color w:val="000000" w:themeColor="text1"/>
        </w:rPr>
        <w:t xml:space="preserve"> </w:t>
      </w:r>
      <w:r w:rsidR="00E60CE2" w:rsidRPr="00062F7E">
        <w:rPr>
          <w:color w:val="000000" w:themeColor="text1"/>
        </w:rPr>
        <w:t xml:space="preserve">and </w:t>
      </w:r>
      <w:r w:rsidR="00EF0A96">
        <w:rPr>
          <w:i/>
          <w:iCs/>
          <w:color w:val="000000" w:themeColor="text1"/>
        </w:rPr>
        <w:t>R. monbaroni</w:t>
      </w:r>
      <w:r w:rsidR="00EF0A96" w:rsidRPr="00062F7E">
        <w:rPr>
          <w:color w:val="000000" w:themeColor="text1"/>
        </w:rPr>
        <w:t xml:space="preserve"> </w:t>
      </w:r>
      <w:r w:rsidR="006C4FA9" w:rsidRPr="00062F7E">
        <w:rPr>
          <w:color w:val="000000" w:themeColor="text1"/>
        </w:rPr>
        <w:t>could represent: [1]</w:t>
      </w:r>
      <w:r w:rsidR="00E60CE2" w:rsidRPr="00062F7E">
        <w:rPr>
          <w:color w:val="000000" w:themeColor="text1"/>
        </w:rPr>
        <w:t xml:space="preserve"> a homoplastic reversal to the ancestral state exhibited in </w:t>
      </w:r>
      <w:proofErr w:type="spellStart"/>
      <w:r w:rsidR="00E60CE2" w:rsidRPr="00062F7E">
        <w:rPr>
          <w:color w:val="000000" w:themeColor="text1"/>
        </w:rPr>
        <w:t>dissorophoids</w:t>
      </w:r>
      <w:proofErr w:type="spellEnd"/>
      <w:r w:rsidR="00E60CE2" w:rsidRPr="00062F7E">
        <w:rPr>
          <w:color w:val="000000" w:themeColor="text1"/>
        </w:rPr>
        <w:t xml:space="preserve">, </w:t>
      </w:r>
      <w:r w:rsidR="006C4FA9" w:rsidRPr="00062F7E">
        <w:rPr>
          <w:color w:val="000000" w:themeColor="text1"/>
        </w:rPr>
        <w:t xml:space="preserve">suggesting </w:t>
      </w:r>
      <w:proofErr w:type="spellStart"/>
      <w:r w:rsidR="00FA6E2E">
        <w:rPr>
          <w:color w:val="000000" w:themeColor="text1"/>
        </w:rPr>
        <w:t>coossification</w:t>
      </w:r>
      <w:proofErr w:type="spellEnd"/>
      <w:r w:rsidR="00FA6E2E" w:rsidRPr="00062F7E">
        <w:rPr>
          <w:color w:val="000000" w:themeColor="text1"/>
        </w:rPr>
        <w:t xml:space="preserve"> </w:t>
      </w:r>
      <w:r w:rsidR="006C4FA9" w:rsidRPr="00062F7E">
        <w:rPr>
          <w:color w:val="000000" w:themeColor="text1"/>
        </w:rPr>
        <w:t xml:space="preserve">of the maxilla and palatine only became canalized in the common ancestor of Gymnophiona; </w:t>
      </w:r>
      <w:r w:rsidR="008D40F9" w:rsidRPr="00062F7E">
        <w:rPr>
          <w:color w:val="000000" w:themeColor="text1"/>
        </w:rPr>
        <w:t>or</w:t>
      </w:r>
      <w:r w:rsidR="006C4FA9" w:rsidRPr="00062F7E">
        <w:rPr>
          <w:color w:val="000000" w:themeColor="text1"/>
        </w:rPr>
        <w:t xml:space="preserve"> [2] </w:t>
      </w:r>
      <w:proofErr w:type="spellStart"/>
      <w:r w:rsidR="00FA6E2E">
        <w:rPr>
          <w:color w:val="000000" w:themeColor="text1"/>
        </w:rPr>
        <w:t>coossification</w:t>
      </w:r>
      <w:proofErr w:type="spellEnd"/>
      <w:r w:rsidR="00FA6E2E" w:rsidRPr="00062F7E">
        <w:rPr>
          <w:color w:val="000000" w:themeColor="text1"/>
        </w:rPr>
        <w:t xml:space="preserve"> </w:t>
      </w:r>
      <w:r w:rsidR="006C4FA9" w:rsidRPr="00062F7E">
        <w:rPr>
          <w:color w:val="000000" w:themeColor="text1"/>
        </w:rPr>
        <w:t xml:space="preserve">of the maxilla and palatine was present in </w:t>
      </w:r>
      <w:r w:rsidR="00EF0A96">
        <w:rPr>
          <w:i/>
          <w:iCs/>
          <w:color w:val="000000" w:themeColor="text1"/>
        </w:rPr>
        <w:t>E. micropodia</w:t>
      </w:r>
      <w:r w:rsidR="00EF0A96" w:rsidRPr="00062F7E">
        <w:rPr>
          <w:i/>
          <w:iCs/>
          <w:color w:val="000000" w:themeColor="text1"/>
        </w:rPr>
        <w:t xml:space="preserve"> </w:t>
      </w:r>
      <w:r w:rsidR="00A81428" w:rsidRPr="00062F7E">
        <w:rPr>
          <w:color w:val="000000" w:themeColor="text1"/>
        </w:rPr>
        <w:t>and</w:t>
      </w:r>
      <w:r w:rsidR="006C4FA9" w:rsidRPr="00062F7E">
        <w:rPr>
          <w:color w:val="000000" w:themeColor="text1"/>
        </w:rPr>
        <w:t xml:space="preserve"> </w:t>
      </w:r>
      <w:r w:rsidR="00EF0A96">
        <w:rPr>
          <w:i/>
          <w:iCs/>
          <w:color w:val="000000" w:themeColor="text1"/>
        </w:rPr>
        <w:t>R. monbaroni</w:t>
      </w:r>
      <w:r w:rsidR="006C4FA9" w:rsidRPr="00062F7E">
        <w:rPr>
          <w:color w:val="000000" w:themeColor="text1"/>
        </w:rPr>
        <w:t xml:space="preserve">, but taphonomic </w:t>
      </w:r>
      <w:r w:rsidR="008D40F9">
        <w:rPr>
          <w:color w:val="000000" w:themeColor="text1"/>
        </w:rPr>
        <w:t>breakage</w:t>
      </w:r>
      <w:r w:rsidR="008D40F9" w:rsidRPr="00062F7E">
        <w:rPr>
          <w:color w:val="000000" w:themeColor="text1"/>
        </w:rPr>
        <w:t xml:space="preserve"> </w:t>
      </w:r>
      <w:r w:rsidR="006C4FA9" w:rsidRPr="00062F7E">
        <w:rPr>
          <w:color w:val="000000" w:themeColor="text1"/>
        </w:rPr>
        <w:t>cause</w:t>
      </w:r>
      <w:r w:rsidR="008D40F9">
        <w:rPr>
          <w:color w:val="000000" w:themeColor="text1"/>
        </w:rPr>
        <w:t>d</w:t>
      </w:r>
      <w:r w:rsidR="006C4FA9" w:rsidRPr="00062F7E">
        <w:rPr>
          <w:color w:val="000000" w:themeColor="text1"/>
        </w:rPr>
        <w:t xml:space="preserve"> these elements to appear separate. </w:t>
      </w:r>
      <w:r w:rsidR="00E60CE2" w:rsidRPr="00062F7E">
        <w:rPr>
          <w:color w:val="000000" w:themeColor="text1"/>
        </w:rPr>
        <w:t>The compound maxillopalatine</w:t>
      </w:r>
      <w:r w:rsidR="00A81428" w:rsidRPr="00062F7E">
        <w:rPr>
          <w:color w:val="000000" w:themeColor="text1"/>
        </w:rPr>
        <w:t xml:space="preserve"> of </w:t>
      </w:r>
      <w:r w:rsidR="00EF0A96">
        <w:rPr>
          <w:i/>
          <w:iCs/>
          <w:color w:val="000000" w:themeColor="text1"/>
        </w:rPr>
        <w:t>F. gilmorei</w:t>
      </w:r>
      <w:r w:rsidR="00EF0A96" w:rsidRPr="00062F7E">
        <w:rPr>
          <w:color w:val="000000" w:themeColor="text1"/>
        </w:rPr>
        <w:t xml:space="preserve"> </w:t>
      </w:r>
      <w:r w:rsidR="00E60CE2" w:rsidRPr="00062F7E">
        <w:rPr>
          <w:color w:val="000000" w:themeColor="text1"/>
        </w:rPr>
        <w:t>is shared with all gymnophionans</w:t>
      </w:r>
      <w:r w:rsidR="00F02DCB">
        <w:rPr>
          <w:color w:val="000000" w:themeColor="text1"/>
        </w:rPr>
        <w:t>.</w:t>
      </w:r>
    </w:p>
    <w:p w14:paraId="7D744AAA" w14:textId="44BE2D2F" w:rsidR="00A81428" w:rsidRPr="00062F7E" w:rsidRDefault="00905A04" w:rsidP="00662B68">
      <w:pPr>
        <w:rPr>
          <w:color w:val="000000" w:themeColor="text1"/>
        </w:rPr>
      </w:pPr>
      <w:r>
        <w:rPr>
          <w:color w:val="000000" w:themeColor="text1"/>
        </w:rPr>
        <w:tab/>
      </w:r>
      <w:r w:rsidR="00005CE1">
        <w:rPr>
          <w:color w:val="000000" w:themeColor="text1"/>
        </w:rPr>
        <w:t>S</w:t>
      </w:r>
      <w:r w:rsidR="004175C5">
        <w:rPr>
          <w:color w:val="000000" w:themeColor="text1"/>
        </w:rPr>
        <w:t>tudies demonstrate the maxillopalatine of living caecilians is formed</w:t>
      </w:r>
      <w:r w:rsidR="005D6F85">
        <w:rPr>
          <w:color w:val="000000" w:themeColor="text1"/>
        </w:rPr>
        <w:t xml:space="preserve"> during development</w:t>
      </w:r>
      <w:r w:rsidR="004175C5">
        <w:rPr>
          <w:color w:val="000000" w:themeColor="text1"/>
        </w:rPr>
        <w:t xml:space="preserve"> by </w:t>
      </w:r>
      <w:proofErr w:type="spellStart"/>
      <w:r w:rsidR="004175C5">
        <w:rPr>
          <w:color w:val="000000" w:themeColor="text1"/>
        </w:rPr>
        <w:t>coossification</w:t>
      </w:r>
      <w:proofErr w:type="spellEnd"/>
      <w:r w:rsidR="004175C5">
        <w:rPr>
          <w:color w:val="000000" w:themeColor="text1"/>
        </w:rPr>
        <w:t xml:space="preserve"> of the medial side of the maxilla to the lateral side of the palatine (Wake </w:t>
      </w:r>
      <w:r w:rsidR="00931B4E">
        <w:rPr>
          <w:color w:val="000000" w:themeColor="text1"/>
        </w:rPr>
        <w:t>&amp;</w:t>
      </w:r>
      <w:r w:rsidR="004175C5">
        <w:rPr>
          <w:color w:val="000000" w:themeColor="text1"/>
        </w:rPr>
        <w:t xml:space="preserve"> </w:t>
      </w:r>
      <w:proofErr w:type="spellStart"/>
      <w:r w:rsidR="004175C5">
        <w:rPr>
          <w:color w:val="000000" w:themeColor="text1"/>
        </w:rPr>
        <w:t>Hanken</w:t>
      </w:r>
      <w:proofErr w:type="spellEnd"/>
      <w:r w:rsidR="004175C5">
        <w:rPr>
          <w:color w:val="000000" w:themeColor="text1"/>
        </w:rPr>
        <w:t xml:space="preserve">, 1982; Reiss, 1996; </w:t>
      </w:r>
      <w:r w:rsidR="00191724" w:rsidRPr="00191724">
        <w:rPr>
          <w:rFonts w:eastAsiaTheme="minorHAnsi"/>
        </w:rPr>
        <w:t>Müller</w:t>
      </w:r>
      <w:r w:rsidR="00191724" w:rsidRPr="00191724" w:rsidDel="00191724">
        <w:rPr>
          <w:color w:val="000000" w:themeColor="text1"/>
        </w:rPr>
        <w:t xml:space="preserve"> </w:t>
      </w:r>
      <w:r w:rsidR="004175C5" w:rsidRPr="00191724">
        <w:rPr>
          <w:color w:val="000000" w:themeColor="text1"/>
        </w:rPr>
        <w:t>et al., 2005</w:t>
      </w:r>
      <w:r w:rsidR="00097FC7" w:rsidRPr="00191724">
        <w:rPr>
          <w:color w:val="000000" w:themeColor="text1"/>
        </w:rPr>
        <w:t xml:space="preserve">; </w:t>
      </w:r>
      <w:r w:rsidR="00191724" w:rsidRPr="00191724">
        <w:rPr>
          <w:rFonts w:eastAsiaTheme="minorHAnsi"/>
        </w:rPr>
        <w:t>Müller</w:t>
      </w:r>
      <w:r w:rsidR="00191724" w:rsidDel="00191724">
        <w:rPr>
          <w:color w:val="000000" w:themeColor="text1"/>
        </w:rPr>
        <w:t xml:space="preserve"> </w:t>
      </w:r>
      <w:r w:rsidR="00097FC7">
        <w:rPr>
          <w:color w:val="000000" w:themeColor="text1"/>
        </w:rPr>
        <w:t xml:space="preserve">2006; </w:t>
      </w:r>
      <w:proofErr w:type="spellStart"/>
      <w:r w:rsidR="00097FC7">
        <w:rPr>
          <w:color w:val="000000" w:themeColor="text1"/>
        </w:rPr>
        <w:t>Theska</w:t>
      </w:r>
      <w:proofErr w:type="spellEnd"/>
      <w:r w:rsidR="00097FC7">
        <w:rPr>
          <w:color w:val="000000" w:themeColor="text1"/>
        </w:rPr>
        <w:t xml:space="preserve"> et al., 2019</w:t>
      </w:r>
      <w:r w:rsidR="004175C5">
        <w:rPr>
          <w:color w:val="000000" w:themeColor="text1"/>
        </w:rPr>
        <w:t xml:space="preserve">), </w:t>
      </w:r>
      <w:r w:rsidR="005D6F85">
        <w:rPr>
          <w:color w:val="000000" w:themeColor="text1"/>
        </w:rPr>
        <w:t xml:space="preserve">however </w:t>
      </w:r>
      <w:r w:rsidR="002131A7">
        <w:rPr>
          <w:color w:val="000000" w:themeColor="text1"/>
        </w:rPr>
        <w:t>another</w:t>
      </w:r>
      <w:r w:rsidR="005D6F85">
        <w:rPr>
          <w:color w:val="000000" w:themeColor="text1"/>
        </w:rPr>
        <w:t xml:space="preserve"> smaller ossification fuse</w:t>
      </w:r>
      <w:r w:rsidR="002131A7">
        <w:rPr>
          <w:color w:val="000000" w:themeColor="text1"/>
        </w:rPr>
        <w:t>s</w:t>
      </w:r>
      <w:r w:rsidR="005D6F85">
        <w:rPr>
          <w:color w:val="000000" w:themeColor="text1"/>
        </w:rPr>
        <w:t xml:space="preserve"> with the maxillopalatine during embryonic development in some taxa</w:t>
      </w:r>
      <w:r w:rsidR="001F2134">
        <w:rPr>
          <w:color w:val="000000" w:themeColor="text1"/>
        </w:rPr>
        <w:t>,</w:t>
      </w:r>
      <w:r w:rsidR="005D6F85">
        <w:rPr>
          <w:color w:val="000000" w:themeColor="text1"/>
        </w:rPr>
        <w:t xml:space="preserve"> including </w:t>
      </w:r>
      <w:proofErr w:type="spellStart"/>
      <w:r w:rsidR="002131A7" w:rsidRPr="00662B68">
        <w:rPr>
          <w:i/>
          <w:iCs/>
          <w:color w:val="000000" w:themeColor="text1"/>
        </w:rPr>
        <w:t>Dermophis</w:t>
      </w:r>
      <w:proofErr w:type="spellEnd"/>
      <w:r w:rsidR="002131A7" w:rsidRPr="00662B68">
        <w:rPr>
          <w:i/>
          <w:iCs/>
          <w:color w:val="000000" w:themeColor="text1"/>
        </w:rPr>
        <w:t xml:space="preserve"> mexicanus</w:t>
      </w:r>
      <w:r w:rsidR="002131A7">
        <w:rPr>
          <w:color w:val="000000" w:themeColor="text1"/>
        </w:rPr>
        <w:t xml:space="preserve">, </w:t>
      </w:r>
      <w:proofErr w:type="spellStart"/>
      <w:r w:rsidR="005D6F85" w:rsidRPr="00662B68">
        <w:rPr>
          <w:i/>
          <w:iCs/>
          <w:color w:val="000000" w:themeColor="text1"/>
        </w:rPr>
        <w:t>Indiocranium</w:t>
      </w:r>
      <w:proofErr w:type="spellEnd"/>
      <w:r w:rsidR="005D6F85" w:rsidRPr="00662B68">
        <w:rPr>
          <w:i/>
          <w:iCs/>
          <w:color w:val="000000" w:themeColor="text1"/>
        </w:rPr>
        <w:t xml:space="preserve"> </w:t>
      </w:r>
      <w:proofErr w:type="spellStart"/>
      <w:r w:rsidR="005D6F85" w:rsidRPr="00662B68">
        <w:rPr>
          <w:i/>
          <w:iCs/>
          <w:color w:val="000000" w:themeColor="text1"/>
        </w:rPr>
        <w:t>russeli</w:t>
      </w:r>
      <w:proofErr w:type="spellEnd"/>
      <w:r w:rsidR="002131A7">
        <w:rPr>
          <w:color w:val="000000" w:themeColor="text1"/>
        </w:rPr>
        <w:t xml:space="preserve">, </w:t>
      </w:r>
      <w:proofErr w:type="spellStart"/>
      <w:r w:rsidR="002131A7" w:rsidRPr="00662B68">
        <w:rPr>
          <w:i/>
          <w:iCs/>
          <w:color w:val="000000" w:themeColor="text1"/>
        </w:rPr>
        <w:t>Gegeneophis</w:t>
      </w:r>
      <w:proofErr w:type="spellEnd"/>
      <w:r w:rsidR="002131A7" w:rsidRPr="00662B68">
        <w:rPr>
          <w:i/>
          <w:iCs/>
          <w:color w:val="000000" w:themeColor="text1"/>
        </w:rPr>
        <w:t xml:space="preserve"> </w:t>
      </w:r>
      <w:proofErr w:type="spellStart"/>
      <w:r w:rsidR="002131A7" w:rsidRPr="00662B68">
        <w:rPr>
          <w:i/>
          <w:iCs/>
          <w:color w:val="000000" w:themeColor="text1"/>
        </w:rPr>
        <w:t>ramaswamii</w:t>
      </w:r>
      <w:proofErr w:type="spellEnd"/>
      <w:r w:rsidR="002131A7">
        <w:rPr>
          <w:color w:val="000000" w:themeColor="text1"/>
        </w:rPr>
        <w:t xml:space="preserve">, and </w:t>
      </w:r>
      <w:proofErr w:type="spellStart"/>
      <w:r w:rsidR="002131A7" w:rsidRPr="00662B68">
        <w:rPr>
          <w:i/>
          <w:iCs/>
          <w:color w:val="000000" w:themeColor="text1"/>
        </w:rPr>
        <w:t>Hypogeophis</w:t>
      </w:r>
      <w:proofErr w:type="spellEnd"/>
      <w:r w:rsidR="002131A7" w:rsidRPr="00662B68">
        <w:rPr>
          <w:i/>
          <w:iCs/>
          <w:color w:val="000000" w:themeColor="text1"/>
        </w:rPr>
        <w:t xml:space="preserve"> </w:t>
      </w:r>
      <w:proofErr w:type="spellStart"/>
      <w:r w:rsidR="002131A7" w:rsidRPr="00662B68">
        <w:rPr>
          <w:i/>
          <w:iCs/>
          <w:color w:val="000000" w:themeColor="text1"/>
        </w:rPr>
        <w:t>rostratus</w:t>
      </w:r>
      <w:proofErr w:type="spellEnd"/>
      <w:r w:rsidR="005D6F85">
        <w:rPr>
          <w:color w:val="000000" w:themeColor="text1"/>
        </w:rPr>
        <w:t xml:space="preserve"> where a </w:t>
      </w:r>
      <w:r w:rsidR="002131A7">
        <w:rPr>
          <w:color w:val="000000" w:themeColor="text1"/>
        </w:rPr>
        <w:t>small</w:t>
      </w:r>
      <w:r w:rsidR="005D6F85">
        <w:rPr>
          <w:color w:val="000000" w:themeColor="text1"/>
        </w:rPr>
        <w:t xml:space="preserve"> ossification </w:t>
      </w:r>
      <w:proofErr w:type="spellStart"/>
      <w:r w:rsidR="00FE4619">
        <w:rPr>
          <w:color w:val="000000" w:themeColor="text1"/>
        </w:rPr>
        <w:t>coossifies</w:t>
      </w:r>
      <w:proofErr w:type="spellEnd"/>
      <w:r w:rsidR="00FE4619">
        <w:rPr>
          <w:color w:val="000000" w:themeColor="text1"/>
        </w:rPr>
        <w:t xml:space="preserve"> </w:t>
      </w:r>
      <w:r w:rsidR="005D6F85">
        <w:rPr>
          <w:color w:val="000000" w:themeColor="text1"/>
        </w:rPr>
        <w:t>to the maxillopalatine dorsally (</w:t>
      </w:r>
      <w:r w:rsidR="00CC0832" w:rsidRPr="00191724">
        <w:rPr>
          <w:rFonts w:eastAsiaTheme="minorHAnsi"/>
        </w:rPr>
        <w:t>Müller</w:t>
      </w:r>
      <w:r w:rsidR="00CC0832" w:rsidRPr="00191724" w:rsidDel="00191724">
        <w:rPr>
          <w:color w:val="000000" w:themeColor="text1"/>
        </w:rPr>
        <w:t xml:space="preserve"> </w:t>
      </w:r>
      <w:r w:rsidR="00E35B3A">
        <w:rPr>
          <w:color w:val="000000" w:themeColor="text1"/>
        </w:rPr>
        <w:t xml:space="preserve">et al., 2005; </w:t>
      </w:r>
      <w:r w:rsidR="00CC0832" w:rsidRPr="00191724">
        <w:rPr>
          <w:rFonts w:eastAsiaTheme="minorHAnsi"/>
        </w:rPr>
        <w:t>Müller</w:t>
      </w:r>
      <w:r w:rsidR="00CC0832" w:rsidRPr="00191724" w:rsidDel="00191724">
        <w:rPr>
          <w:color w:val="000000" w:themeColor="text1"/>
        </w:rPr>
        <w:t xml:space="preserve"> </w:t>
      </w:r>
      <w:r w:rsidR="00E35B3A">
        <w:rPr>
          <w:color w:val="000000" w:themeColor="text1"/>
        </w:rPr>
        <w:t xml:space="preserve">2006; </w:t>
      </w:r>
      <w:proofErr w:type="spellStart"/>
      <w:r w:rsidR="005D6F85">
        <w:rPr>
          <w:color w:val="000000" w:themeColor="text1"/>
        </w:rPr>
        <w:t>Theska</w:t>
      </w:r>
      <w:proofErr w:type="spellEnd"/>
      <w:r w:rsidR="005D6F85">
        <w:rPr>
          <w:color w:val="000000" w:themeColor="text1"/>
        </w:rPr>
        <w:t xml:space="preserve"> et al., 2019);</w:t>
      </w:r>
      <w:r w:rsidR="00E35B3A">
        <w:rPr>
          <w:color w:val="000000" w:themeColor="text1"/>
        </w:rPr>
        <w:t xml:space="preserve"> this ossification has uncertain homology and may be homologous with the prefrontal or lacrimal. In</w:t>
      </w:r>
      <w:r w:rsidR="00E35B3A" w:rsidRPr="00E35B3A">
        <w:rPr>
          <w:i/>
          <w:iCs/>
          <w:color w:val="000000" w:themeColor="text1"/>
        </w:rPr>
        <w:t xml:space="preserve"> </w:t>
      </w:r>
      <w:r w:rsidR="00E35B3A" w:rsidRPr="00623851">
        <w:rPr>
          <w:i/>
          <w:iCs/>
          <w:color w:val="000000" w:themeColor="text1"/>
        </w:rPr>
        <w:t>I</w:t>
      </w:r>
      <w:r w:rsidR="00E35B3A">
        <w:rPr>
          <w:i/>
          <w:iCs/>
          <w:color w:val="000000" w:themeColor="text1"/>
        </w:rPr>
        <w:t>.</w:t>
      </w:r>
      <w:r w:rsidR="00E35B3A" w:rsidRPr="00623851">
        <w:rPr>
          <w:i/>
          <w:iCs/>
          <w:color w:val="000000" w:themeColor="text1"/>
        </w:rPr>
        <w:t xml:space="preserve"> </w:t>
      </w:r>
      <w:proofErr w:type="spellStart"/>
      <w:r w:rsidR="00E35B3A" w:rsidRPr="00623851">
        <w:rPr>
          <w:i/>
          <w:iCs/>
          <w:color w:val="000000" w:themeColor="text1"/>
        </w:rPr>
        <w:t>russeli</w:t>
      </w:r>
      <w:proofErr w:type="spellEnd"/>
      <w:r w:rsidR="00E35B3A">
        <w:rPr>
          <w:color w:val="000000" w:themeColor="text1"/>
        </w:rPr>
        <w:t xml:space="preserve">, </w:t>
      </w:r>
      <w:r w:rsidR="00E35B3A" w:rsidRPr="00623851">
        <w:rPr>
          <w:i/>
          <w:iCs/>
          <w:color w:val="000000" w:themeColor="text1"/>
        </w:rPr>
        <w:t>G</w:t>
      </w:r>
      <w:r w:rsidR="00E35B3A">
        <w:rPr>
          <w:i/>
          <w:iCs/>
          <w:color w:val="000000" w:themeColor="text1"/>
        </w:rPr>
        <w:t>.</w:t>
      </w:r>
      <w:r w:rsidR="00E35B3A" w:rsidRPr="00623851">
        <w:rPr>
          <w:i/>
          <w:iCs/>
          <w:color w:val="000000" w:themeColor="text1"/>
        </w:rPr>
        <w:t xml:space="preserve"> </w:t>
      </w:r>
      <w:proofErr w:type="spellStart"/>
      <w:r w:rsidR="00E35B3A" w:rsidRPr="00623851">
        <w:rPr>
          <w:i/>
          <w:iCs/>
          <w:color w:val="000000" w:themeColor="text1"/>
        </w:rPr>
        <w:t>ramaswamii</w:t>
      </w:r>
      <w:proofErr w:type="spellEnd"/>
      <w:r w:rsidR="00E35B3A">
        <w:rPr>
          <w:color w:val="000000" w:themeColor="text1"/>
        </w:rPr>
        <w:t xml:space="preserve">, and </w:t>
      </w:r>
      <w:r w:rsidR="00E35B3A" w:rsidRPr="00623851">
        <w:rPr>
          <w:i/>
          <w:iCs/>
          <w:color w:val="000000" w:themeColor="text1"/>
        </w:rPr>
        <w:t>H</w:t>
      </w:r>
      <w:r w:rsidR="00E35B3A">
        <w:rPr>
          <w:i/>
          <w:iCs/>
          <w:color w:val="000000" w:themeColor="text1"/>
        </w:rPr>
        <w:t>.</w:t>
      </w:r>
      <w:r w:rsidR="00E35B3A" w:rsidRPr="00623851">
        <w:rPr>
          <w:i/>
          <w:iCs/>
          <w:color w:val="000000" w:themeColor="text1"/>
        </w:rPr>
        <w:t xml:space="preserve"> </w:t>
      </w:r>
      <w:proofErr w:type="spellStart"/>
      <w:r w:rsidR="00E35B3A" w:rsidRPr="00623851">
        <w:rPr>
          <w:i/>
          <w:iCs/>
          <w:color w:val="000000" w:themeColor="text1"/>
        </w:rPr>
        <w:t>rostratus</w:t>
      </w:r>
      <w:proofErr w:type="spellEnd"/>
      <w:r w:rsidR="001F2134">
        <w:rPr>
          <w:color w:val="000000" w:themeColor="text1"/>
        </w:rPr>
        <w:t>,</w:t>
      </w:r>
      <w:r w:rsidR="00E35B3A">
        <w:rPr>
          <w:i/>
          <w:iCs/>
          <w:color w:val="000000" w:themeColor="text1"/>
        </w:rPr>
        <w:t xml:space="preserve"> </w:t>
      </w:r>
      <w:r w:rsidR="00E35B3A">
        <w:rPr>
          <w:color w:val="000000" w:themeColor="text1"/>
        </w:rPr>
        <w:t>this ossification is pierced by the nasolacrimal duct (</w:t>
      </w:r>
      <w:r w:rsidR="00FE4619">
        <w:rPr>
          <w:color w:val="000000" w:themeColor="text1"/>
        </w:rPr>
        <w:t>=</w:t>
      </w:r>
      <w:r w:rsidR="005024E9">
        <w:rPr>
          <w:color w:val="000000" w:themeColor="text1"/>
        </w:rPr>
        <w:t xml:space="preserve"> </w:t>
      </w:r>
      <w:r w:rsidR="00FE4619">
        <w:rPr>
          <w:color w:val="000000" w:themeColor="text1"/>
        </w:rPr>
        <w:t>‘t</w:t>
      </w:r>
      <w:r w:rsidR="00E35B3A">
        <w:rPr>
          <w:color w:val="000000" w:themeColor="text1"/>
        </w:rPr>
        <w:t>entacle canal</w:t>
      </w:r>
      <w:r w:rsidR="00FE4619">
        <w:rPr>
          <w:color w:val="000000" w:themeColor="text1"/>
        </w:rPr>
        <w:t xml:space="preserve">’), </w:t>
      </w:r>
      <w:r w:rsidR="007A0EB1">
        <w:rPr>
          <w:color w:val="000000" w:themeColor="text1"/>
        </w:rPr>
        <w:t>allowing the inference of its homology with the lacrimal (</w:t>
      </w:r>
      <w:proofErr w:type="spellStart"/>
      <w:r w:rsidR="000F4424">
        <w:rPr>
          <w:color w:val="000000" w:themeColor="text1"/>
        </w:rPr>
        <w:t>Theska</w:t>
      </w:r>
      <w:proofErr w:type="spellEnd"/>
      <w:r w:rsidR="000F4424">
        <w:rPr>
          <w:color w:val="000000" w:themeColor="text1"/>
        </w:rPr>
        <w:t xml:space="preserve"> et al., 2019</w:t>
      </w:r>
      <w:r w:rsidR="007A0EB1">
        <w:rPr>
          <w:color w:val="000000" w:themeColor="text1"/>
        </w:rPr>
        <w:t>)</w:t>
      </w:r>
      <w:r w:rsidR="000F4424">
        <w:rPr>
          <w:color w:val="000000" w:themeColor="text1"/>
        </w:rPr>
        <w:t>.</w:t>
      </w:r>
      <w:r w:rsidR="00902CC2">
        <w:rPr>
          <w:color w:val="000000" w:themeColor="text1"/>
        </w:rPr>
        <w:t xml:space="preserve"> Whether this ossification participates in the maxillopalatine of rhinatrematid gymnophionans (the earliest-diverging clade of living caecilians</w:t>
      </w:r>
      <w:r w:rsidR="005D5E50">
        <w:rPr>
          <w:color w:val="000000" w:themeColor="text1"/>
        </w:rPr>
        <w:t xml:space="preserve">; Wilkinson and Nussbaum, 1996; </w:t>
      </w:r>
      <w:r w:rsidR="00555872">
        <w:rPr>
          <w:color w:val="000000" w:themeColor="text1"/>
        </w:rPr>
        <w:t>Wilkinson, 1997; San Mauro et al., 2014; Wilkinson et al., 2021</w:t>
      </w:r>
      <w:r w:rsidR="00902CC2">
        <w:rPr>
          <w:color w:val="000000" w:themeColor="text1"/>
        </w:rPr>
        <w:t>) is unknown in absence of studies considering their embryonic development</w:t>
      </w:r>
      <w:r w:rsidR="000F4424">
        <w:rPr>
          <w:color w:val="000000" w:themeColor="text1"/>
        </w:rPr>
        <w:t xml:space="preserve">; </w:t>
      </w:r>
      <w:r w:rsidR="00902CC2">
        <w:rPr>
          <w:color w:val="000000" w:themeColor="text1"/>
        </w:rPr>
        <w:t xml:space="preserve">only two ossifications (maxilla and palatine) are present in larvae of </w:t>
      </w:r>
      <w:proofErr w:type="spellStart"/>
      <w:r w:rsidR="00902CC2" w:rsidRPr="00662B68">
        <w:rPr>
          <w:i/>
          <w:iCs/>
          <w:color w:val="000000" w:themeColor="text1"/>
        </w:rPr>
        <w:t>Epicrionops</w:t>
      </w:r>
      <w:proofErr w:type="spellEnd"/>
      <w:r w:rsidR="00902CC2" w:rsidRPr="00662B68">
        <w:rPr>
          <w:i/>
          <w:iCs/>
          <w:color w:val="000000" w:themeColor="text1"/>
        </w:rPr>
        <w:t xml:space="preserve"> bicolor</w:t>
      </w:r>
      <w:r w:rsidR="00902CC2">
        <w:rPr>
          <w:color w:val="000000" w:themeColor="text1"/>
        </w:rPr>
        <w:t xml:space="preserve"> and </w:t>
      </w:r>
      <w:proofErr w:type="spellStart"/>
      <w:r w:rsidR="00902CC2" w:rsidRPr="00662B68">
        <w:rPr>
          <w:i/>
          <w:iCs/>
          <w:color w:val="000000" w:themeColor="text1"/>
        </w:rPr>
        <w:t>Epicrionops</w:t>
      </w:r>
      <w:proofErr w:type="spellEnd"/>
      <w:r w:rsidR="00902CC2" w:rsidRPr="00662B68">
        <w:rPr>
          <w:i/>
          <w:iCs/>
          <w:color w:val="000000" w:themeColor="text1"/>
        </w:rPr>
        <w:t xml:space="preserve"> </w:t>
      </w:r>
      <w:proofErr w:type="spellStart"/>
      <w:r w:rsidR="00902CC2" w:rsidRPr="00662B68">
        <w:rPr>
          <w:i/>
          <w:iCs/>
          <w:color w:val="000000" w:themeColor="text1"/>
        </w:rPr>
        <w:t>petersi</w:t>
      </w:r>
      <w:proofErr w:type="spellEnd"/>
      <w:r w:rsidR="00902CC2">
        <w:rPr>
          <w:i/>
          <w:iCs/>
          <w:color w:val="000000" w:themeColor="text1"/>
        </w:rPr>
        <w:t xml:space="preserve">, </w:t>
      </w:r>
      <w:r w:rsidR="000636D8">
        <w:rPr>
          <w:color w:val="000000" w:themeColor="text1"/>
        </w:rPr>
        <w:t xml:space="preserve">in which these elements </w:t>
      </w:r>
      <w:proofErr w:type="spellStart"/>
      <w:r w:rsidR="00FE4619">
        <w:rPr>
          <w:color w:val="000000" w:themeColor="text1"/>
        </w:rPr>
        <w:t>coossify</w:t>
      </w:r>
      <w:proofErr w:type="spellEnd"/>
      <w:r w:rsidR="00FE4619">
        <w:rPr>
          <w:color w:val="000000" w:themeColor="text1"/>
        </w:rPr>
        <w:t xml:space="preserve"> </w:t>
      </w:r>
      <w:r w:rsidR="000636D8">
        <w:rPr>
          <w:color w:val="000000" w:themeColor="text1"/>
        </w:rPr>
        <w:t xml:space="preserve">during metamorphosis (Reiss, 1996). </w:t>
      </w:r>
      <w:r w:rsidR="00E60CE2" w:rsidRPr="00062F7E">
        <w:rPr>
          <w:color w:val="000000" w:themeColor="text1"/>
        </w:rPr>
        <w:t xml:space="preserve">Whether the lacrimal participates in the maxillopalatine ossification in </w:t>
      </w:r>
      <w:r w:rsidR="00E60CE2" w:rsidRPr="00062F7E">
        <w:rPr>
          <w:i/>
          <w:iCs/>
          <w:color w:val="000000" w:themeColor="text1"/>
        </w:rPr>
        <w:t>Funcusvermis</w:t>
      </w:r>
      <w:r w:rsidR="00EF0A96">
        <w:rPr>
          <w:i/>
          <w:iCs/>
          <w:color w:val="000000" w:themeColor="text1"/>
        </w:rPr>
        <w:t xml:space="preserve"> gilmorei</w:t>
      </w:r>
      <w:r w:rsidR="00E60CE2" w:rsidRPr="00062F7E">
        <w:rPr>
          <w:color w:val="000000" w:themeColor="text1"/>
        </w:rPr>
        <w:t xml:space="preserve"> is uncertain; there are no insertions evident on or near the orbital margin where the nasolacrimal canal enters the lacrimal in temnospondyls and </w:t>
      </w:r>
      <w:r w:rsidR="0070341A">
        <w:rPr>
          <w:color w:val="000000" w:themeColor="text1"/>
        </w:rPr>
        <w:t xml:space="preserve">in </w:t>
      </w:r>
      <w:r w:rsidR="00E60CE2" w:rsidRPr="00062F7E">
        <w:rPr>
          <w:color w:val="000000" w:themeColor="text1"/>
        </w:rPr>
        <w:t>dissorophoids</w:t>
      </w:r>
      <w:r w:rsidR="0070341A">
        <w:rPr>
          <w:color w:val="000000" w:themeColor="text1"/>
        </w:rPr>
        <w:t xml:space="preserve"> specifically, such as</w:t>
      </w:r>
      <w:r w:rsidR="00E60CE2" w:rsidRPr="00062F7E">
        <w:rPr>
          <w:color w:val="000000" w:themeColor="text1"/>
        </w:rPr>
        <w:t xml:space="preserve"> </w:t>
      </w:r>
      <w:r w:rsidR="00E60CE2" w:rsidRPr="00062F7E">
        <w:rPr>
          <w:i/>
          <w:iCs/>
          <w:color w:val="000000" w:themeColor="text1"/>
        </w:rPr>
        <w:t>Doleserpeton</w:t>
      </w:r>
      <w:r w:rsidR="000839E5" w:rsidRPr="00062F7E">
        <w:rPr>
          <w:i/>
          <w:iCs/>
          <w:color w:val="000000" w:themeColor="text1"/>
        </w:rPr>
        <w:t xml:space="preserve"> annectens</w:t>
      </w:r>
      <w:r w:rsidR="00E60CE2" w:rsidRPr="00062F7E">
        <w:rPr>
          <w:i/>
          <w:iCs/>
          <w:color w:val="000000" w:themeColor="text1"/>
        </w:rPr>
        <w:t xml:space="preserve"> </w:t>
      </w:r>
      <w:r w:rsidR="00E60CE2" w:rsidRPr="00062F7E">
        <w:rPr>
          <w:color w:val="000000" w:themeColor="text1"/>
        </w:rPr>
        <w:t>(Bolt, 197</w:t>
      </w:r>
      <w:r w:rsidR="00B87AB8">
        <w:rPr>
          <w:color w:val="000000" w:themeColor="text1"/>
        </w:rPr>
        <w:t>7</w:t>
      </w:r>
      <w:r w:rsidR="00E60CE2" w:rsidRPr="00062F7E">
        <w:rPr>
          <w:color w:val="000000" w:themeColor="text1"/>
        </w:rPr>
        <w:t xml:space="preserve">; Sigurdsen </w:t>
      </w:r>
      <w:r w:rsidR="00F50C04">
        <w:rPr>
          <w:color w:val="000000" w:themeColor="text1"/>
        </w:rPr>
        <w:t>&amp;</w:t>
      </w:r>
      <w:r w:rsidR="00F50C04" w:rsidRPr="00062F7E">
        <w:rPr>
          <w:color w:val="000000" w:themeColor="text1"/>
        </w:rPr>
        <w:t xml:space="preserve"> </w:t>
      </w:r>
      <w:r w:rsidR="00E60CE2" w:rsidRPr="00062F7E">
        <w:rPr>
          <w:color w:val="000000" w:themeColor="text1"/>
        </w:rPr>
        <w:t xml:space="preserve">Bolt 2010), </w:t>
      </w:r>
      <w:r w:rsidR="00E60CE2" w:rsidRPr="00062F7E">
        <w:rPr>
          <w:i/>
          <w:iCs/>
          <w:color w:val="000000" w:themeColor="text1"/>
        </w:rPr>
        <w:t>Pasawioops</w:t>
      </w:r>
      <w:r w:rsidR="000839E5" w:rsidRPr="00062F7E">
        <w:rPr>
          <w:i/>
          <w:iCs/>
          <w:color w:val="000000" w:themeColor="text1"/>
        </w:rPr>
        <w:t xml:space="preserve"> mayi</w:t>
      </w:r>
      <w:r w:rsidR="00E60CE2" w:rsidRPr="00062F7E">
        <w:rPr>
          <w:color w:val="000000" w:themeColor="text1"/>
        </w:rPr>
        <w:t xml:space="preserve"> (Anderson </w:t>
      </w:r>
      <w:r w:rsidR="00F50C04">
        <w:rPr>
          <w:color w:val="000000" w:themeColor="text1"/>
        </w:rPr>
        <w:t>&amp;</w:t>
      </w:r>
      <w:r w:rsidR="00F50C04" w:rsidRPr="00062F7E">
        <w:rPr>
          <w:color w:val="000000" w:themeColor="text1"/>
        </w:rPr>
        <w:t xml:space="preserve"> </w:t>
      </w:r>
      <w:r w:rsidR="00E60CE2" w:rsidRPr="00062F7E">
        <w:rPr>
          <w:color w:val="000000" w:themeColor="text1"/>
        </w:rPr>
        <w:t>Bolt, 2013)</w:t>
      </w:r>
      <w:r w:rsidR="0070341A">
        <w:rPr>
          <w:color w:val="000000" w:themeColor="text1"/>
        </w:rPr>
        <w:t xml:space="preserve">, and </w:t>
      </w:r>
      <w:r w:rsidR="0070341A">
        <w:rPr>
          <w:i/>
          <w:iCs/>
          <w:color w:val="000000" w:themeColor="text1"/>
        </w:rPr>
        <w:t xml:space="preserve">Tersomius dolesensis </w:t>
      </w:r>
      <w:r w:rsidR="0070341A">
        <w:rPr>
          <w:color w:val="000000" w:themeColor="text1"/>
        </w:rPr>
        <w:t>(Anderson &amp; Bolt, 2013)</w:t>
      </w:r>
      <w:r w:rsidR="00E60CE2" w:rsidRPr="00062F7E">
        <w:rPr>
          <w:color w:val="000000" w:themeColor="text1"/>
        </w:rPr>
        <w:t xml:space="preserve">. The ancestral condition of the lacrimal ossification in batrachians is uncertain; the lacrimal is absent in the earliest diverging salientian </w:t>
      </w:r>
      <w:r w:rsidR="00E60CE2" w:rsidRPr="00062F7E">
        <w:rPr>
          <w:i/>
          <w:iCs/>
          <w:color w:val="000000" w:themeColor="text1"/>
        </w:rPr>
        <w:t xml:space="preserve">Triadobatrachus massinoti </w:t>
      </w:r>
      <w:r w:rsidR="00E60CE2" w:rsidRPr="00062F7E">
        <w:rPr>
          <w:color w:val="000000" w:themeColor="text1"/>
        </w:rPr>
        <w:t xml:space="preserve">(Ascarrunz et al., 2016) and variably present in early diverging </w:t>
      </w:r>
      <w:r w:rsidR="009E48A5">
        <w:rPr>
          <w:color w:val="000000" w:themeColor="text1"/>
        </w:rPr>
        <w:t>caudates</w:t>
      </w:r>
      <w:r w:rsidR="00E60CE2" w:rsidRPr="00062F7E">
        <w:rPr>
          <w:color w:val="000000" w:themeColor="text1"/>
        </w:rPr>
        <w:t xml:space="preserve">, where it is absent in </w:t>
      </w:r>
      <w:r w:rsidR="00E60CE2" w:rsidRPr="00062F7E">
        <w:rPr>
          <w:i/>
          <w:iCs/>
          <w:color w:val="000000" w:themeColor="text1"/>
        </w:rPr>
        <w:t>Triassurus sixtelae</w:t>
      </w:r>
      <w:r w:rsidR="00E60CE2" w:rsidRPr="00062F7E">
        <w:rPr>
          <w:color w:val="000000" w:themeColor="text1"/>
        </w:rPr>
        <w:t xml:space="preserve"> (Schoch et al., 2020), but present in </w:t>
      </w:r>
      <w:proofErr w:type="spellStart"/>
      <w:r w:rsidR="00E60CE2" w:rsidRPr="00062F7E">
        <w:rPr>
          <w:i/>
          <w:iCs/>
          <w:color w:val="000000" w:themeColor="text1"/>
        </w:rPr>
        <w:t>Kokartus</w:t>
      </w:r>
      <w:proofErr w:type="spellEnd"/>
      <w:r w:rsidR="00E60CE2" w:rsidRPr="00062F7E">
        <w:rPr>
          <w:i/>
          <w:iCs/>
          <w:color w:val="000000" w:themeColor="text1"/>
        </w:rPr>
        <w:t xml:space="preserve"> </w:t>
      </w:r>
      <w:proofErr w:type="spellStart"/>
      <w:r w:rsidR="00E60CE2" w:rsidRPr="00062F7E">
        <w:rPr>
          <w:i/>
          <w:iCs/>
          <w:color w:val="000000" w:themeColor="text1"/>
        </w:rPr>
        <w:t>honorarius</w:t>
      </w:r>
      <w:proofErr w:type="spellEnd"/>
      <w:r w:rsidR="00E60CE2" w:rsidRPr="00062F7E">
        <w:rPr>
          <w:i/>
          <w:iCs/>
          <w:color w:val="000000" w:themeColor="text1"/>
        </w:rPr>
        <w:t xml:space="preserve"> </w:t>
      </w:r>
      <w:r w:rsidR="00E60CE2" w:rsidRPr="00062F7E">
        <w:rPr>
          <w:color w:val="000000" w:themeColor="text1"/>
        </w:rPr>
        <w:t xml:space="preserve">and </w:t>
      </w:r>
      <w:proofErr w:type="spellStart"/>
      <w:r w:rsidR="00E60CE2" w:rsidRPr="00062F7E">
        <w:rPr>
          <w:i/>
          <w:iCs/>
          <w:color w:val="000000" w:themeColor="text1"/>
        </w:rPr>
        <w:t>Karaurus</w:t>
      </w:r>
      <w:proofErr w:type="spellEnd"/>
      <w:r w:rsidR="00E60CE2" w:rsidRPr="00062F7E">
        <w:rPr>
          <w:i/>
          <w:iCs/>
          <w:color w:val="000000" w:themeColor="text1"/>
        </w:rPr>
        <w:t xml:space="preserve"> </w:t>
      </w:r>
      <w:proofErr w:type="spellStart"/>
      <w:r w:rsidR="00E60CE2" w:rsidRPr="00062F7E">
        <w:rPr>
          <w:i/>
          <w:iCs/>
          <w:color w:val="000000" w:themeColor="text1"/>
        </w:rPr>
        <w:t>sharovi</w:t>
      </w:r>
      <w:proofErr w:type="spellEnd"/>
      <w:r w:rsidR="00E60CE2" w:rsidRPr="00062F7E">
        <w:rPr>
          <w:i/>
          <w:iCs/>
          <w:color w:val="000000" w:themeColor="text1"/>
        </w:rPr>
        <w:t xml:space="preserve"> </w:t>
      </w:r>
      <w:r w:rsidR="00E60CE2" w:rsidRPr="00062F7E">
        <w:rPr>
          <w:color w:val="000000" w:themeColor="text1"/>
        </w:rPr>
        <w:t>(</w:t>
      </w:r>
      <w:proofErr w:type="spellStart"/>
      <w:r w:rsidR="00E60CE2" w:rsidRPr="00062F7E">
        <w:rPr>
          <w:color w:val="000000" w:themeColor="text1"/>
        </w:rPr>
        <w:t>Iva</w:t>
      </w:r>
      <w:r w:rsidR="00716F88">
        <w:rPr>
          <w:color w:val="000000" w:themeColor="text1"/>
        </w:rPr>
        <w:t>c</w:t>
      </w:r>
      <w:r w:rsidR="00E60CE2" w:rsidRPr="00062F7E">
        <w:rPr>
          <w:color w:val="000000" w:themeColor="text1"/>
        </w:rPr>
        <w:t>hn</w:t>
      </w:r>
      <w:r w:rsidR="00716F88">
        <w:rPr>
          <w:color w:val="000000" w:themeColor="text1"/>
        </w:rPr>
        <w:t>e</w:t>
      </w:r>
      <w:r w:rsidR="00E60CE2" w:rsidRPr="00062F7E">
        <w:rPr>
          <w:color w:val="000000" w:themeColor="text1"/>
        </w:rPr>
        <w:t>nko</w:t>
      </w:r>
      <w:proofErr w:type="spellEnd"/>
      <w:r w:rsidR="00E60CE2" w:rsidRPr="00062F7E">
        <w:rPr>
          <w:color w:val="000000" w:themeColor="text1"/>
        </w:rPr>
        <w:t xml:space="preserve">, 1978; </w:t>
      </w:r>
      <w:proofErr w:type="spellStart"/>
      <w:r w:rsidR="00E60CE2" w:rsidRPr="00062F7E">
        <w:rPr>
          <w:color w:val="000000" w:themeColor="text1"/>
        </w:rPr>
        <w:t>Skutschas</w:t>
      </w:r>
      <w:proofErr w:type="spellEnd"/>
      <w:r w:rsidR="00E60CE2" w:rsidRPr="00062F7E">
        <w:rPr>
          <w:color w:val="000000" w:themeColor="text1"/>
        </w:rPr>
        <w:t xml:space="preserve"> </w:t>
      </w:r>
      <w:r w:rsidR="00D01C30">
        <w:rPr>
          <w:color w:val="000000" w:themeColor="text1"/>
        </w:rPr>
        <w:t>&amp;</w:t>
      </w:r>
      <w:r w:rsidR="00E60CE2" w:rsidRPr="00062F7E">
        <w:rPr>
          <w:color w:val="000000" w:themeColor="text1"/>
        </w:rPr>
        <w:t xml:space="preserve"> Martin 2011). The lacrimal is present in the stem lissamphibian </w:t>
      </w:r>
      <w:r w:rsidR="00E60CE2" w:rsidRPr="00062F7E">
        <w:rPr>
          <w:i/>
          <w:iCs/>
          <w:color w:val="000000" w:themeColor="text1"/>
        </w:rPr>
        <w:t>Gerobatrachus hottoni</w:t>
      </w:r>
      <w:r w:rsidR="00E60CE2" w:rsidRPr="00062F7E">
        <w:rPr>
          <w:color w:val="000000" w:themeColor="text1"/>
        </w:rPr>
        <w:t xml:space="preserve"> (Anderson et al., 2008</w:t>
      </w:r>
      <w:r w:rsidR="00DE146E">
        <w:rPr>
          <w:color w:val="000000" w:themeColor="text1"/>
        </w:rPr>
        <w:t>b</w:t>
      </w:r>
      <w:r w:rsidR="00E60CE2" w:rsidRPr="00062F7E">
        <w:rPr>
          <w:color w:val="000000" w:themeColor="text1"/>
        </w:rPr>
        <w:t>)</w:t>
      </w:r>
      <w:r w:rsidR="008231F7">
        <w:rPr>
          <w:color w:val="000000" w:themeColor="text1"/>
        </w:rPr>
        <w:t xml:space="preserve"> and all other dissorophoids</w:t>
      </w:r>
      <w:r w:rsidR="00E60CE2" w:rsidRPr="00062F7E">
        <w:rPr>
          <w:color w:val="000000" w:themeColor="text1"/>
        </w:rPr>
        <w:t>.</w:t>
      </w:r>
    </w:p>
    <w:p w14:paraId="71614481" w14:textId="6B60D7A9" w:rsidR="00A81428" w:rsidRPr="00062F7E" w:rsidRDefault="00A81428" w:rsidP="00662B68">
      <w:pPr>
        <w:ind w:firstLine="720"/>
        <w:rPr>
          <w:color w:val="000000" w:themeColor="text1"/>
        </w:rPr>
      </w:pPr>
      <w:r w:rsidRPr="00062F7E">
        <w:rPr>
          <w:color w:val="000000" w:themeColor="text1"/>
        </w:rPr>
        <w:t xml:space="preserve"> The posterodorsal surface of the maxillopalatine is floored by a fossa formed by a mediolaterally-broad, smooth-surfaced shelf, representing the anteroventral margin of the orbit</w:t>
      </w:r>
      <w:r w:rsidR="008C5FD0">
        <w:rPr>
          <w:color w:val="000000" w:themeColor="text1"/>
        </w:rPr>
        <w:t xml:space="preserve"> (Fig. 1)</w:t>
      </w:r>
      <w:r w:rsidRPr="00062F7E">
        <w:rPr>
          <w:color w:val="000000" w:themeColor="text1"/>
        </w:rPr>
        <w:t xml:space="preserve">. Although the complete orbital margin of </w:t>
      </w:r>
      <w:r w:rsidRPr="00062F7E">
        <w:rPr>
          <w:i/>
          <w:iCs/>
          <w:color w:val="000000" w:themeColor="text1"/>
        </w:rPr>
        <w:t>Funcusvermis</w:t>
      </w:r>
      <w:r w:rsidR="00EF0A96">
        <w:rPr>
          <w:i/>
          <w:iCs/>
          <w:color w:val="000000" w:themeColor="text1"/>
        </w:rPr>
        <w:t xml:space="preserve"> gilmorei</w:t>
      </w:r>
      <w:r w:rsidRPr="00062F7E">
        <w:rPr>
          <w:color w:val="000000" w:themeColor="text1"/>
        </w:rPr>
        <w:t xml:space="preserve"> is not present, the preserved portion forms a wide arc, suggesting the complete orbit </w:t>
      </w:r>
      <w:r w:rsidR="00937A0F">
        <w:rPr>
          <w:color w:val="000000" w:themeColor="text1"/>
        </w:rPr>
        <w:t xml:space="preserve">may </w:t>
      </w:r>
      <w:r w:rsidRPr="00062F7E">
        <w:rPr>
          <w:color w:val="000000" w:themeColor="text1"/>
        </w:rPr>
        <w:t xml:space="preserve">have been relatively </w:t>
      </w:r>
      <w:r w:rsidRPr="00062F7E">
        <w:rPr>
          <w:color w:val="000000" w:themeColor="text1"/>
        </w:rPr>
        <w:lastRenderedPageBreak/>
        <w:t xml:space="preserve">large, differing from the condition of </w:t>
      </w:r>
      <w:r w:rsidRPr="00062F7E">
        <w:rPr>
          <w:i/>
          <w:iCs/>
          <w:color w:val="000000" w:themeColor="text1"/>
        </w:rPr>
        <w:t>Eocaecilia</w:t>
      </w:r>
      <w:r w:rsidR="00EF0A96">
        <w:rPr>
          <w:i/>
          <w:iCs/>
          <w:color w:val="000000" w:themeColor="text1"/>
        </w:rPr>
        <w:t xml:space="preserve"> micropodia</w:t>
      </w:r>
      <w:r w:rsidRPr="00062F7E">
        <w:rPr>
          <w:color w:val="000000" w:themeColor="text1"/>
        </w:rPr>
        <w:t xml:space="preserve"> </w:t>
      </w:r>
      <w:r w:rsidR="00F76CEF">
        <w:rPr>
          <w:color w:val="000000" w:themeColor="text1"/>
        </w:rPr>
        <w:t xml:space="preserve">(Jenkins et al., 2007) </w:t>
      </w:r>
      <w:r w:rsidRPr="00062F7E">
        <w:rPr>
          <w:color w:val="000000" w:themeColor="text1"/>
        </w:rPr>
        <w:t>and gymnophionans</w:t>
      </w:r>
      <w:r w:rsidR="00F76CEF">
        <w:rPr>
          <w:color w:val="000000" w:themeColor="text1"/>
        </w:rPr>
        <w:t xml:space="preserve"> (</w:t>
      </w:r>
      <w:r w:rsidR="00E458D1">
        <w:rPr>
          <w:color w:val="000000" w:themeColor="text1"/>
        </w:rPr>
        <w:t xml:space="preserve">Wake, 1985; </w:t>
      </w:r>
      <w:r w:rsidR="00F76CEF">
        <w:rPr>
          <w:color w:val="000000" w:themeColor="text1"/>
        </w:rPr>
        <w:t>Wilkinson et al., 2011)</w:t>
      </w:r>
      <w:r w:rsidRPr="00062F7E">
        <w:rPr>
          <w:color w:val="000000" w:themeColor="text1"/>
        </w:rPr>
        <w:t xml:space="preserve"> where the orbits are reduced or completely absent. Similarly enlarged orbits are a derived feature of dissorophoids (</w:t>
      </w:r>
      <w:r w:rsidR="00D327FB">
        <w:rPr>
          <w:color w:val="000000" w:themeColor="text1"/>
        </w:rPr>
        <w:t>e.g.</w:t>
      </w:r>
      <w:r w:rsidR="003C15DA">
        <w:rPr>
          <w:color w:val="000000" w:themeColor="text1"/>
        </w:rPr>
        <w:t>,</w:t>
      </w:r>
      <w:r w:rsidR="00D327FB">
        <w:rPr>
          <w:color w:val="000000" w:themeColor="text1"/>
        </w:rPr>
        <w:t xml:space="preserve"> Bolt, 1969, 1979; Anderson et al., 2008</w:t>
      </w:r>
      <w:r w:rsidR="005D3207">
        <w:rPr>
          <w:color w:val="000000" w:themeColor="text1"/>
        </w:rPr>
        <w:t>b</w:t>
      </w:r>
      <w:r w:rsidR="00D327FB">
        <w:rPr>
          <w:color w:val="000000" w:themeColor="text1"/>
        </w:rPr>
        <w:t xml:space="preserve">; Sigurdsen </w:t>
      </w:r>
      <w:r w:rsidR="0031263E">
        <w:rPr>
          <w:color w:val="000000" w:themeColor="text1"/>
        </w:rPr>
        <w:t>&amp;</w:t>
      </w:r>
      <w:r w:rsidR="00D327FB">
        <w:rPr>
          <w:color w:val="000000" w:themeColor="text1"/>
        </w:rPr>
        <w:t xml:space="preserve"> Bolt, 2010; </w:t>
      </w:r>
      <w:r w:rsidRPr="00062F7E">
        <w:rPr>
          <w:color w:val="000000" w:themeColor="text1"/>
        </w:rPr>
        <w:t>Schoch, 2019</w:t>
      </w:r>
      <w:r w:rsidR="007E00AB">
        <w:rPr>
          <w:color w:val="000000" w:themeColor="text1"/>
        </w:rPr>
        <w:t>a</w:t>
      </w:r>
      <w:r w:rsidRPr="00062F7E">
        <w:rPr>
          <w:color w:val="000000" w:themeColor="text1"/>
        </w:rPr>
        <w:t xml:space="preserve">), and their likely presence in </w:t>
      </w:r>
      <w:r w:rsidRPr="00062F7E">
        <w:rPr>
          <w:i/>
          <w:iCs/>
          <w:color w:val="000000" w:themeColor="text1"/>
        </w:rPr>
        <w:t>Funcusvermis</w:t>
      </w:r>
      <w:r w:rsidRPr="00062F7E">
        <w:rPr>
          <w:color w:val="000000" w:themeColor="text1"/>
        </w:rPr>
        <w:t xml:space="preserve"> suggests enlarged orbits to be the ancestral gymnophionan condition and a conservation of the orbital form in dissorophoids.</w:t>
      </w:r>
    </w:p>
    <w:p w14:paraId="402EE48B" w14:textId="75D1230B" w:rsidR="00A81428" w:rsidRPr="00062F7E" w:rsidRDefault="00A81428" w:rsidP="00662B68">
      <w:pPr>
        <w:ind w:firstLine="720"/>
        <w:rPr>
          <w:color w:val="000000" w:themeColor="text1"/>
        </w:rPr>
      </w:pPr>
      <w:r w:rsidRPr="00062F7E">
        <w:rPr>
          <w:color w:val="000000" w:themeColor="text1"/>
        </w:rPr>
        <w:t xml:space="preserve">There </w:t>
      </w:r>
      <w:r w:rsidR="00617BBC">
        <w:rPr>
          <w:color w:val="000000" w:themeColor="text1"/>
        </w:rPr>
        <w:t xml:space="preserve">is </w:t>
      </w:r>
      <w:r w:rsidRPr="00062F7E">
        <w:rPr>
          <w:color w:val="000000" w:themeColor="text1"/>
        </w:rPr>
        <w:t>no insertion</w:t>
      </w:r>
      <w:r w:rsidR="00617BBC">
        <w:rPr>
          <w:color w:val="000000" w:themeColor="text1"/>
        </w:rPr>
        <w:t xml:space="preserve"> </w:t>
      </w:r>
      <w:r w:rsidRPr="00062F7E">
        <w:rPr>
          <w:color w:val="000000" w:themeColor="text1"/>
        </w:rPr>
        <w:t>apparent for the nasolacrimal duct on the surface of the orbital margin</w:t>
      </w:r>
      <w:r w:rsidR="00A05FAA">
        <w:rPr>
          <w:color w:val="000000" w:themeColor="text1"/>
        </w:rPr>
        <w:t>.</w:t>
      </w:r>
      <w:r w:rsidRPr="00062F7E">
        <w:rPr>
          <w:color w:val="000000" w:themeColor="text1"/>
        </w:rPr>
        <w:t xml:space="preserve"> </w:t>
      </w:r>
      <w:r w:rsidR="00A05FAA">
        <w:rPr>
          <w:color w:val="000000" w:themeColor="text1"/>
        </w:rPr>
        <w:t>H</w:t>
      </w:r>
      <w:r w:rsidRPr="00062F7E">
        <w:rPr>
          <w:color w:val="000000" w:themeColor="text1"/>
        </w:rPr>
        <w:t>owever</w:t>
      </w:r>
      <w:r w:rsidR="00A05FAA">
        <w:rPr>
          <w:color w:val="000000" w:themeColor="text1"/>
        </w:rPr>
        <w:t>,</w:t>
      </w:r>
      <w:r w:rsidRPr="00062F7E">
        <w:rPr>
          <w:color w:val="000000" w:themeColor="text1"/>
        </w:rPr>
        <w:t xml:space="preserve"> it is possible this duct entered the orbital margin</w:t>
      </w:r>
      <w:r w:rsidR="000636D8">
        <w:rPr>
          <w:color w:val="000000" w:themeColor="text1"/>
        </w:rPr>
        <w:t xml:space="preserve"> in the maxillopalatine </w:t>
      </w:r>
      <w:r w:rsidR="000636D8" w:rsidRPr="00062F7E">
        <w:rPr>
          <w:color w:val="000000" w:themeColor="text1"/>
        </w:rPr>
        <w:t>at a point dorsal to what is preserved in this specimen</w:t>
      </w:r>
      <w:r w:rsidR="000636D8">
        <w:rPr>
          <w:b/>
          <w:bCs/>
          <w:color w:val="000000" w:themeColor="text1"/>
        </w:rPr>
        <w:t>,</w:t>
      </w:r>
      <w:r w:rsidR="000636D8">
        <w:rPr>
          <w:color w:val="000000" w:themeColor="text1"/>
        </w:rPr>
        <w:t xml:space="preserve"> or in a more dorsally placed element (e.g.</w:t>
      </w:r>
      <w:r w:rsidR="005024E9">
        <w:rPr>
          <w:color w:val="000000" w:themeColor="text1"/>
        </w:rPr>
        <w:t>,</w:t>
      </w:r>
      <w:r w:rsidR="000636D8">
        <w:rPr>
          <w:color w:val="000000" w:themeColor="text1"/>
        </w:rPr>
        <w:t xml:space="preserve"> lacrimal or prefrontal)</w:t>
      </w:r>
      <w:r w:rsidRPr="00062F7E">
        <w:rPr>
          <w:color w:val="000000" w:themeColor="text1"/>
        </w:rPr>
        <w:t>. In living gymnophionans</w:t>
      </w:r>
      <w:r w:rsidR="00A05FAA">
        <w:rPr>
          <w:color w:val="000000" w:themeColor="text1"/>
        </w:rPr>
        <w:t>,</w:t>
      </w:r>
      <w:r w:rsidRPr="00062F7E">
        <w:rPr>
          <w:color w:val="000000" w:themeColor="text1"/>
        </w:rPr>
        <w:t xml:space="preserve"> the chemosensory tentacle organ exits an aperture</w:t>
      </w:r>
      <w:r w:rsidR="000636D8">
        <w:rPr>
          <w:color w:val="000000" w:themeColor="text1"/>
        </w:rPr>
        <w:t xml:space="preserve"> or fossa</w:t>
      </w:r>
      <w:r w:rsidRPr="00062F7E">
        <w:rPr>
          <w:color w:val="000000" w:themeColor="text1"/>
        </w:rPr>
        <w:t xml:space="preserve"> </w:t>
      </w:r>
      <w:r w:rsidR="000636D8">
        <w:rPr>
          <w:color w:val="000000" w:themeColor="text1"/>
        </w:rPr>
        <w:t>housed</w:t>
      </w:r>
      <w:r w:rsidR="000636D8" w:rsidRPr="00062F7E">
        <w:rPr>
          <w:color w:val="000000" w:themeColor="text1"/>
        </w:rPr>
        <w:t xml:space="preserve"> </w:t>
      </w:r>
      <w:r w:rsidRPr="00062F7E">
        <w:rPr>
          <w:color w:val="000000" w:themeColor="text1"/>
        </w:rPr>
        <w:t>by the maxillopalatine anterior to the orbit through a duct coopted from the nasolacrimal duct (</w:t>
      </w:r>
      <w:proofErr w:type="spellStart"/>
      <w:r w:rsidRPr="00062F7E">
        <w:rPr>
          <w:color w:val="000000" w:themeColor="text1"/>
        </w:rPr>
        <w:t>Billo</w:t>
      </w:r>
      <w:proofErr w:type="spellEnd"/>
      <w:r w:rsidRPr="00062F7E">
        <w:rPr>
          <w:color w:val="000000" w:themeColor="text1"/>
        </w:rPr>
        <w:t xml:space="preserve"> </w:t>
      </w:r>
      <w:r w:rsidR="005C7186">
        <w:rPr>
          <w:color w:val="000000" w:themeColor="text1"/>
        </w:rPr>
        <w:t>&amp;</w:t>
      </w:r>
      <w:r w:rsidRPr="00062F7E">
        <w:rPr>
          <w:color w:val="000000" w:themeColor="text1"/>
        </w:rPr>
        <w:t xml:space="preserve"> Wake, 1987); this aperture is inset into the anteroventral margin of the orbit in the early-branching rhinatrematids (Nussbaum, 1977). In </w:t>
      </w:r>
      <w:r w:rsidRPr="00062F7E">
        <w:rPr>
          <w:i/>
          <w:iCs/>
          <w:color w:val="000000" w:themeColor="text1"/>
        </w:rPr>
        <w:t>Eocaecilia</w:t>
      </w:r>
      <w:r w:rsidR="00EF0A96">
        <w:rPr>
          <w:i/>
          <w:iCs/>
          <w:color w:val="000000" w:themeColor="text1"/>
        </w:rPr>
        <w:t xml:space="preserve"> micropodia</w:t>
      </w:r>
      <w:r w:rsidR="00EF0A96">
        <w:rPr>
          <w:color w:val="000000" w:themeColor="text1"/>
        </w:rPr>
        <w:t>,</w:t>
      </w:r>
      <w:r w:rsidRPr="00062F7E">
        <w:rPr>
          <w:i/>
          <w:iCs/>
          <w:color w:val="000000" w:themeColor="text1"/>
        </w:rPr>
        <w:t xml:space="preserve"> </w:t>
      </w:r>
      <w:r w:rsidRPr="00062F7E">
        <w:rPr>
          <w:color w:val="000000" w:themeColor="text1"/>
        </w:rPr>
        <w:t>a shallow fossa traverses the dorsal surface of the palatine and maxilla at the anteroventral corner of the orbit, and it is hypothesized to be an osteological correlate for the duct that housed the tentacular organ (Jenkins et al., 2007). There is no sign of an aperture or fossa</w:t>
      </w:r>
      <w:r w:rsidR="000636D8">
        <w:rPr>
          <w:color w:val="000000" w:themeColor="text1"/>
        </w:rPr>
        <w:t xml:space="preserve"> at a similar location to other gymnophionomorphs</w:t>
      </w:r>
      <w:r w:rsidRPr="00062F7E">
        <w:rPr>
          <w:color w:val="000000" w:themeColor="text1"/>
        </w:rPr>
        <w:t xml:space="preserve"> in the orbital margin of </w:t>
      </w:r>
      <w:r w:rsidRPr="00062F7E">
        <w:rPr>
          <w:i/>
          <w:iCs/>
          <w:color w:val="000000" w:themeColor="text1"/>
        </w:rPr>
        <w:t>Funcusvermis</w:t>
      </w:r>
      <w:r w:rsidR="00EF0A96">
        <w:rPr>
          <w:i/>
          <w:iCs/>
          <w:color w:val="000000" w:themeColor="text1"/>
        </w:rPr>
        <w:t xml:space="preserve"> gilmorei</w:t>
      </w:r>
      <w:r w:rsidR="002D5222">
        <w:rPr>
          <w:color w:val="000000" w:themeColor="text1"/>
        </w:rPr>
        <w:t xml:space="preserve">, </w:t>
      </w:r>
      <w:r w:rsidRPr="00062F7E">
        <w:rPr>
          <w:color w:val="000000" w:themeColor="text1"/>
        </w:rPr>
        <w:t xml:space="preserve">suggesting that the tentacular organ was not present in </w:t>
      </w:r>
      <w:r w:rsidR="00EF0A96">
        <w:rPr>
          <w:i/>
          <w:iCs/>
          <w:color w:val="000000" w:themeColor="text1"/>
        </w:rPr>
        <w:t>F. gilmorei</w:t>
      </w:r>
      <w:r w:rsidR="008C5FD0">
        <w:rPr>
          <w:i/>
          <w:iCs/>
          <w:color w:val="000000" w:themeColor="text1"/>
        </w:rPr>
        <w:t xml:space="preserve"> </w:t>
      </w:r>
      <w:r w:rsidR="008C5FD0">
        <w:rPr>
          <w:color w:val="000000" w:themeColor="text1"/>
        </w:rPr>
        <w:t>(Fig. 1 Extended Data Fig. 4)</w:t>
      </w:r>
      <w:r w:rsidRPr="00062F7E">
        <w:rPr>
          <w:color w:val="000000" w:themeColor="text1"/>
        </w:rPr>
        <w:t>. We hypothesize that osteological expression of the tentacular organ</w:t>
      </w:r>
      <w:r w:rsidR="002D5222">
        <w:rPr>
          <w:color w:val="000000" w:themeColor="text1"/>
        </w:rPr>
        <w:t xml:space="preserve"> and therefore the</w:t>
      </w:r>
      <w:r w:rsidRPr="00062F7E">
        <w:rPr>
          <w:color w:val="000000" w:themeColor="text1"/>
        </w:rPr>
        <w:t xml:space="preserve"> tentacular organ itself was gained after the divergence of </w:t>
      </w:r>
      <w:r w:rsidR="00EF0A96">
        <w:rPr>
          <w:i/>
          <w:iCs/>
          <w:color w:val="000000" w:themeColor="text1"/>
        </w:rPr>
        <w:t>F. gilmorei</w:t>
      </w:r>
      <w:r w:rsidR="00EF0A96" w:rsidRPr="00062F7E">
        <w:rPr>
          <w:color w:val="000000" w:themeColor="text1"/>
        </w:rPr>
        <w:t xml:space="preserve"> </w:t>
      </w:r>
      <w:r w:rsidRPr="00062F7E">
        <w:rPr>
          <w:color w:val="000000" w:themeColor="text1"/>
        </w:rPr>
        <w:t xml:space="preserve">in the common ancestor of </w:t>
      </w:r>
      <w:r w:rsidR="00EF0A96">
        <w:rPr>
          <w:i/>
          <w:iCs/>
          <w:color w:val="000000" w:themeColor="text1"/>
        </w:rPr>
        <w:t>E. micropodia</w:t>
      </w:r>
      <w:r w:rsidR="00EF0A96" w:rsidRPr="00062F7E">
        <w:rPr>
          <w:color w:val="000000" w:themeColor="text1"/>
        </w:rPr>
        <w:t xml:space="preserve"> </w:t>
      </w:r>
      <w:r w:rsidRPr="00062F7E">
        <w:rPr>
          <w:color w:val="000000" w:themeColor="text1"/>
        </w:rPr>
        <w:t>and gymnophionans.</w:t>
      </w:r>
    </w:p>
    <w:p w14:paraId="20F20CEE" w14:textId="03BC41D2" w:rsidR="005D19BF" w:rsidRPr="00062F7E" w:rsidRDefault="00A81428" w:rsidP="00662B68">
      <w:pPr>
        <w:ind w:firstLine="720"/>
        <w:rPr>
          <w:color w:val="000000" w:themeColor="text1"/>
        </w:rPr>
      </w:pPr>
      <w:r w:rsidRPr="00062F7E">
        <w:rPr>
          <w:color w:val="000000" w:themeColor="text1"/>
        </w:rPr>
        <w:t xml:space="preserve">A mediolaterally thin </w:t>
      </w:r>
      <w:r w:rsidR="005D19BF" w:rsidRPr="00062F7E">
        <w:rPr>
          <w:color w:val="000000" w:themeColor="text1"/>
        </w:rPr>
        <w:t>lamina</w:t>
      </w:r>
      <w:r w:rsidRPr="00062F7E">
        <w:rPr>
          <w:color w:val="000000" w:themeColor="text1"/>
        </w:rPr>
        <w:t xml:space="preserve"> of bone </w:t>
      </w:r>
      <w:r w:rsidR="008D17C7">
        <w:rPr>
          <w:color w:val="000000" w:themeColor="text1"/>
        </w:rPr>
        <w:t>extends</w:t>
      </w:r>
      <w:r w:rsidR="008D17C7" w:rsidRPr="00062F7E">
        <w:rPr>
          <w:color w:val="000000" w:themeColor="text1"/>
        </w:rPr>
        <w:t xml:space="preserve"> </w:t>
      </w:r>
      <w:r w:rsidRPr="00062F7E">
        <w:rPr>
          <w:color w:val="000000" w:themeColor="text1"/>
        </w:rPr>
        <w:t>dorsally anterior to the orbit</w:t>
      </w:r>
      <w:r w:rsidR="008D17C7">
        <w:rPr>
          <w:color w:val="000000" w:themeColor="text1"/>
        </w:rPr>
        <w:t xml:space="preserve"> in </w:t>
      </w:r>
      <w:r w:rsidR="008D17C7" w:rsidRPr="00662B68">
        <w:rPr>
          <w:i/>
          <w:iCs/>
          <w:color w:val="000000" w:themeColor="text1"/>
        </w:rPr>
        <w:t>Funcusvermis</w:t>
      </w:r>
      <w:r w:rsidR="00EF0A96">
        <w:rPr>
          <w:i/>
          <w:iCs/>
          <w:color w:val="000000" w:themeColor="text1"/>
        </w:rPr>
        <w:t xml:space="preserve"> gilmorei</w:t>
      </w:r>
      <w:r w:rsidRPr="00062F7E">
        <w:rPr>
          <w:color w:val="000000" w:themeColor="text1"/>
        </w:rPr>
        <w:t>, forming a tall facial ramus</w:t>
      </w:r>
      <w:r w:rsidR="008C5FD0">
        <w:rPr>
          <w:color w:val="000000" w:themeColor="text1"/>
        </w:rPr>
        <w:t xml:space="preserve"> (Fig. 1, Extended Data Fig. 4)</w:t>
      </w:r>
      <w:r w:rsidRPr="00062F7E">
        <w:rPr>
          <w:color w:val="000000" w:themeColor="text1"/>
        </w:rPr>
        <w:t xml:space="preserve">. The facial ramus curves dorsomedially towards the roof of the skull, overhanging medially beyond the lateral margin of the </w:t>
      </w:r>
      <w:r w:rsidR="00F76CEF">
        <w:rPr>
          <w:color w:val="000000" w:themeColor="text1"/>
        </w:rPr>
        <w:t>palatal tooth row</w:t>
      </w:r>
      <w:r w:rsidRPr="00062F7E">
        <w:rPr>
          <w:color w:val="000000" w:themeColor="text1"/>
        </w:rPr>
        <w:t xml:space="preserve">. The tall facial ramus of the maxillopalatine in </w:t>
      </w:r>
      <w:r w:rsidR="00EF0A96">
        <w:rPr>
          <w:i/>
          <w:iCs/>
          <w:color w:val="000000" w:themeColor="text1"/>
        </w:rPr>
        <w:t>F. gilmorei</w:t>
      </w:r>
      <w:r w:rsidR="00EF0A96" w:rsidRPr="00062F7E">
        <w:rPr>
          <w:color w:val="000000" w:themeColor="text1"/>
        </w:rPr>
        <w:t xml:space="preserve"> </w:t>
      </w:r>
      <w:r w:rsidRPr="00062F7E">
        <w:rPr>
          <w:color w:val="000000" w:themeColor="text1"/>
        </w:rPr>
        <w:t>differs from the condition in dissorophoids (Schoch, 2019</w:t>
      </w:r>
      <w:r w:rsidR="007E00AB">
        <w:rPr>
          <w:color w:val="000000" w:themeColor="text1"/>
        </w:rPr>
        <w:t>a</w:t>
      </w:r>
      <w:r w:rsidRPr="00062F7E">
        <w:rPr>
          <w:color w:val="000000" w:themeColor="text1"/>
        </w:rPr>
        <w:t xml:space="preserve">) and </w:t>
      </w:r>
      <w:r w:rsidRPr="00062F7E">
        <w:rPr>
          <w:i/>
          <w:iCs/>
          <w:color w:val="000000" w:themeColor="text1"/>
        </w:rPr>
        <w:t>Eocaecilia</w:t>
      </w:r>
      <w:r w:rsidR="00EF0A96">
        <w:rPr>
          <w:i/>
          <w:iCs/>
          <w:color w:val="000000" w:themeColor="text1"/>
        </w:rPr>
        <w:t xml:space="preserve"> micropodia</w:t>
      </w:r>
      <w:r w:rsidRPr="00062F7E">
        <w:rPr>
          <w:i/>
          <w:iCs/>
          <w:color w:val="000000" w:themeColor="text1"/>
        </w:rPr>
        <w:t xml:space="preserve"> </w:t>
      </w:r>
      <w:r w:rsidRPr="00062F7E">
        <w:rPr>
          <w:color w:val="000000" w:themeColor="text1"/>
        </w:rPr>
        <w:t xml:space="preserve">(Jenkins et al., 2007), in which the maxilla is dorsoventrally low anterior to the orbit. It is more </w:t>
      </w:r>
      <w:r w:rsidR="005D19BF" w:rsidRPr="00062F7E">
        <w:rPr>
          <w:color w:val="000000" w:themeColor="text1"/>
        </w:rPr>
        <w:t>like</w:t>
      </w:r>
      <w:r w:rsidRPr="00062F7E">
        <w:rPr>
          <w:color w:val="000000" w:themeColor="text1"/>
        </w:rPr>
        <w:t xml:space="preserve"> the condition in gymnophionans where the facial process is dorsally tall and curved medially towards the skull roof. A tall facial ramus of the maxilla is present in early-diverging </w:t>
      </w:r>
      <w:proofErr w:type="spellStart"/>
      <w:r w:rsidRPr="00062F7E">
        <w:rPr>
          <w:color w:val="000000" w:themeColor="text1"/>
        </w:rPr>
        <w:t>urodelans</w:t>
      </w:r>
      <w:proofErr w:type="spellEnd"/>
      <w:r w:rsidRPr="00062F7E">
        <w:rPr>
          <w:color w:val="000000" w:themeColor="text1"/>
        </w:rPr>
        <w:t xml:space="preserve"> (Schoch et al., 2020) but absent in early diverging salientians such as </w:t>
      </w:r>
      <w:proofErr w:type="spellStart"/>
      <w:r w:rsidRPr="00062F7E">
        <w:rPr>
          <w:i/>
          <w:iCs/>
          <w:color w:val="000000" w:themeColor="text1"/>
        </w:rPr>
        <w:t>Prosalirus</w:t>
      </w:r>
      <w:proofErr w:type="spellEnd"/>
      <w:r w:rsidRPr="00062F7E">
        <w:rPr>
          <w:i/>
          <w:iCs/>
          <w:color w:val="000000" w:themeColor="text1"/>
        </w:rPr>
        <w:t xml:space="preserve"> </w:t>
      </w:r>
      <w:proofErr w:type="spellStart"/>
      <w:r w:rsidRPr="00062F7E">
        <w:rPr>
          <w:i/>
          <w:iCs/>
          <w:color w:val="000000" w:themeColor="text1"/>
        </w:rPr>
        <w:t>bitis</w:t>
      </w:r>
      <w:proofErr w:type="spellEnd"/>
      <w:r w:rsidR="003671F8">
        <w:rPr>
          <w:i/>
          <w:iCs/>
          <w:color w:val="000000" w:themeColor="text1"/>
        </w:rPr>
        <w:t xml:space="preserve"> </w:t>
      </w:r>
      <w:r w:rsidR="003671F8">
        <w:rPr>
          <w:color w:val="000000" w:themeColor="text1"/>
        </w:rPr>
        <w:t>(</w:t>
      </w:r>
      <w:r w:rsidR="003671F8" w:rsidRPr="00062F7E">
        <w:rPr>
          <w:color w:val="000000" w:themeColor="text1"/>
        </w:rPr>
        <w:t xml:space="preserve">Shubin </w:t>
      </w:r>
      <w:r w:rsidR="006400F3">
        <w:rPr>
          <w:color w:val="000000" w:themeColor="text1"/>
        </w:rPr>
        <w:t>&amp;</w:t>
      </w:r>
      <w:r w:rsidR="003671F8" w:rsidRPr="00062F7E">
        <w:rPr>
          <w:color w:val="000000" w:themeColor="text1"/>
        </w:rPr>
        <w:t xml:space="preserve"> Jenkins, 1995</w:t>
      </w:r>
      <w:r w:rsidR="003671F8">
        <w:rPr>
          <w:color w:val="000000" w:themeColor="text1"/>
        </w:rPr>
        <w:t>)</w:t>
      </w:r>
      <w:r w:rsidR="008231F7">
        <w:rPr>
          <w:color w:val="000000" w:themeColor="text1"/>
        </w:rPr>
        <w:t xml:space="preserve">. It is also absent in </w:t>
      </w:r>
      <w:r w:rsidRPr="00062F7E">
        <w:rPr>
          <w:color w:val="000000" w:themeColor="text1"/>
        </w:rPr>
        <w:t xml:space="preserve">the putative stem-batrachian </w:t>
      </w:r>
      <w:r w:rsidRPr="00062F7E">
        <w:rPr>
          <w:i/>
          <w:iCs/>
          <w:color w:val="000000" w:themeColor="text1"/>
        </w:rPr>
        <w:t>Gerobatrachus</w:t>
      </w:r>
      <w:r w:rsidRPr="00062F7E">
        <w:rPr>
          <w:color w:val="000000" w:themeColor="text1"/>
        </w:rPr>
        <w:t xml:space="preserve"> </w:t>
      </w:r>
      <w:r w:rsidR="00EF0A96">
        <w:rPr>
          <w:i/>
          <w:iCs/>
          <w:color w:val="000000" w:themeColor="text1"/>
        </w:rPr>
        <w:t xml:space="preserve">hottoni </w:t>
      </w:r>
      <w:r w:rsidRPr="00062F7E">
        <w:rPr>
          <w:color w:val="000000" w:themeColor="text1"/>
        </w:rPr>
        <w:t>(Anderson et al., 2008</w:t>
      </w:r>
      <w:r w:rsidR="00F70A03">
        <w:rPr>
          <w:color w:val="000000" w:themeColor="text1"/>
        </w:rPr>
        <w:t>b</w:t>
      </w:r>
      <w:r w:rsidRPr="00062F7E">
        <w:rPr>
          <w:color w:val="000000" w:themeColor="text1"/>
        </w:rPr>
        <w:t>)</w:t>
      </w:r>
      <w:r w:rsidR="008231F7">
        <w:rPr>
          <w:color w:val="000000" w:themeColor="text1"/>
        </w:rPr>
        <w:t xml:space="preserve"> but present in the highly nested amphibamiform </w:t>
      </w:r>
      <w:r w:rsidR="008231F7">
        <w:rPr>
          <w:i/>
          <w:iCs/>
          <w:color w:val="000000" w:themeColor="text1"/>
        </w:rPr>
        <w:t>Doleserpeton</w:t>
      </w:r>
      <w:r w:rsidR="008231F7">
        <w:rPr>
          <w:color w:val="000000" w:themeColor="text1"/>
        </w:rPr>
        <w:t xml:space="preserve"> </w:t>
      </w:r>
      <w:r w:rsidR="00EF0A96">
        <w:rPr>
          <w:i/>
          <w:iCs/>
          <w:color w:val="000000" w:themeColor="text1"/>
        </w:rPr>
        <w:t xml:space="preserve">annectens </w:t>
      </w:r>
      <w:r w:rsidR="008231F7">
        <w:rPr>
          <w:color w:val="000000" w:themeColor="text1"/>
        </w:rPr>
        <w:t xml:space="preserve">(Sigurdsen &amp; Bolt, 2010), which was long considered the closest relative of lissamphibians prior to the discovery of </w:t>
      </w:r>
      <w:r w:rsidR="00EF0A96">
        <w:rPr>
          <w:i/>
          <w:iCs/>
          <w:color w:val="000000" w:themeColor="text1"/>
        </w:rPr>
        <w:t>G. hottoni</w:t>
      </w:r>
      <w:r w:rsidR="00EF0A96">
        <w:rPr>
          <w:color w:val="000000" w:themeColor="text1"/>
        </w:rPr>
        <w:t xml:space="preserve"> </w:t>
      </w:r>
      <w:r w:rsidR="008231F7">
        <w:rPr>
          <w:color w:val="000000" w:themeColor="text1"/>
        </w:rPr>
        <w:t>(e.g., Bolt, 1969)</w:t>
      </w:r>
      <w:r w:rsidRPr="00062F7E">
        <w:rPr>
          <w:color w:val="000000" w:themeColor="text1"/>
        </w:rPr>
        <w:t>.</w:t>
      </w:r>
      <w:r w:rsidR="0028721A" w:rsidRPr="00062F7E">
        <w:rPr>
          <w:color w:val="000000" w:themeColor="text1"/>
        </w:rPr>
        <w:t xml:space="preserve"> </w:t>
      </w:r>
    </w:p>
    <w:p w14:paraId="48418749" w14:textId="25107608" w:rsidR="00511FC6" w:rsidRDefault="005D19BF" w:rsidP="00662B68">
      <w:pPr>
        <w:ind w:firstLine="720"/>
        <w:rPr>
          <w:color w:val="000000" w:themeColor="text1"/>
        </w:rPr>
      </w:pPr>
      <w:r w:rsidRPr="00062F7E">
        <w:rPr>
          <w:color w:val="000000" w:themeColor="text1"/>
        </w:rPr>
        <w:t>The maxillary and palatal tooth rows bear 17 and 11 tooth pedicels, respectively</w:t>
      </w:r>
      <w:r w:rsidR="00B84EF0">
        <w:rPr>
          <w:color w:val="000000" w:themeColor="text1"/>
        </w:rPr>
        <w:t xml:space="preserve">, and these two rows bear </w:t>
      </w:r>
      <w:r w:rsidR="00B84EF0" w:rsidRPr="00062F7E">
        <w:rPr>
          <w:color w:val="000000" w:themeColor="text1"/>
        </w:rPr>
        <w:t>tooth pedicels of similar size and shape</w:t>
      </w:r>
      <w:r w:rsidR="008C5FD0">
        <w:rPr>
          <w:color w:val="000000" w:themeColor="text1"/>
        </w:rPr>
        <w:t xml:space="preserve"> (Fig. 1)</w:t>
      </w:r>
      <w:r w:rsidR="00B84EF0">
        <w:rPr>
          <w:color w:val="000000" w:themeColor="text1"/>
        </w:rPr>
        <w:t>.</w:t>
      </w:r>
      <w:r w:rsidRPr="00062F7E">
        <w:rPr>
          <w:color w:val="000000" w:themeColor="text1"/>
        </w:rPr>
        <w:t xml:space="preserve"> Due to anterior and posterior breakage</w:t>
      </w:r>
      <w:r w:rsidR="000B6FA2">
        <w:rPr>
          <w:color w:val="000000" w:themeColor="text1"/>
        </w:rPr>
        <w:t>,</w:t>
      </w:r>
      <w:r w:rsidRPr="00062F7E">
        <w:rPr>
          <w:color w:val="000000" w:themeColor="text1"/>
        </w:rPr>
        <w:t xml:space="preserve"> the extent of the maxillary tooth row and total number of teeth in both maxillary and palatal tooth rows is unknown; however, the palatal tooth row appears to naturally terminate prior to the anterior end of the element. Immediately medial to the palatal tooth row is a smooth laterally concave margin of bone representing the lateral choanal margin. The form of the choanal margin and palatal portion of the maxillopalatine suggests that the palatine ossification of </w:t>
      </w:r>
      <w:r w:rsidRPr="00062F7E">
        <w:rPr>
          <w:i/>
          <w:iCs/>
          <w:color w:val="000000" w:themeColor="text1"/>
        </w:rPr>
        <w:t>Funcusvermis</w:t>
      </w:r>
      <w:r w:rsidR="00EF0A96">
        <w:rPr>
          <w:i/>
          <w:iCs/>
          <w:color w:val="000000" w:themeColor="text1"/>
        </w:rPr>
        <w:t xml:space="preserve"> gilmorei</w:t>
      </w:r>
      <w:r w:rsidRPr="00062F7E">
        <w:rPr>
          <w:i/>
          <w:iCs/>
          <w:color w:val="000000" w:themeColor="text1"/>
        </w:rPr>
        <w:t xml:space="preserve"> </w:t>
      </w:r>
      <w:r w:rsidRPr="00062F7E">
        <w:rPr>
          <w:color w:val="000000" w:themeColor="text1"/>
        </w:rPr>
        <w:t xml:space="preserve">was a thin rod-like strut, likely a conservation of the derived condition in </w:t>
      </w:r>
      <w:r w:rsidR="008231F7">
        <w:rPr>
          <w:color w:val="000000" w:themeColor="text1"/>
        </w:rPr>
        <w:t>amphibamiform</w:t>
      </w:r>
      <w:r w:rsidRPr="00062F7E">
        <w:rPr>
          <w:color w:val="000000" w:themeColor="text1"/>
        </w:rPr>
        <w:t xml:space="preserve"> dissorophoids (Schoch, 2019</w:t>
      </w:r>
      <w:r w:rsidR="007E00AB">
        <w:rPr>
          <w:color w:val="000000" w:themeColor="text1"/>
        </w:rPr>
        <w:t>a</w:t>
      </w:r>
      <w:r w:rsidRPr="00062F7E">
        <w:rPr>
          <w:color w:val="000000" w:themeColor="text1"/>
        </w:rPr>
        <w:t xml:space="preserve">). The palatal tooth row terminates prior to the anterior end of the maxillopalatine in </w:t>
      </w:r>
      <w:r w:rsidR="009D189B">
        <w:rPr>
          <w:i/>
          <w:iCs/>
          <w:color w:val="000000" w:themeColor="text1"/>
        </w:rPr>
        <w:t>F. gilmorei</w:t>
      </w:r>
      <w:r w:rsidR="009D189B" w:rsidRPr="00062F7E">
        <w:rPr>
          <w:i/>
          <w:iCs/>
          <w:color w:val="000000" w:themeColor="text1"/>
        </w:rPr>
        <w:t xml:space="preserve"> </w:t>
      </w:r>
      <w:r w:rsidRPr="00062F7E">
        <w:rPr>
          <w:color w:val="000000" w:themeColor="text1"/>
        </w:rPr>
        <w:t xml:space="preserve">such that the palatal and vomerine tooth rows would not have formed a continuous tooth row lateral to the choana, unlike the condition in </w:t>
      </w:r>
      <w:r w:rsidRPr="00062F7E">
        <w:rPr>
          <w:i/>
          <w:iCs/>
          <w:color w:val="000000" w:themeColor="text1"/>
        </w:rPr>
        <w:t>Eocaecilia</w:t>
      </w:r>
      <w:r w:rsidRPr="00062F7E">
        <w:rPr>
          <w:color w:val="000000" w:themeColor="text1"/>
        </w:rPr>
        <w:t xml:space="preserve"> </w:t>
      </w:r>
      <w:r w:rsidR="00EF0A96">
        <w:rPr>
          <w:i/>
          <w:iCs/>
          <w:color w:val="000000" w:themeColor="text1"/>
        </w:rPr>
        <w:t xml:space="preserve">micropodia </w:t>
      </w:r>
      <w:r w:rsidRPr="00062F7E">
        <w:rPr>
          <w:color w:val="000000" w:themeColor="text1"/>
        </w:rPr>
        <w:t xml:space="preserve">and </w:t>
      </w:r>
      <w:r w:rsidR="00DB7CC6">
        <w:rPr>
          <w:color w:val="000000" w:themeColor="text1"/>
        </w:rPr>
        <w:t xml:space="preserve">other </w:t>
      </w:r>
      <w:r w:rsidRPr="00062F7E">
        <w:rPr>
          <w:color w:val="000000" w:themeColor="text1"/>
        </w:rPr>
        <w:t xml:space="preserve">gymnophionomorphs where the palatal tooth </w:t>
      </w:r>
      <w:r w:rsidRPr="00062F7E">
        <w:rPr>
          <w:color w:val="000000" w:themeColor="text1"/>
        </w:rPr>
        <w:lastRenderedPageBreak/>
        <w:t>row continues anteriorly meeting the tooth row on the vomer. Instead, here the anteriorly foreshortened palatal tooth</w:t>
      </w:r>
      <w:r w:rsidR="000B6FA2">
        <w:rPr>
          <w:color w:val="000000" w:themeColor="text1"/>
        </w:rPr>
        <w:t xml:space="preserve"> row</w:t>
      </w:r>
      <w:r w:rsidRPr="00062F7E">
        <w:rPr>
          <w:color w:val="000000" w:themeColor="text1"/>
        </w:rPr>
        <w:t xml:space="preserve"> resembles the condition seen in amphibamids like </w:t>
      </w:r>
      <w:r w:rsidRPr="00062F7E">
        <w:rPr>
          <w:i/>
          <w:iCs/>
          <w:color w:val="000000" w:themeColor="text1"/>
        </w:rPr>
        <w:t>Doleserpeton</w:t>
      </w:r>
      <w:r w:rsidR="00EF0A96">
        <w:rPr>
          <w:i/>
          <w:iCs/>
          <w:color w:val="000000" w:themeColor="text1"/>
        </w:rPr>
        <w:t xml:space="preserve"> annectens</w:t>
      </w:r>
      <w:r w:rsidR="00511FC6">
        <w:rPr>
          <w:i/>
          <w:iCs/>
          <w:color w:val="000000" w:themeColor="text1"/>
        </w:rPr>
        <w:t xml:space="preserve"> </w:t>
      </w:r>
      <w:r w:rsidR="00511FC6">
        <w:rPr>
          <w:color w:val="000000" w:themeColor="text1"/>
        </w:rPr>
        <w:t>(e.g.</w:t>
      </w:r>
      <w:r w:rsidR="003C15DA">
        <w:rPr>
          <w:color w:val="000000" w:themeColor="text1"/>
        </w:rPr>
        <w:t>,</w:t>
      </w:r>
      <w:r w:rsidR="00511FC6">
        <w:rPr>
          <w:color w:val="000000" w:themeColor="text1"/>
        </w:rPr>
        <w:t xml:space="preserve"> Sigurdsen </w:t>
      </w:r>
      <w:r w:rsidR="0010196B">
        <w:rPr>
          <w:color w:val="000000" w:themeColor="text1"/>
        </w:rPr>
        <w:t>&amp;</w:t>
      </w:r>
      <w:r w:rsidR="00511FC6">
        <w:rPr>
          <w:color w:val="000000" w:themeColor="text1"/>
        </w:rPr>
        <w:t xml:space="preserve"> Bolt, 2010)</w:t>
      </w:r>
      <w:r w:rsidR="00254E0C">
        <w:rPr>
          <w:color w:val="000000" w:themeColor="text1"/>
        </w:rPr>
        <w:t>. In amphibamids,</w:t>
      </w:r>
      <w:r w:rsidRPr="00062F7E">
        <w:rPr>
          <w:color w:val="000000" w:themeColor="text1"/>
        </w:rPr>
        <w:t xml:space="preserve"> a short row of </w:t>
      </w:r>
      <w:r w:rsidR="003C06FC">
        <w:rPr>
          <w:color w:val="000000" w:themeColor="text1"/>
        </w:rPr>
        <w:t>five to seven</w:t>
      </w:r>
      <w:r w:rsidRPr="00062F7E">
        <w:rPr>
          <w:color w:val="000000" w:themeColor="text1"/>
        </w:rPr>
        <w:t xml:space="preserve"> pedicellate teeth</w:t>
      </w:r>
      <w:r w:rsidR="00254E0C">
        <w:rPr>
          <w:color w:val="000000" w:themeColor="text1"/>
        </w:rPr>
        <w:t xml:space="preserve"> of similar size to the marginal teeth</w:t>
      </w:r>
      <w:r w:rsidRPr="00062F7E">
        <w:rPr>
          <w:color w:val="000000" w:themeColor="text1"/>
        </w:rPr>
        <w:t xml:space="preserve"> </w:t>
      </w:r>
      <w:r w:rsidR="00254E0C">
        <w:rPr>
          <w:color w:val="000000" w:themeColor="text1"/>
        </w:rPr>
        <w:t>is</w:t>
      </w:r>
      <w:r w:rsidR="00254E0C" w:rsidRPr="00062F7E">
        <w:rPr>
          <w:color w:val="000000" w:themeColor="text1"/>
        </w:rPr>
        <w:t xml:space="preserve"> </w:t>
      </w:r>
      <w:r w:rsidRPr="00062F7E">
        <w:rPr>
          <w:color w:val="000000" w:themeColor="text1"/>
        </w:rPr>
        <w:t>present on the palatine</w:t>
      </w:r>
      <w:r w:rsidR="003C06FC">
        <w:rPr>
          <w:color w:val="000000" w:themeColor="text1"/>
        </w:rPr>
        <w:t>, and this tooth row is</w:t>
      </w:r>
      <w:r w:rsidR="00254E0C">
        <w:rPr>
          <w:color w:val="000000" w:themeColor="text1"/>
        </w:rPr>
        <w:t xml:space="preserve"> oriented</w:t>
      </w:r>
      <w:r w:rsidRPr="00062F7E">
        <w:rPr>
          <w:color w:val="000000" w:themeColor="text1"/>
        </w:rPr>
        <w:t xml:space="preserve"> </w:t>
      </w:r>
      <w:r w:rsidR="00254E0C">
        <w:rPr>
          <w:color w:val="000000" w:themeColor="text1"/>
        </w:rPr>
        <w:t>parallel to the marginal row and is</w:t>
      </w:r>
      <w:r w:rsidRPr="00062F7E">
        <w:rPr>
          <w:color w:val="000000" w:themeColor="text1"/>
        </w:rPr>
        <w:t xml:space="preserve"> separated from the tooth row of the vomer by the choana (</w:t>
      </w:r>
      <w:r w:rsidR="00254E0C">
        <w:rPr>
          <w:color w:val="000000" w:themeColor="text1"/>
        </w:rPr>
        <w:t>Bolt, 1974</w:t>
      </w:r>
      <w:r w:rsidR="00F70A03">
        <w:rPr>
          <w:color w:val="000000" w:themeColor="text1"/>
        </w:rPr>
        <w:t>b</w:t>
      </w:r>
      <w:r w:rsidR="00254E0C">
        <w:rPr>
          <w:color w:val="000000" w:themeColor="text1"/>
        </w:rPr>
        <w:t xml:space="preserve">, 1977; </w:t>
      </w:r>
      <w:r w:rsidRPr="00062F7E">
        <w:rPr>
          <w:color w:val="000000" w:themeColor="text1"/>
        </w:rPr>
        <w:t xml:space="preserve">Sigurdsen </w:t>
      </w:r>
      <w:r w:rsidR="00C90DB2">
        <w:rPr>
          <w:color w:val="000000" w:themeColor="text1"/>
        </w:rPr>
        <w:t>&amp;</w:t>
      </w:r>
      <w:r w:rsidRPr="00062F7E">
        <w:rPr>
          <w:color w:val="000000" w:themeColor="text1"/>
        </w:rPr>
        <w:t xml:space="preserve"> Bolt, 2010</w:t>
      </w:r>
      <w:r w:rsidR="00254E0C">
        <w:rPr>
          <w:color w:val="000000" w:themeColor="text1"/>
        </w:rPr>
        <w:t>; Schoch, 2019</w:t>
      </w:r>
      <w:r w:rsidR="007E00AB">
        <w:rPr>
          <w:color w:val="000000" w:themeColor="text1"/>
        </w:rPr>
        <w:t>a</w:t>
      </w:r>
      <w:r w:rsidRPr="00062F7E">
        <w:rPr>
          <w:color w:val="000000" w:themeColor="text1"/>
        </w:rPr>
        <w:t xml:space="preserve">). We hypothesize that the palatal tooth row of </w:t>
      </w:r>
      <w:r w:rsidR="00EF0A96">
        <w:rPr>
          <w:i/>
          <w:iCs/>
          <w:color w:val="000000" w:themeColor="text1"/>
        </w:rPr>
        <w:t>F. gilmorei</w:t>
      </w:r>
      <w:r w:rsidR="00EF0A96" w:rsidRPr="00062F7E">
        <w:rPr>
          <w:color w:val="000000" w:themeColor="text1"/>
        </w:rPr>
        <w:t xml:space="preserve"> </w:t>
      </w:r>
      <w:r w:rsidRPr="00062F7E">
        <w:rPr>
          <w:color w:val="000000" w:themeColor="text1"/>
        </w:rPr>
        <w:t xml:space="preserve">represents a transitional state of the gymnophionomorph palate between the condition of </w:t>
      </w:r>
      <w:r w:rsidR="00EF0A96">
        <w:rPr>
          <w:i/>
          <w:iCs/>
          <w:color w:val="000000" w:themeColor="text1"/>
        </w:rPr>
        <w:t>D. annectens</w:t>
      </w:r>
      <w:r w:rsidR="00EF0A96" w:rsidRPr="00062F7E">
        <w:rPr>
          <w:color w:val="000000" w:themeColor="text1"/>
        </w:rPr>
        <w:t xml:space="preserve"> </w:t>
      </w:r>
      <w:r w:rsidRPr="00062F7E">
        <w:rPr>
          <w:color w:val="000000" w:themeColor="text1"/>
        </w:rPr>
        <w:t>and</w:t>
      </w:r>
      <w:r w:rsidRPr="00062F7E">
        <w:rPr>
          <w:i/>
          <w:iCs/>
          <w:color w:val="000000" w:themeColor="text1"/>
        </w:rPr>
        <w:t xml:space="preserve"> </w:t>
      </w:r>
      <w:r w:rsidRPr="00062F7E">
        <w:rPr>
          <w:color w:val="000000" w:themeColor="text1"/>
        </w:rPr>
        <w:t xml:space="preserve">gymnophionans; the maxilla and palatine are </w:t>
      </w:r>
      <w:proofErr w:type="spellStart"/>
      <w:r w:rsidR="00FA6E2E">
        <w:rPr>
          <w:color w:val="000000" w:themeColor="text1"/>
        </w:rPr>
        <w:t>coossified</w:t>
      </w:r>
      <w:proofErr w:type="spellEnd"/>
      <w:r w:rsidR="00FA6E2E" w:rsidRPr="00062F7E">
        <w:rPr>
          <w:color w:val="000000" w:themeColor="text1"/>
        </w:rPr>
        <w:t xml:space="preserve"> </w:t>
      </w:r>
      <w:r w:rsidRPr="00062F7E">
        <w:rPr>
          <w:color w:val="000000" w:themeColor="text1"/>
        </w:rPr>
        <w:t xml:space="preserve">as in </w:t>
      </w:r>
      <w:proofErr w:type="spellStart"/>
      <w:r w:rsidRPr="00062F7E">
        <w:rPr>
          <w:color w:val="000000" w:themeColor="text1"/>
        </w:rPr>
        <w:t>gymnophionans</w:t>
      </w:r>
      <w:proofErr w:type="spellEnd"/>
      <w:r w:rsidRPr="00062F7E">
        <w:rPr>
          <w:color w:val="000000" w:themeColor="text1"/>
        </w:rPr>
        <w:t xml:space="preserve">, but as in </w:t>
      </w:r>
      <w:r w:rsidR="00EF0A96">
        <w:rPr>
          <w:i/>
          <w:iCs/>
          <w:color w:val="000000" w:themeColor="text1"/>
        </w:rPr>
        <w:t>D. annectens</w:t>
      </w:r>
      <w:r w:rsidR="00EF0A96" w:rsidRPr="00062F7E">
        <w:rPr>
          <w:color w:val="000000" w:themeColor="text1"/>
        </w:rPr>
        <w:t xml:space="preserve"> </w:t>
      </w:r>
      <w:r w:rsidRPr="00062F7E">
        <w:rPr>
          <w:color w:val="000000" w:themeColor="text1"/>
        </w:rPr>
        <w:t>the palatal tooth row is anteriorly terminal and separated from the vomerine tooth row by the lateral choanal margin</w:t>
      </w:r>
      <w:r w:rsidR="0028721A" w:rsidRPr="00062F7E">
        <w:rPr>
          <w:color w:val="000000" w:themeColor="text1"/>
        </w:rPr>
        <w:t xml:space="preserve">. </w:t>
      </w:r>
    </w:p>
    <w:p w14:paraId="079B1ADE" w14:textId="50EB302A" w:rsidR="00E60CE2" w:rsidRPr="00062F7E" w:rsidRDefault="00511FC6" w:rsidP="00662B68">
      <w:pPr>
        <w:ind w:firstLine="720"/>
        <w:rPr>
          <w:color w:val="000000" w:themeColor="text1"/>
        </w:rPr>
      </w:pPr>
      <w:r>
        <w:rPr>
          <w:color w:val="000000" w:themeColor="text1"/>
        </w:rPr>
        <w:t xml:space="preserve">In the maxillopalatine of </w:t>
      </w:r>
      <w:r w:rsidRPr="003C15DA">
        <w:rPr>
          <w:i/>
          <w:iCs/>
          <w:color w:val="000000" w:themeColor="text1"/>
        </w:rPr>
        <w:t>Funcusvermis</w:t>
      </w:r>
      <w:r w:rsidR="00141F94">
        <w:rPr>
          <w:i/>
          <w:iCs/>
          <w:color w:val="000000" w:themeColor="text1"/>
        </w:rPr>
        <w:t xml:space="preserve"> gilmorei</w:t>
      </w:r>
      <w:r>
        <w:rPr>
          <w:color w:val="000000" w:themeColor="text1"/>
        </w:rPr>
        <w:t>, the maxillary and palatal tooth rows are</w:t>
      </w:r>
      <w:r w:rsidR="00BD344C" w:rsidRPr="00062F7E">
        <w:rPr>
          <w:color w:val="000000" w:themeColor="text1"/>
        </w:rPr>
        <w:t xml:space="preserve"> </w:t>
      </w:r>
      <w:r w:rsidR="0067464C" w:rsidRPr="00062F7E">
        <w:rPr>
          <w:color w:val="000000" w:themeColor="text1"/>
        </w:rPr>
        <w:t xml:space="preserve">parallel </w:t>
      </w:r>
      <w:r>
        <w:rPr>
          <w:color w:val="000000" w:themeColor="text1"/>
        </w:rPr>
        <w:t xml:space="preserve">to each other </w:t>
      </w:r>
      <w:r w:rsidR="0067464C" w:rsidRPr="00062F7E">
        <w:rPr>
          <w:color w:val="000000" w:themeColor="text1"/>
        </w:rPr>
        <w:t xml:space="preserve">and </w:t>
      </w:r>
      <w:r w:rsidR="00BD344C" w:rsidRPr="00062F7E">
        <w:rPr>
          <w:color w:val="000000" w:themeColor="text1"/>
        </w:rPr>
        <w:t>separated by a deep groove</w:t>
      </w:r>
      <w:r w:rsidR="008C5FD0">
        <w:rPr>
          <w:color w:val="000000" w:themeColor="text1"/>
        </w:rPr>
        <w:t xml:space="preserve"> (Fig. 1)</w:t>
      </w:r>
      <w:r w:rsidR="00BD344C" w:rsidRPr="00062F7E">
        <w:rPr>
          <w:color w:val="000000" w:themeColor="text1"/>
        </w:rPr>
        <w:t xml:space="preserve">. </w:t>
      </w:r>
      <w:r>
        <w:rPr>
          <w:color w:val="000000" w:themeColor="text1"/>
        </w:rPr>
        <w:t>This condition</w:t>
      </w:r>
      <w:r w:rsidR="00E60CE2" w:rsidRPr="00062F7E">
        <w:rPr>
          <w:color w:val="000000" w:themeColor="text1"/>
        </w:rPr>
        <w:t xml:space="preserve"> resembles the pattern in </w:t>
      </w:r>
      <w:r w:rsidR="00E60CE2" w:rsidRPr="00062F7E">
        <w:rPr>
          <w:i/>
          <w:iCs/>
          <w:color w:val="000000" w:themeColor="text1"/>
        </w:rPr>
        <w:t>Eocaecilia</w:t>
      </w:r>
      <w:r w:rsidR="00141F94">
        <w:rPr>
          <w:i/>
          <w:iCs/>
          <w:color w:val="000000" w:themeColor="text1"/>
        </w:rPr>
        <w:t xml:space="preserve"> micropodia</w:t>
      </w:r>
      <w:r w:rsidR="00E60CE2" w:rsidRPr="00062F7E">
        <w:rPr>
          <w:i/>
          <w:iCs/>
          <w:color w:val="000000" w:themeColor="text1"/>
        </w:rPr>
        <w:t xml:space="preserve"> </w:t>
      </w:r>
      <w:r w:rsidR="00E60CE2" w:rsidRPr="00062F7E">
        <w:rPr>
          <w:color w:val="000000" w:themeColor="text1"/>
        </w:rPr>
        <w:t xml:space="preserve">where maxillary and palatine tooth rows form two closely spaced parallel rows of tooth pedicels. The close </w:t>
      </w:r>
      <w:r w:rsidR="005D19BF" w:rsidRPr="00062F7E">
        <w:rPr>
          <w:color w:val="000000" w:themeColor="text1"/>
        </w:rPr>
        <w:t xml:space="preserve">mediolateral </w:t>
      </w:r>
      <w:r w:rsidR="00E60CE2" w:rsidRPr="00062F7E">
        <w:rPr>
          <w:color w:val="000000" w:themeColor="text1"/>
        </w:rPr>
        <w:t xml:space="preserve">spacing and parallel arrangement of the tooth rows in </w:t>
      </w:r>
      <w:r w:rsidR="00141F94">
        <w:rPr>
          <w:i/>
          <w:iCs/>
          <w:color w:val="000000" w:themeColor="text1"/>
        </w:rPr>
        <w:t>E. micropodia</w:t>
      </w:r>
      <w:r w:rsidR="00141F94" w:rsidRPr="00062F7E">
        <w:rPr>
          <w:color w:val="000000" w:themeColor="text1"/>
        </w:rPr>
        <w:t xml:space="preserve"> </w:t>
      </w:r>
      <w:r w:rsidR="00E60CE2" w:rsidRPr="00062F7E">
        <w:rPr>
          <w:color w:val="000000" w:themeColor="text1"/>
        </w:rPr>
        <w:t xml:space="preserve">and </w:t>
      </w:r>
      <w:r w:rsidR="00141F94">
        <w:rPr>
          <w:i/>
          <w:iCs/>
          <w:color w:val="000000" w:themeColor="text1"/>
        </w:rPr>
        <w:t>F. gilmorei</w:t>
      </w:r>
      <w:r w:rsidR="00141F94" w:rsidRPr="00062F7E">
        <w:rPr>
          <w:color w:val="000000" w:themeColor="text1"/>
        </w:rPr>
        <w:t xml:space="preserve"> </w:t>
      </w:r>
      <w:r w:rsidR="00E60CE2" w:rsidRPr="00062F7E">
        <w:rPr>
          <w:color w:val="000000" w:themeColor="text1"/>
        </w:rPr>
        <w:t>differ from the condition in living caecilians, where space between the palatal and maxillary dentitions increases anteriorly</w:t>
      </w:r>
      <w:r>
        <w:rPr>
          <w:color w:val="000000" w:themeColor="text1"/>
        </w:rPr>
        <w:t xml:space="preserve"> (e.g.</w:t>
      </w:r>
      <w:r w:rsidR="003C15DA">
        <w:rPr>
          <w:color w:val="000000" w:themeColor="text1"/>
        </w:rPr>
        <w:t>,</w:t>
      </w:r>
      <w:r>
        <w:rPr>
          <w:color w:val="000000" w:themeColor="text1"/>
        </w:rPr>
        <w:t xml:space="preserve"> Wilkinson et al., 2011)</w:t>
      </w:r>
      <w:r w:rsidR="00E60CE2" w:rsidRPr="00062F7E">
        <w:rPr>
          <w:color w:val="000000" w:themeColor="text1"/>
        </w:rPr>
        <w:t>.</w:t>
      </w:r>
    </w:p>
    <w:p w14:paraId="5E55B37A" w14:textId="78D8F050" w:rsidR="00D601E1" w:rsidRPr="00062F7E" w:rsidRDefault="00D601E1" w:rsidP="00662B68">
      <w:pPr>
        <w:rPr>
          <w:i/>
          <w:iCs/>
          <w:color w:val="000000" w:themeColor="text1"/>
        </w:rPr>
      </w:pPr>
    </w:p>
    <w:p w14:paraId="1D9E27CC" w14:textId="29D7742A" w:rsidR="00B17800" w:rsidRPr="009E705A" w:rsidRDefault="008757FF">
      <w:pPr>
        <w:rPr>
          <w:color w:val="000000" w:themeColor="text1"/>
        </w:rPr>
      </w:pPr>
      <w:r w:rsidRPr="00FF1DE0">
        <w:rPr>
          <w:b/>
          <w:bCs/>
          <w:color w:val="000000" w:themeColor="text1"/>
        </w:rPr>
        <w:t>Mandible</w:t>
      </w:r>
      <w:r w:rsidR="00D601E1" w:rsidRPr="00FF1DE0">
        <w:rPr>
          <w:i/>
          <w:iCs/>
          <w:color w:val="000000" w:themeColor="text1"/>
        </w:rPr>
        <w:t>.</w:t>
      </w:r>
      <w:r w:rsidR="00D601E1" w:rsidRPr="00FF1DE0">
        <w:rPr>
          <w:b/>
          <w:bCs/>
          <w:color w:val="000000" w:themeColor="text1"/>
        </w:rPr>
        <w:t xml:space="preserve"> </w:t>
      </w:r>
      <w:r w:rsidR="00804E9E" w:rsidRPr="00FF1DE0">
        <w:rPr>
          <w:color w:val="000000" w:themeColor="text1"/>
        </w:rPr>
        <w:t xml:space="preserve">The </w:t>
      </w:r>
      <w:r w:rsidRPr="00FF1DE0">
        <w:rPr>
          <w:color w:val="000000" w:themeColor="text1"/>
        </w:rPr>
        <w:t>mandible</w:t>
      </w:r>
      <w:r w:rsidR="00804E9E" w:rsidRPr="00FF1DE0">
        <w:rPr>
          <w:color w:val="000000" w:themeColor="text1"/>
        </w:rPr>
        <w:t xml:space="preserve"> of </w:t>
      </w:r>
      <w:r w:rsidR="00804E9E" w:rsidRPr="00FF1DE0">
        <w:rPr>
          <w:i/>
          <w:iCs/>
          <w:color w:val="000000" w:themeColor="text1"/>
        </w:rPr>
        <w:t>Funcusvermis</w:t>
      </w:r>
      <w:r w:rsidR="00141F94">
        <w:rPr>
          <w:i/>
          <w:iCs/>
          <w:color w:val="000000" w:themeColor="text1"/>
        </w:rPr>
        <w:t xml:space="preserve"> gilmorei</w:t>
      </w:r>
      <w:r w:rsidR="00804E9E" w:rsidRPr="00FF1DE0">
        <w:rPr>
          <w:color w:val="000000" w:themeColor="text1"/>
        </w:rPr>
        <w:t xml:space="preserve"> is composed of two compound bones, the pseudoangular and pseudodentary, which were </w:t>
      </w:r>
      <w:r w:rsidR="000F5A1C">
        <w:rPr>
          <w:color w:val="000000" w:themeColor="text1"/>
        </w:rPr>
        <w:t>articulated</w:t>
      </w:r>
      <w:r w:rsidR="00804E9E" w:rsidRPr="00FF1DE0">
        <w:rPr>
          <w:color w:val="000000" w:themeColor="text1"/>
        </w:rPr>
        <w:t xml:space="preserve"> in life along an extensive</w:t>
      </w:r>
      <w:r w:rsidR="00804E9E" w:rsidRPr="00062F7E">
        <w:rPr>
          <w:color w:val="000000" w:themeColor="text1"/>
        </w:rPr>
        <w:t xml:space="preserve"> overlapping sutural surface present on the medial side of the pseudodentary and lateral side of the pseudoangular</w:t>
      </w:r>
      <w:r w:rsidR="00511FC6">
        <w:rPr>
          <w:color w:val="000000" w:themeColor="text1"/>
        </w:rPr>
        <w:t xml:space="preserve"> (</w:t>
      </w:r>
      <w:r w:rsidR="008C5FD0">
        <w:rPr>
          <w:color w:val="000000" w:themeColor="text1"/>
        </w:rPr>
        <w:t xml:space="preserve">Fig. 1, </w:t>
      </w:r>
      <w:r w:rsidR="00511FC6">
        <w:rPr>
          <w:color w:val="000000" w:themeColor="text1"/>
        </w:rPr>
        <w:t xml:space="preserve">Extended Data Fig. </w:t>
      </w:r>
      <w:r w:rsidR="006861C0">
        <w:rPr>
          <w:color w:val="000000" w:themeColor="text1"/>
        </w:rPr>
        <w:t>3</w:t>
      </w:r>
      <w:r w:rsidR="00511FC6">
        <w:rPr>
          <w:color w:val="000000" w:themeColor="text1"/>
        </w:rPr>
        <w:t>)</w:t>
      </w:r>
      <w:r w:rsidR="00804E9E" w:rsidRPr="00062F7E">
        <w:rPr>
          <w:color w:val="000000" w:themeColor="text1"/>
        </w:rPr>
        <w:t xml:space="preserve">. This bipartite composition of the mandible in </w:t>
      </w:r>
      <w:r w:rsidR="00141F94">
        <w:rPr>
          <w:i/>
          <w:iCs/>
          <w:color w:val="000000" w:themeColor="text1"/>
        </w:rPr>
        <w:t>F. gilmorei</w:t>
      </w:r>
      <w:r w:rsidR="00141F94" w:rsidRPr="00062F7E">
        <w:rPr>
          <w:color w:val="000000" w:themeColor="text1"/>
        </w:rPr>
        <w:t xml:space="preserve"> </w:t>
      </w:r>
      <w:r w:rsidR="00804E9E" w:rsidRPr="00062F7E">
        <w:rPr>
          <w:color w:val="000000" w:themeColor="text1"/>
        </w:rPr>
        <w:t>is a derived condition shared with all other gymnophionomorphs (</w:t>
      </w:r>
      <w:r w:rsidR="00804E9E" w:rsidRPr="00062F7E">
        <w:rPr>
          <w:i/>
          <w:iCs/>
          <w:color w:val="000000" w:themeColor="text1"/>
        </w:rPr>
        <w:t>Eocaecilia</w:t>
      </w:r>
      <w:r w:rsidR="00141F94">
        <w:rPr>
          <w:i/>
          <w:iCs/>
          <w:color w:val="000000" w:themeColor="text1"/>
        </w:rPr>
        <w:t xml:space="preserve"> micropodia</w:t>
      </w:r>
      <w:r w:rsidR="00804E9E" w:rsidRPr="00062F7E">
        <w:rPr>
          <w:color w:val="000000" w:themeColor="text1"/>
        </w:rPr>
        <w:t xml:space="preserve">, </w:t>
      </w:r>
      <w:r w:rsidR="00804E9E" w:rsidRPr="00062F7E">
        <w:rPr>
          <w:i/>
          <w:iCs/>
          <w:color w:val="000000" w:themeColor="text1"/>
        </w:rPr>
        <w:t>Rubricacaecilia</w:t>
      </w:r>
      <w:r w:rsidR="00141F94">
        <w:rPr>
          <w:i/>
          <w:iCs/>
          <w:color w:val="000000" w:themeColor="text1"/>
        </w:rPr>
        <w:t xml:space="preserve"> monbaroni</w:t>
      </w:r>
      <w:r w:rsidR="00804E9E" w:rsidRPr="00062F7E">
        <w:rPr>
          <w:color w:val="000000" w:themeColor="text1"/>
        </w:rPr>
        <w:t xml:space="preserve">, and gymnophionans). The identity of lower jaw ossification centers in living gymnophionans is best known from developmental studies of </w:t>
      </w:r>
      <w:r w:rsidR="006C5AAF">
        <w:rPr>
          <w:color w:val="000000" w:themeColor="text1"/>
        </w:rPr>
        <w:t xml:space="preserve">embryonic stages of </w:t>
      </w:r>
      <w:proofErr w:type="spellStart"/>
      <w:r w:rsidR="00985413" w:rsidRPr="00662B68">
        <w:rPr>
          <w:i/>
          <w:iCs/>
          <w:color w:val="000000" w:themeColor="text1"/>
        </w:rPr>
        <w:t>Dermophis</w:t>
      </w:r>
      <w:proofErr w:type="spellEnd"/>
      <w:r w:rsidR="00985413" w:rsidRPr="00662B68">
        <w:rPr>
          <w:i/>
          <w:iCs/>
          <w:color w:val="000000" w:themeColor="text1"/>
        </w:rPr>
        <w:t xml:space="preserve"> mexicanus</w:t>
      </w:r>
      <w:r w:rsidR="00985413">
        <w:rPr>
          <w:color w:val="000000" w:themeColor="text1"/>
        </w:rPr>
        <w:t xml:space="preserve"> (</w:t>
      </w:r>
      <w:r w:rsidR="00E6639D">
        <w:rPr>
          <w:color w:val="000000" w:themeColor="text1"/>
        </w:rPr>
        <w:t>W</w:t>
      </w:r>
      <w:r w:rsidR="00985413">
        <w:rPr>
          <w:color w:val="000000" w:themeColor="text1"/>
        </w:rPr>
        <w:t xml:space="preserve">ake </w:t>
      </w:r>
      <w:r w:rsidR="00AA62E9">
        <w:rPr>
          <w:color w:val="000000" w:themeColor="text1"/>
        </w:rPr>
        <w:t>&amp;</w:t>
      </w:r>
      <w:r w:rsidR="00985413">
        <w:rPr>
          <w:color w:val="000000" w:themeColor="text1"/>
        </w:rPr>
        <w:t xml:space="preserve"> </w:t>
      </w:r>
      <w:proofErr w:type="spellStart"/>
      <w:r w:rsidR="00985413">
        <w:rPr>
          <w:color w:val="000000" w:themeColor="text1"/>
        </w:rPr>
        <w:t>Hanken</w:t>
      </w:r>
      <w:proofErr w:type="spellEnd"/>
      <w:r w:rsidR="00985413">
        <w:rPr>
          <w:color w:val="000000" w:themeColor="text1"/>
        </w:rPr>
        <w:t xml:space="preserve">, 1982), </w:t>
      </w:r>
      <w:proofErr w:type="spellStart"/>
      <w:r w:rsidR="00804E9E" w:rsidRPr="00062F7E">
        <w:rPr>
          <w:i/>
          <w:iCs/>
          <w:color w:val="000000" w:themeColor="text1"/>
        </w:rPr>
        <w:t>Geneophis</w:t>
      </w:r>
      <w:proofErr w:type="spellEnd"/>
      <w:r w:rsidR="00804E9E" w:rsidRPr="00062F7E">
        <w:rPr>
          <w:i/>
          <w:iCs/>
          <w:color w:val="000000" w:themeColor="text1"/>
        </w:rPr>
        <w:t xml:space="preserve"> </w:t>
      </w:r>
      <w:proofErr w:type="spellStart"/>
      <w:r w:rsidR="00804E9E" w:rsidRPr="00062F7E">
        <w:rPr>
          <w:i/>
          <w:iCs/>
          <w:color w:val="000000" w:themeColor="text1"/>
        </w:rPr>
        <w:t>ramaswamii</w:t>
      </w:r>
      <w:proofErr w:type="spellEnd"/>
      <w:r w:rsidR="00804E9E" w:rsidRPr="00062F7E">
        <w:rPr>
          <w:color w:val="000000" w:themeColor="text1"/>
        </w:rPr>
        <w:t xml:space="preserve"> (M</w:t>
      </w:r>
      <w:r w:rsidR="002B31F7" w:rsidRPr="00062F7E">
        <w:rPr>
          <w:color w:val="000000" w:themeColor="text1"/>
        </w:rPr>
        <w:t>ü</w:t>
      </w:r>
      <w:r w:rsidR="00804E9E" w:rsidRPr="00062F7E">
        <w:rPr>
          <w:color w:val="000000" w:themeColor="text1"/>
        </w:rPr>
        <w:t>ller et al., 2005)</w:t>
      </w:r>
      <w:r w:rsidR="00985413">
        <w:rPr>
          <w:color w:val="000000" w:themeColor="text1"/>
        </w:rPr>
        <w:t>,</w:t>
      </w:r>
      <w:r w:rsidR="00E6639D" w:rsidRPr="00E6639D">
        <w:rPr>
          <w:i/>
          <w:iCs/>
          <w:color w:val="000000" w:themeColor="text1"/>
        </w:rPr>
        <w:t xml:space="preserve"> </w:t>
      </w:r>
      <w:proofErr w:type="spellStart"/>
      <w:r w:rsidR="00E6639D" w:rsidRPr="00623851">
        <w:rPr>
          <w:i/>
          <w:iCs/>
          <w:color w:val="000000" w:themeColor="text1"/>
        </w:rPr>
        <w:t>Hypogeophis</w:t>
      </w:r>
      <w:proofErr w:type="spellEnd"/>
      <w:r w:rsidR="00E6639D" w:rsidRPr="00623851">
        <w:rPr>
          <w:i/>
          <w:iCs/>
          <w:color w:val="000000" w:themeColor="text1"/>
        </w:rPr>
        <w:t xml:space="preserve"> </w:t>
      </w:r>
      <w:proofErr w:type="spellStart"/>
      <w:r w:rsidR="00E6639D" w:rsidRPr="00623851">
        <w:rPr>
          <w:i/>
          <w:iCs/>
          <w:color w:val="000000" w:themeColor="text1"/>
        </w:rPr>
        <w:t>rostratus</w:t>
      </w:r>
      <w:proofErr w:type="spellEnd"/>
      <w:r w:rsidR="00E6639D" w:rsidRPr="00623851">
        <w:rPr>
          <w:i/>
          <w:iCs/>
          <w:color w:val="000000" w:themeColor="text1"/>
        </w:rPr>
        <w:t xml:space="preserve"> </w:t>
      </w:r>
      <w:r w:rsidR="00E6639D">
        <w:rPr>
          <w:color w:val="000000" w:themeColor="text1"/>
        </w:rPr>
        <w:t>(</w:t>
      </w:r>
      <w:r w:rsidR="00D8013F" w:rsidRPr="00062F7E">
        <w:rPr>
          <w:color w:val="000000" w:themeColor="text1"/>
        </w:rPr>
        <w:t>Müller</w:t>
      </w:r>
      <w:r w:rsidR="00D8013F">
        <w:rPr>
          <w:color w:val="000000" w:themeColor="text1"/>
        </w:rPr>
        <w:t>, 2006</w:t>
      </w:r>
      <w:r w:rsidR="00E6639D">
        <w:rPr>
          <w:color w:val="000000" w:themeColor="text1"/>
        </w:rPr>
        <w:t>), and</w:t>
      </w:r>
      <w:r w:rsidR="00985413">
        <w:rPr>
          <w:color w:val="000000" w:themeColor="text1"/>
        </w:rPr>
        <w:t xml:space="preserve"> </w:t>
      </w:r>
      <w:proofErr w:type="spellStart"/>
      <w:r w:rsidR="00985413" w:rsidRPr="00623851">
        <w:rPr>
          <w:i/>
          <w:iCs/>
          <w:color w:val="000000" w:themeColor="text1"/>
        </w:rPr>
        <w:t>Indiocranium</w:t>
      </w:r>
      <w:proofErr w:type="spellEnd"/>
      <w:r w:rsidR="00985413" w:rsidRPr="00623851">
        <w:rPr>
          <w:i/>
          <w:iCs/>
          <w:color w:val="000000" w:themeColor="text1"/>
        </w:rPr>
        <w:t xml:space="preserve"> </w:t>
      </w:r>
      <w:proofErr w:type="spellStart"/>
      <w:r w:rsidR="00985413" w:rsidRPr="00623851">
        <w:rPr>
          <w:i/>
          <w:iCs/>
          <w:color w:val="000000" w:themeColor="text1"/>
        </w:rPr>
        <w:t>russeli</w:t>
      </w:r>
      <w:proofErr w:type="spellEnd"/>
      <w:r w:rsidR="00985413">
        <w:rPr>
          <w:i/>
          <w:iCs/>
          <w:color w:val="000000" w:themeColor="text1"/>
        </w:rPr>
        <w:t xml:space="preserve"> </w:t>
      </w:r>
      <w:r w:rsidR="00985413">
        <w:rPr>
          <w:color w:val="000000" w:themeColor="text1"/>
        </w:rPr>
        <w:t>(</w:t>
      </w:r>
      <w:proofErr w:type="spellStart"/>
      <w:r w:rsidR="00E6639D">
        <w:rPr>
          <w:color w:val="000000" w:themeColor="text1"/>
        </w:rPr>
        <w:t>Theska</w:t>
      </w:r>
      <w:proofErr w:type="spellEnd"/>
      <w:r w:rsidR="00E6639D">
        <w:rPr>
          <w:color w:val="000000" w:themeColor="text1"/>
        </w:rPr>
        <w:t xml:space="preserve"> et al., 2019).</w:t>
      </w:r>
      <w:r w:rsidR="00B17800">
        <w:rPr>
          <w:color w:val="000000" w:themeColor="text1"/>
        </w:rPr>
        <w:t xml:space="preserve"> The pseudodentary is formed by </w:t>
      </w:r>
      <w:proofErr w:type="spellStart"/>
      <w:r w:rsidR="00B17800">
        <w:rPr>
          <w:color w:val="000000" w:themeColor="text1"/>
        </w:rPr>
        <w:t>coos</w:t>
      </w:r>
      <w:r w:rsidR="00AA4E7D">
        <w:rPr>
          <w:color w:val="000000" w:themeColor="text1"/>
        </w:rPr>
        <w:t>s</w:t>
      </w:r>
      <w:r w:rsidR="00B17800">
        <w:rPr>
          <w:color w:val="000000" w:themeColor="text1"/>
        </w:rPr>
        <w:t>ification</w:t>
      </w:r>
      <w:proofErr w:type="spellEnd"/>
      <w:r w:rsidR="00B17800">
        <w:rPr>
          <w:color w:val="000000" w:themeColor="text1"/>
        </w:rPr>
        <w:t xml:space="preserve"> of the </w:t>
      </w:r>
      <w:proofErr w:type="spellStart"/>
      <w:r w:rsidR="00B17800">
        <w:rPr>
          <w:color w:val="000000" w:themeColor="text1"/>
        </w:rPr>
        <w:t>mentomeckelian</w:t>
      </w:r>
      <w:proofErr w:type="spellEnd"/>
      <w:r w:rsidR="00B17800">
        <w:rPr>
          <w:color w:val="000000" w:themeColor="text1"/>
        </w:rPr>
        <w:t>, dentary, and tooth-bearing</w:t>
      </w:r>
      <w:r w:rsidR="000F5A1C">
        <w:rPr>
          <w:color w:val="000000" w:themeColor="text1"/>
        </w:rPr>
        <w:t xml:space="preserve"> ‘c</w:t>
      </w:r>
      <w:r w:rsidR="00B17800">
        <w:rPr>
          <w:color w:val="000000" w:themeColor="text1"/>
        </w:rPr>
        <w:t>oronoid</w:t>
      </w:r>
      <w:r w:rsidR="000F5A1C">
        <w:rPr>
          <w:color w:val="000000" w:themeColor="text1"/>
        </w:rPr>
        <w:t>’</w:t>
      </w:r>
      <w:r w:rsidR="00B17800">
        <w:rPr>
          <w:color w:val="000000" w:themeColor="text1"/>
        </w:rPr>
        <w:t xml:space="preserve"> (</w:t>
      </w:r>
      <w:r w:rsidR="003C15DA">
        <w:rPr>
          <w:color w:val="000000" w:themeColor="text1"/>
        </w:rPr>
        <w:t xml:space="preserve">a </w:t>
      </w:r>
      <w:r w:rsidR="00B17800">
        <w:rPr>
          <w:color w:val="000000" w:themeColor="text1"/>
        </w:rPr>
        <w:t xml:space="preserve">likely homologue of the </w:t>
      </w:r>
      <w:r w:rsidR="00074C9D">
        <w:rPr>
          <w:color w:val="000000" w:themeColor="text1"/>
        </w:rPr>
        <w:t>adsymphyseal,</w:t>
      </w:r>
      <w:r w:rsidR="00B17800">
        <w:rPr>
          <w:color w:val="000000" w:themeColor="text1"/>
        </w:rPr>
        <w:t xml:space="preserve"> see discussion below) in </w:t>
      </w:r>
      <w:r w:rsidR="00141F94">
        <w:rPr>
          <w:i/>
          <w:iCs/>
          <w:color w:val="000000" w:themeColor="text1"/>
        </w:rPr>
        <w:t>G.</w:t>
      </w:r>
      <w:r w:rsidR="00141F94" w:rsidRPr="00062F7E">
        <w:rPr>
          <w:i/>
          <w:iCs/>
          <w:color w:val="000000" w:themeColor="text1"/>
        </w:rPr>
        <w:t xml:space="preserve"> </w:t>
      </w:r>
      <w:proofErr w:type="spellStart"/>
      <w:r w:rsidR="00B17800" w:rsidRPr="00062F7E">
        <w:rPr>
          <w:i/>
          <w:iCs/>
          <w:color w:val="000000" w:themeColor="text1"/>
        </w:rPr>
        <w:t>ramaswamii</w:t>
      </w:r>
      <w:proofErr w:type="spellEnd"/>
      <w:r w:rsidR="00AA4E7D">
        <w:rPr>
          <w:i/>
          <w:iCs/>
          <w:color w:val="000000" w:themeColor="text1"/>
        </w:rPr>
        <w:t xml:space="preserve"> </w:t>
      </w:r>
      <w:r w:rsidR="00AA4E7D" w:rsidRPr="00062F7E">
        <w:rPr>
          <w:color w:val="000000" w:themeColor="text1"/>
        </w:rPr>
        <w:t>(Müller et al., 2005)</w:t>
      </w:r>
      <w:r w:rsidR="00B17800">
        <w:rPr>
          <w:i/>
          <w:iCs/>
          <w:color w:val="000000" w:themeColor="text1"/>
        </w:rPr>
        <w:t xml:space="preserve">, </w:t>
      </w:r>
      <w:r w:rsidR="00141F94">
        <w:rPr>
          <w:i/>
          <w:iCs/>
          <w:color w:val="000000" w:themeColor="text1"/>
        </w:rPr>
        <w:t>H.</w:t>
      </w:r>
      <w:r w:rsidR="00141F94" w:rsidRPr="00623851">
        <w:rPr>
          <w:i/>
          <w:iCs/>
          <w:color w:val="000000" w:themeColor="text1"/>
        </w:rPr>
        <w:t xml:space="preserve"> </w:t>
      </w:r>
      <w:proofErr w:type="spellStart"/>
      <w:r w:rsidR="00B17800" w:rsidRPr="00623851">
        <w:rPr>
          <w:i/>
          <w:iCs/>
          <w:color w:val="000000" w:themeColor="text1"/>
        </w:rPr>
        <w:t>rostratus</w:t>
      </w:r>
      <w:proofErr w:type="spellEnd"/>
      <w:r w:rsidR="00AA4E7D" w:rsidRPr="00AA4E7D">
        <w:rPr>
          <w:color w:val="000000" w:themeColor="text1"/>
        </w:rPr>
        <w:t xml:space="preserve"> </w:t>
      </w:r>
      <w:r w:rsidR="00AA4E7D">
        <w:rPr>
          <w:color w:val="000000" w:themeColor="text1"/>
        </w:rPr>
        <w:t>(</w:t>
      </w:r>
      <w:r w:rsidR="00D8013F" w:rsidRPr="00062F7E">
        <w:rPr>
          <w:color w:val="000000" w:themeColor="text1"/>
        </w:rPr>
        <w:t>Müller</w:t>
      </w:r>
      <w:r w:rsidR="00AA4E7D">
        <w:rPr>
          <w:color w:val="000000" w:themeColor="text1"/>
        </w:rPr>
        <w:t>, 2006),</w:t>
      </w:r>
      <w:r w:rsidR="00B17800">
        <w:rPr>
          <w:i/>
          <w:iCs/>
          <w:color w:val="000000" w:themeColor="text1"/>
        </w:rPr>
        <w:t xml:space="preserve"> </w:t>
      </w:r>
      <w:r w:rsidR="00B17800" w:rsidRPr="003C15DA">
        <w:rPr>
          <w:color w:val="000000" w:themeColor="text1"/>
        </w:rPr>
        <w:t>and</w:t>
      </w:r>
      <w:r w:rsidR="00B17800" w:rsidRPr="00662B68">
        <w:rPr>
          <w:i/>
          <w:iCs/>
          <w:color w:val="000000" w:themeColor="text1"/>
        </w:rPr>
        <w:t xml:space="preserve"> </w:t>
      </w:r>
      <w:r w:rsidR="00141F94">
        <w:rPr>
          <w:i/>
          <w:iCs/>
          <w:color w:val="000000" w:themeColor="text1"/>
        </w:rPr>
        <w:t>I.</w:t>
      </w:r>
      <w:r w:rsidR="00141F94" w:rsidRPr="00662B68">
        <w:rPr>
          <w:i/>
          <w:iCs/>
          <w:color w:val="000000" w:themeColor="text1"/>
        </w:rPr>
        <w:t xml:space="preserve"> </w:t>
      </w:r>
      <w:proofErr w:type="spellStart"/>
      <w:r w:rsidR="00B17800" w:rsidRPr="00662B68">
        <w:rPr>
          <w:i/>
          <w:iCs/>
          <w:color w:val="000000" w:themeColor="text1"/>
        </w:rPr>
        <w:t>russeli</w:t>
      </w:r>
      <w:proofErr w:type="spellEnd"/>
      <w:r w:rsidR="00AA4E7D">
        <w:rPr>
          <w:i/>
          <w:iCs/>
          <w:color w:val="000000" w:themeColor="text1"/>
        </w:rPr>
        <w:t xml:space="preserve"> </w:t>
      </w:r>
      <w:r w:rsidR="00AA4E7D">
        <w:rPr>
          <w:color w:val="000000" w:themeColor="text1"/>
        </w:rPr>
        <w:t>(</w:t>
      </w:r>
      <w:proofErr w:type="spellStart"/>
      <w:r w:rsidR="00AA4E7D">
        <w:rPr>
          <w:color w:val="000000" w:themeColor="text1"/>
        </w:rPr>
        <w:t>Theska</w:t>
      </w:r>
      <w:proofErr w:type="spellEnd"/>
      <w:r w:rsidR="00AA4E7D">
        <w:rPr>
          <w:color w:val="000000" w:themeColor="text1"/>
        </w:rPr>
        <w:t xml:space="preserve"> et al., 2019)</w:t>
      </w:r>
      <w:r w:rsidR="00141F94">
        <w:rPr>
          <w:color w:val="000000" w:themeColor="text1"/>
        </w:rPr>
        <w:t>;</w:t>
      </w:r>
      <w:r w:rsidR="00B17800">
        <w:rPr>
          <w:color w:val="000000" w:themeColor="text1"/>
        </w:rPr>
        <w:t xml:space="preserve"> however</w:t>
      </w:r>
      <w:r w:rsidR="00141F94">
        <w:rPr>
          <w:color w:val="000000" w:themeColor="text1"/>
        </w:rPr>
        <w:t>,</w:t>
      </w:r>
      <w:r w:rsidR="00B17800">
        <w:rPr>
          <w:color w:val="000000" w:themeColor="text1"/>
        </w:rPr>
        <w:t xml:space="preserve"> two additional ossifications</w:t>
      </w:r>
      <w:r w:rsidR="00AA4E7D">
        <w:rPr>
          <w:color w:val="000000" w:themeColor="text1"/>
        </w:rPr>
        <w:t xml:space="preserve"> of uncertain homology</w:t>
      </w:r>
      <w:r w:rsidR="00B17800">
        <w:rPr>
          <w:color w:val="000000" w:themeColor="text1"/>
        </w:rPr>
        <w:t xml:space="preserve"> participate in </w:t>
      </w:r>
      <w:r w:rsidR="00AA4E7D">
        <w:rPr>
          <w:color w:val="000000" w:themeColor="text1"/>
        </w:rPr>
        <w:t xml:space="preserve">the pseudodentary of </w:t>
      </w:r>
      <w:r w:rsidR="00141F94">
        <w:rPr>
          <w:i/>
          <w:iCs/>
          <w:color w:val="000000" w:themeColor="text1"/>
        </w:rPr>
        <w:t>D.</w:t>
      </w:r>
      <w:r w:rsidR="00141F94" w:rsidRPr="00662B68">
        <w:rPr>
          <w:i/>
          <w:iCs/>
          <w:color w:val="000000" w:themeColor="text1"/>
        </w:rPr>
        <w:t xml:space="preserve"> </w:t>
      </w:r>
      <w:r w:rsidR="00AA4E7D" w:rsidRPr="00662B68">
        <w:rPr>
          <w:i/>
          <w:iCs/>
          <w:color w:val="000000" w:themeColor="text1"/>
        </w:rPr>
        <w:t>mexicanus</w:t>
      </w:r>
      <w:r w:rsidR="00AA4E7D">
        <w:rPr>
          <w:color w:val="000000" w:themeColor="text1"/>
        </w:rPr>
        <w:t xml:space="preserve">: the </w:t>
      </w:r>
      <w:r w:rsidR="000F5A1C">
        <w:rPr>
          <w:color w:val="000000" w:themeColor="text1"/>
        </w:rPr>
        <w:t xml:space="preserve">‘coronoid’ </w:t>
      </w:r>
      <w:r w:rsidR="00AA4E7D">
        <w:rPr>
          <w:color w:val="000000" w:themeColor="text1"/>
        </w:rPr>
        <w:t>and</w:t>
      </w:r>
      <w:r w:rsidR="000F5A1C">
        <w:rPr>
          <w:color w:val="000000" w:themeColor="text1"/>
        </w:rPr>
        <w:t xml:space="preserve"> ‘</w:t>
      </w:r>
      <w:proofErr w:type="spellStart"/>
      <w:r w:rsidR="00AA4E7D">
        <w:rPr>
          <w:color w:val="000000" w:themeColor="text1"/>
        </w:rPr>
        <w:t>complementare</w:t>
      </w:r>
      <w:proofErr w:type="spellEnd"/>
      <w:r w:rsidR="000F5A1C">
        <w:rPr>
          <w:color w:val="000000" w:themeColor="text1"/>
        </w:rPr>
        <w:t>’</w:t>
      </w:r>
      <w:r w:rsidR="00074C9D">
        <w:rPr>
          <w:color w:val="000000" w:themeColor="text1"/>
        </w:rPr>
        <w:t xml:space="preserve"> </w:t>
      </w:r>
      <w:r w:rsidR="00AA4E7D">
        <w:rPr>
          <w:color w:val="000000" w:themeColor="text1"/>
        </w:rPr>
        <w:t xml:space="preserve">(Wake </w:t>
      </w:r>
      <w:r w:rsidR="00661088">
        <w:rPr>
          <w:color w:val="000000" w:themeColor="text1"/>
        </w:rPr>
        <w:t>&amp;</w:t>
      </w:r>
      <w:r w:rsidR="00AA4E7D">
        <w:rPr>
          <w:color w:val="000000" w:themeColor="text1"/>
        </w:rPr>
        <w:t xml:space="preserve"> </w:t>
      </w:r>
      <w:proofErr w:type="spellStart"/>
      <w:r w:rsidR="00AA4E7D">
        <w:rPr>
          <w:color w:val="000000" w:themeColor="text1"/>
        </w:rPr>
        <w:t>Hanken</w:t>
      </w:r>
      <w:proofErr w:type="spellEnd"/>
      <w:r w:rsidR="00AA4E7D">
        <w:rPr>
          <w:color w:val="000000" w:themeColor="text1"/>
        </w:rPr>
        <w:t xml:space="preserve">, 1982; </w:t>
      </w:r>
      <w:proofErr w:type="spellStart"/>
      <w:r w:rsidR="00AA4E7D">
        <w:rPr>
          <w:color w:val="000000" w:themeColor="text1"/>
        </w:rPr>
        <w:t>Theska</w:t>
      </w:r>
      <w:proofErr w:type="spellEnd"/>
      <w:r w:rsidR="00AA4E7D">
        <w:rPr>
          <w:color w:val="000000" w:themeColor="text1"/>
        </w:rPr>
        <w:t xml:space="preserve"> et al., 2019). The pseudoangular is composed of the angular and articular</w:t>
      </w:r>
      <w:r w:rsidR="006C5AAF">
        <w:rPr>
          <w:color w:val="000000" w:themeColor="text1"/>
        </w:rPr>
        <w:t xml:space="preserve"> in </w:t>
      </w:r>
      <w:r w:rsidR="00141F94">
        <w:rPr>
          <w:i/>
          <w:iCs/>
          <w:color w:val="000000" w:themeColor="text1"/>
        </w:rPr>
        <w:t>H.</w:t>
      </w:r>
      <w:r w:rsidR="00141F94" w:rsidRPr="00662B68">
        <w:rPr>
          <w:i/>
          <w:iCs/>
          <w:color w:val="000000" w:themeColor="text1"/>
        </w:rPr>
        <w:t xml:space="preserve"> </w:t>
      </w:r>
      <w:proofErr w:type="spellStart"/>
      <w:r w:rsidR="006C5AAF" w:rsidRPr="00662B68">
        <w:rPr>
          <w:i/>
          <w:iCs/>
          <w:color w:val="000000" w:themeColor="text1"/>
        </w:rPr>
        <w:t>rostratus</w:t>
      </w:r>
      <w:proofErr w:type="spellEnd"/>
      <w:r w:rsidR="006C5AAF">
        <w:rPr>
          <w:color w:val="000000" w:themeColor="text1"/>
        </w:rPr>
        <w:t xml:space="preserve"> (</w:t>
      </w:r>
      <w:r w:rsidR="00D8013F" w:rsidRPr="00062F7E">
        <w:rPr>
          <w:color w:val="000000" w:themeColor="text1"/>
        </w:rPr>
        <w:t>Müller</w:t>
      </w:r>
      <w:r w:rsidR="006C5AAF">
        <w:rPr>
          <w:color w:val="000000" w:themeColor="text1"/>
        </w:rPr>
        <w:t xml:space="preserve">, 2006), </w:t>
      </w:r>
      <w:r w:rsidR="00141F94">
        <w:rPr>
          <w:i/>
          <w:iCs/>
          <w:color w:val="000000" w:themeColor="text1"/>
        </w:rPr>
        <w:t>D.</w:t>
      </w:r>
      <w:r w:rsidR="00141F94" w:rsidRPr="00662B68">
        <w:rPr>
          <w:i/>
          <w:iCs/>
          <w:color w:val="000000" w:themeColor="text1"/>
        </w:rPr>
        <w:t xml:space="preserve"> </w:t>
      </w:r>
      <w:r w:rsidR="006C5AAF" w:rsidRPr="00662B68">
        <w:rPr>
          <w:i/>
          <w:iCs/>
          <w:color w:val="000000" w:themeColor="text1"/>
        </w:rPr>
        <w:t>mexicanus</w:t>
      </w:r>
      <w:r w:rsidR="006C5AAF">
        <w:rPr>
          <w:color w:val="000000" w:themeColor="text1"/>
        </w:rPr>
        <w:t xml:space="preserve"> (Wake </w:t>
      </w:r>
      <w:r w:rsidR="008C0C6F">
        <w:rPr>
          <w:color w:val="000000" w:themeColor="text1"/>
        </w:rPr>
        <w:t>&amp;</w:t>
      </w:r>
      <w:r w:rsidR="006C5AAF">
        <w:rPr>
          <w:color w:val="000000" w:themeColor="text1"/>
        </w:rPr>
        <w:t xml:space="preserve"> </w:t>
      </w:r>
      <w:proofErr w:type="spellStart"/>
      <w:r w:rsidR="006C5AAF">
        <w:rPr>
          <w:color w:val="000000" w:themeColor="text1"/>
        </w:rPr>
        <w:t>Hanken</w:t>
      </w:r>
      <w:proofErr w:type="spellEnd"/>
      <w:r w:rsidR="006C5AAF">
        <w:rPr>
          <w:color w:val="000000" w:themeColor="text1"/>
        </w:rPr>
        <w:t xml:space="preserve">, 1982), and </w:t>
      </w:r>
      <w:r w:rsidR="00141F94">
        <w:rPr>
          <w:i/>
          <w:iCs/>
          <w:color w:val="000000" w:themeColor="text1"/>
        </w:rPr>
        <w:t>I.</w:t>
      </w:r>
      <w:r w:rsidR="00141F94" w:rsidRPr="00662B68">
        <w:rPr>
          <w:i/>
          <w:iCs/>
          <w:color w:val="000000" w:themeColor="text1"/>
        </w:rPr>
        <w:t xml:space="preserve"> </w:t>
      </w:r>
      <w:proofErr w:type="spellStart"/>
      <w:r w:rsidR="006C5AAF" w:rsidRPr="00662B68">
        <w:rPr>
          <w:i/>
          <w:iCs/>
          <w:color w:val="000000" w:themeColor="text1"/>
        </w:rPr>
        <w:t>russeli</w:t>
      </w:r>
      <w:proofErr w:type="spellEnd"/>
      <w:r w:rsidR="006C5AAF">
        <w:rPr>
          <w:i/>
          <w:iCs/>
          <w:color w:val="000000" w:themeColor="text1"/>
        </w:rPr>
        <w:t xml:space="preserve"> </w:t>
      </w:r>
      <w:r w:rsidR="006C5AAF">
        <w:rPr>
          <w:color w:val="000000" w:themeColor="text1"/>
        </w:rPr>
        <w:t>(</w:t>
      </w:r>
      <w:proofErr w:type="spellStart"/>
      <w:r w:rsidR="006C5AAF">
        <w:rPr>
          <w:color w:val="000000" w:themeColor="text1"/>
        </w:rPr>
        <w:t>Theska</w:t>
      </w:r>
      <w:proofErr w:type="spellEnd"/>
      <w:r w:rsidR="006C5AAF">
        <w:rPr>
          <w:color w:val="000000" w:themeColor="text1"/>
        </w:rPr>
        <w:t xml:space="preserve"> et al., 2019)</w:t>
      </w:r>
      <w:r w:rsidR="00755DFC">
        <w:rPr>
          <w:color w:val="000000" w:themeColor="text1"/>
        </w:rPr>
        <w:t>;</w:t>
      </w:r>
      <w:r w:rsidR="006C5AAF">
        <w:rPr>
          <w:color w:val="000000" w:themeColor="text1"/>
        </w:rPr>
        <w:t xml:space="preserve"> however</w:t>
      </w:r>
      <w:r w:rsidR="00755DFC">
        <w:rPr>
          <w:color w:val="000000" w:themeColor="text1"/>
        </w:rPr>
        <w:t>,</w:t>
      </w:r>
      <w:r w:rsidR="006C5AAF">
        <w:rPr>
          <w:color w:val="000000" w:themeColor="text1"/>
        </w:rPr>
        <w:t xml:space="preserve"> the prearticular is additionally present in </w:t>
      </w:r>
      <w:r w:rsidR="00141F94">
        <w:rPr>
          <w:i/>
          <w:iCs/>
          <w:color w:val="000000" w:themeColor="text1"/>
        </w:rPr>
        <w:t>G.</w:t>
      </w:r>
      <w:r w:rsidR="00141F94" w:rsidRPr="00662B68">
        <w:rPr>
          <w:i/>
          <w:iCs/>
          <w:color w:val="000000" w:themeColor="text1"/>
        </w:rPr>
        <w:t xml:space="preserve"> </w:t>
      </w:r>
      <w:proofErr w:type="spellStart"/>
      <w:r w:rsidR="006C5AAF" w:rsidRPr="00662B68">
        <w:rPr>
          <w:i/>
          <w:iCs/>
          <w:color w:val="000000" w:themeColor="text1"/>
        </w:rPr>
        <w:t>ramaswamii</w:t>
      </w:r>
      <w:proofErr w:type="spellEnd"/>
      <w:r w:rsidR="006C5AAF">
        <w:rPr>
          <w:color w:val="000000" w:themeColor="text1"/>
        </w:rPr>
        <w:t xml:space="preserve"> (</w:t>
      </w:r>
      <w:r w:rsidR="00D8013F" w:rsidRPr="00062F7E">
        <w:rPr>
          <w:color w:val="000000" w:themeColor="text1"/>
        </w:rPr>
        <w:t>Müller</w:t>
      </w:r>
      <w:r w:rsidR="00D8013F">
        <w:rPr>
          <w:color w:val="000000" w:themeColor="text1"/>
        </w:rPr>
        <w:t xml:space="preserve"> et al.</w:t>
      </w:r>
      <w:r w:rsidR="006C5AAF">
        <w:rPr>
          <w:color w:val="000000" w:themeColor="text1"/>
        </w:rPr>
        <w:t>, 2005).</w:t>
      </w:r>
      <w:r w:rsidR="009E705A">
        <w:rPr>
          <w:color w:val="000000" w:themeColor="text1"/>
        </w:rPr>
        <w:t xml:space="preserve"> Lack of developmental series prohibits conclusive assertions of homology of the elements comprising the mandibular ramus in </w:t>
      </w:r>
      <w:r w:rsidR="00141F94">
        <w:rPr>
          <w:i/>
          <w:iCs/>
          <w:color w:val="000000" w:themeColor="text1"/>
        </w:rPr>
        <w:t>F. gilmorei</w:t>
      </w:r>
      <w:r w:rsidR="00141F94">
        <w:rPr>
          <w:color w:val="000000" w:themeColor="text1"/>
        </w:rPr>
        <w:t>;</w:t>
      </w:r>
      <w:r w:rsidR="009E705A">
        <w:rPr>
          <w:color w:val="000000" w:themeColor="text1"/>
        </w:rPr>
        <w:t xml:space="preserve"> however</w:t>
      </w:r>
      <w:r w:rsidR="00141F94">
        <w:rPr>
          <w:color w:val="000000" w:themeColor="text1"/>
        </w:rPr>
        <w:t>,</w:t>
      </w:r>
      <w:r w:rsidR="009E705A">
        <w:rPr>
          <w:color w:val="000000" w:themeColor="text1"/>
        </w:rPr>
        <w:t xml:space="preserve"> </w:t>
      </w:r>
      <w:r w:rsidR="008B5D9B">
        <w:rPr>
          <w:color w:val="000000" w:themeColor="text1"/>
        </w:rPr>
        <w:t xml:space="preserve">distinctive differences in its mandibular anatomy compared to that of dissorophoids, non-gymnophionomorph lissamphibians, and other gymnophionomorphs allows for novel inferences of homology made in the following description. </w:t>
      </w:r>
    </w:p>
    <w:p w14:paraId="76AEEF11" w14:textId="08DD868F" w:rsidR="00F51D0B" w:rsidRDefault="00F51D0B">
      <w:pPr>
        <w:rPr>
          <w:b/>
          <w:bCs/>
          <w:color w:val="000000" w:themeColor="text1"/>
        </w:rPr>
      </w:pPr>
    </w:p>
    <w:p w14:paraId="756781B1" w14:textId="075D6491" w:rsidR="003671F8" w:rsidRPr="00062F7E" w:rsidRDefault="003671F8" w:rsidP="003671F8">
      <w:pPr>
        <w:rPr>
          <w:color w:val="000000" w:themeColor="text1"/>
        </w:rPr>
      </w:pPr>
      <w:r w:rsidRPr="00623851">
        <w:rPr>
          <w:b/>
          <w:bCs/>
          <w:color w:val="000000" w:themeColor="text1"/>
        </w:rPr>
        <w:t>Pseudodentary.</w:t>
      </w:r>
      <w:r w:rsidRPr="00062F7E">
        <w:t xml:space="preserve"> </w:t>
      </w:r>
      <w:r w:rsidRPr="00062F7E">
        <w:rPr>
          <w:color w:val="000000" w:themeColor="text1"/>
        </w:rPr>
        <w:t xml:space="preserve">The pseudodentary forms the anterior tooth-bearing portion of the </w:t>
      </w:r>
      <w:r>
        <w:rPr>
          <w:color w:val="000000" w:themeColor="text1"/>
        </w:rPr>
        <w:t>mandible</w:t>
      </w:r>
      <w:r w:rsidRPr="00062F7E">
        <w:rPr>
          <w:color w:val="000000" w:themeColor="text1"/>
        </w:rPr>
        <w:t xml:space="preserve"> in </w:t>
      </w:r>
      <w:r w:rsidRPr="00062F7E">
        <w:rPr>
          <w:i/>
          <w:iCs/>
          <w:color w:val="000000" w:themeColor="text1"/>
        </w:rPr>
        <w:t>Funcusvermis</w:t>
      </w:r>
      <w:r w:rsidRPr="00062F7E">
        <w:rPr>
          <w:color w:val="000000" w:themeColor="text1"/>
        </w:rPr>
        <w:t xml:space="preserve"> and all other gymnophionomorphs. In life, it articulated medially along an oblique suture to the lateral side of the pseudoangular. The pseudodentary is the most common element referred to </w:t>
      </w:r>
      <w:r w:rsidRPr="00062F7E">
        <w:rPr>
          <w:i/>
          <w:iCs/>
          <w:color w:val="000000" w:themeColor="text1"/>
        </w:rPr>
        <w:t>Funcusvermis</w:t>
      </w:r>
      <w:r w:rsidR="00141F94">
        <w:rPr>
          <w:i/>
          <w:iCs/>
          <w:color w:val="000000" w:themeColor="text1"/>
        </w:rPr>
        <w:t xml:space="preserve"> gilmorei</w:t>
      </w:r>
      <w:r w:rsidRPr="00062F7E">
        <w:rPr>
          <w:color w:val="000000" w:themeColor="text1"/>
        </w:rPr>
        <w:t xml:space="preserve"> recovered from PFV 456, represented by at least </w:t>
      </w:r>
      <w:r w:rsidR="002978C4">
        <w:rPr>
          <w:color w:val="000000" w:themeColor="text1"/>
        </w:rPr>
        <w:t>6</w:t>
      </w:r>
      <w:r w:rsidR="00950C16">
        <w:rPr>
          <w:color w:val="000000" w:themeColor="text1"/>
        </w:rPr>
        <w:t>1</w:t>
      </w:r>
      <w:r w:rsidRPr="00062F7E">
        <w:rPr>
          <w:color w:val="000000" w:themeColor="text1"/>
        </w:rPr>
        <w:t xml:space="preserve"> partial to nearly complete specimens</w:t>
      </w:r>
      <w:r w:rsidR="00642E2A">
        <w:rPr>
          <w:color w:val="000000" w:themeColor="text1"/>
        </w:rPr>
        <w:t xml:space="preserve"> (including both the right and left sides)</w:t>
      </w:r>
      <w:r w:rsidRPr="00062F7E">
        <w:rPr>
          <w:color w:val="000000" w:themeColor="text1"/>
        </w:rPr>
        <w:t xml:space="preserve">, although no single specimen </w:t>
      </w:r>
      <w:r w:rsidRPr="00062F7E">
        <w:rPr>
          <w:color w:val="000000" w:themeColor="text1"/>
        </w:rPr>
        <w:lastRenderedPageBreak/>
        <w:t>preserves the entire element from its anterior to posterior ends. Although there is some variation in the size of pseudodentary specimens, they show little variation in overall morphology. PEFO 43891 and PEFO 46284 are the best preserved anterior and posterior portions of the element, and they preserve overlapping portions of the pseudodentary</w:t>
      </w:r>
      <w:r>
        <w:rPr>
          <w:color w:val="000000" w:themeColor="text1"/>
        </w:rPr>
        <w:t xml:space="preserve"> allowing for composite reconstruction of the entire element (Fig.</w:t>
      </w:r>
      <w:r w:rsidR="00DC7D9C">
        <w:rPr>
          <w:color w:val="000000" w:themeColor="text1"/>
        </w:rPr>
        <w:t xml:space="preserve"> </w:t>
      </w:r>
      <w:r w:rsidR="006861C0">
        <w:rPr>
          <w:color w:val="000000" w:themeColor="text1"/>
        </w:rPr>
        <w:t>1; Methods</w:t>
      </w:r>
      <w:r>
        <w:rPr>
          <w:color w:val="000000" w:themeColor="text1"/>
        </w:rPr>
        <w:t>)</w:t>
      </w:r>
      <w:r w:rsidRPr="00062F7E">
        <w:rPr>
          <w:color w:val="000000" w:themeColor="text1"/>
        </w:rPr>
        <w:t>. The following description is based on those two specimens, as well as PEFO 45800 for its preservation of the dentition</w:t>
      </w:r>
      <w:r>
        <w:rPr>
          <w:color w:val="000000" w:themeColor="text1"/>
        </w:rPr>
        <w:t xml:space="preserve"> (Fig. </w:t>
      </w:r>
      <w:r w:rsidR="006861C0">
        <w:rPr>
          <w:color w:val="000000" w:themeColor="text1"/>
        </w:rPr>
        <w:t>1</w:t>
      </w:r>
      <w:r>
        <w:rPr>
          <w:color w:val="000000" w:themeColor="text1"/>
        </w:rPr>
        <w:t>)</w:t>
      </w:r>
      <w:r w:rsidRPr="00062F7E">
        <w:rPr>
          <w:color w:val="000000" w:themeColor="text1"/>
        </w:rPr>
        <w:t xml:space="preserve">. The overall form of the pseudodentary is rod-like, curving medially towards the mandibular symphysis, resembling the condition of the dentary bone in dissorophoids, batrachians, </w:t>
      </w:r>
      <w:r w:rsidR="002D5DB8">
        <w:rPr>
          <w:color w:val="000000" w:themeColor="text1"/>
        </w:rPr>
        <w:t>alb</w:t>
      </w:r>
      <w:r w:rsidR="001168EE">
        <w:rPr>
          <w:color w:val="000000" w:themeColor="text1"/>
        </w:rPr>
        <w:t>anerpetontids</w:t>
      </w:r>
      <w:r w:rsidRPr="00062F7E">
        <w:rPr>
          <w:color w:val="000000" w:themeColor="text1"/>
        </w:rPr>
        <w:t xml:space="preserve">, and other gymnophionomorphs. </w:t>
      </w:r>
    </w:p>
    <w:p w14:paraId="1EE76142" w14:textId="37091EA3" w:rsidR="003671F8" w:rsidRPr="00062F7E" w:rsidRDefault="003671F8" w:rsidP="003671F8">
      <w:pPr>
        <w:ind w:firstLine="720"/>
        <w:rPr>
          <w:color w:val="000000" w:themeColor="text1"/>
        </w:rPr>
      </w:pPr>
      <w:r w:rsidRPr="00062F7E">
        <w:rPr>
          <w:color w:val="000000" w:themeColor="text1"/>
        </w:rPr>
        <w:t xml:space="preserve">The </w:t>
      </w:r>
      <w:r w:rsidR="008B5D9B">
        <w:rPr>
          <w:color w:val="000000" w:themeColor="text1"/>
        </w:rPr>
        <w:t>dentary (=labial)</w:t>
      </w:r>
      <w:r w:rsidRPr="00062F7E">
        <w:rPr>
          <w:color w:val="000000" w:themeColor="text1"/>
        </w:rPr>
        <w:t xml:space="preserve"> tooth row extends distally from the mandibular symphysis nearly the entire length of the element, terminating where the dorsal facet for attachment of the pseudoangular overlaps the dorsal crest of the pseudodentary</w:t>
      </w:r>
      <w:r w:rsidR="008C5FD0">
        <w:rPr>
          <w:color w:val="000000" w:themeColor="text1"/>
        </w:rPr>
        <w:t xml:space="preserve"> (Fig. 1, Extended Data Fig. 3)</w:t>
      </w:r>
      <w:r w:rsidRPr="00062F7E">
        <w:rPr>
          <w:color w:val="000000" w:themeColor="text1"/>
        </w:rPr>
        <w:t xml:space="preserve">. No single specimen preserves the entire </w:t>
      </w:r>
      <w:r w:rsidR="008B5D9B">
        <w:rPr>
          <w:color w:val="000000" w:themeColor="text1"/>
        </w:rPr>
        <w:t>dentary</w:t>
      </w:r>
      <w:r w:rsidRPr="00062F7E">
        <w:rPr>
          <w:color w:val="000000" w:themeColor="text1"/>
        </w:rPr>
        <w:t xml:space="preserve"> tooth row, prohibiting a full count of tooth pedicels, but the tooth number in two nearly complete specimens (PEFO 46284: 54; PEFO 45800: 52) is evidence that this row contained at least 5</w:t>
      </w:r>
      <w:r w:rsidR="003C15DA">
        <w:rPr>
          <w:color w:val="000000" w:themeColor="text1"/>
        </w:rPr>
        <w:t>2</w:t>
      </w:r>
      <w:r w:rsidRPr="00062F7E">
        <w:rPr>
          <w:color w:val="000000" w:themeColor="text1"/>
        </w:rPr>
        <w:t xml:space="preserve"> teeth. The number of teeth in the </w:t>
      </w:r>
      <w:r w:rsidR="008B5D9B">
        <w:rPr>
          <w:color w:val="000000" w:themeColor="text1"/>
        </w:rPr>
        <w:t>dentary</w:t>
      </w:r>
      <w:r w:rsidRPr="00062F7E">
        <w:rPr>
          <w:color w:val="000000" w:themeColor="text1"/>
        </w:rPr>
        <w:t xml:space="preserve"> tooth row of </w:t>
      </w:r>
      <w:r w:rsidRPr="00062F7E">
        <w:rPr>
          <w:i/>
          <w:iCs/>
          <w:color w:val="000000" w:themeColor="text1"/>
        </w:rPr>
        <w:t>Funcusvermis</w:t>
      </w:r>
      <w:r w:rsidR="00141F94">
        <w:rPr>
          <w:i/>
          <w:iCs/>
          <w:color w:val="000000" w:themeColor="text1"/>
        </w:rPr>
        <w:t xml:space="preserve"> gilmorei</w:t>
      </w:r>
      <w:r w:rsidRPr="00062F7E">
        <w:rPr>
          <w:i/>
          <w:iCs/>
          <w:color w:val="000000" w:themeColor="text1"/>
        </w:rPr>
        <w:t xml:space="preserve"> </w:t>
      </w:r>
      <w:r w:rsidRPr="00062F7E">
        <w:rPr>
          <w:color w:val="000000" w:themeColor="text1"/>
        </w:rPr>
        <w:t xml:space="preserve">is </w:t>
      </w:r>
      <w:r>
        <w:rPr>
          <w:color w:val="000000" w:themeColor="text1"/>
        </w:rPr>
        <w:t>slightly higher than</w:t>
      </w:r>
      <w:r w:rsidRPr="00062F7E">
        <w:rPr>
          <w:color w:val="000000" w:themeColor="text1"/>
        </w:rPr>
        <w:t xml:space="preserve"> that of </w:t>
      </w:r>
      <w:r w:rsidRPr="00062F7E">
        <w:rPr>
          <w:i/>
          <w:iCs/>
          <w:color w:val="000000" w:themeColor="text1"/>
        </w:rPr>
        <w:t xml:space="preserve">Eocaecilia </w:t>
      </w:r>
      <w:r w:rsidRPr="00062F7E">
        <w:rPr>
          <w:color w:val="000000" w:themeColor="text1"/>
        </w:rPr>
        <w:t>(40</w:t>
      </w:r>
      <w:r w:rsidR="00E93058">
        <w:rPr>
          <w:color w:val="000000" w:themeColor="text1"/>
        </w:rPr>
        <w:t>–</w:t>
      </w:r>
      <w:r w:rsidRPr="00062F7E">
        <w:rPr>
          <w:color w:val="000000" w:themeColor="text1"/>
        </w:rPr>
        <w:t>43 teeth; Jenkins et al., 2007), and slightly less than</w:t>
      </w:r>
      <w:r w:rsidR="00755DFC">
        <w:rPr>
          <w:color w:val="000000" w:themeColor="text1"/>
        </w:rPr>
        <w:t xml:space="preserve"> in</w:t>
      </w:r>
      <w:r w:rsidR="00141F94">
        <w:rPr>
          <w:color w:val="000000" w:themeColor="text1"/>
        </w:rPr>
        <w:t xml:space="preserve"> amphibamiform</w:t>
      </w:r>
      <w:r w:rsidRPr="00062F7E">
        <w:rPr>
          <w:color w:val="000000" w:themeColor="text1"/>
        </w:rPr>
        <w:t xml:space="preserve"> dissorophoids like </w:t>
      </w:r>
      <w:r w:rsidRPr="00062F7E">
        <w:rPr>
          <w:i/>
          <w:iCs/>
          <w:color w:val="000000" w:themeColor="text1"/>
        </w:rPr>
        <w:t>Doleserpeton</w:t>
      </w:r>
      <w:r w:rsidR="00141F94">
        <w:rPr>
          <w:i/>
          <w:iCs/>
          <w:color w:val="000000" w:themeColor="text1"/>
        </w:rPr>
        <w:t xml:space="preserve"> annectens</w:t>
      </w:r>
      <w:r w:rsidRPr="00062F7E">
        <w:rPr>
          <w:color w:val="000000" w:themeColor="text1"/>
        </w:rPr>
        <w:t xml:space="preserve"> (&gt;60 teeth; Sigurdsen </w:t>
      </w:r>
      <w:r w:rsidR="00A87B9C">
        <w:rPr>
          <w:color w:val="000000" w:themeColor="text1"/>
        </w:rPr>
        <w:t>&amp;</w:t>
      </w:r>
      <w:r w:rsidRPr="00062F7E">
        <w:rPr>
          <w:color w:val="000000" w:themeColor="text1"/>
        </w:rPr>
        <w:t xml:space="preserve"> Bolt, 2010). The tooth number in the </w:t>
      </w:r>
      <w:r w:rsidR="00DD3593">
        <w:rPr>
          <w:color w:val="000000" w:themeColor="text1"/>
        </w:rPr>
        <w:t>dentary</w:t>
      </w:r>
      <w:r w:rsidRPr="00062F7E">
        <w:rPr>
          <w:color w:val="000000" w:themeColor="text1"/>
        </w:rPr>
        <w:t xml:space="preserve"> tooth row of </w:t>
      </w:r>
      <w:r w:rsidR="00141F94">
        <w:rPr>
          <w:i/>
          <w:iCs/>
          <w:color w:val="000000" w:themeColor="text1"/>
        </w:rPr>
        <w:t>F. gilmorei</w:t>
      </w:r>
      <w:r w:rsidR="00141F94" w:rsidRPr="00062F7E">
        <w:rPr>
          <w:color w:val="000000" w:themeColor="text1"/>
        </w:rPr>
        <w:t xml:space="preserve"> </w:t>
      </w:r>
      <w:r w:rsidRPr="00062F7E">
        <w:rPr>
          <w:color w:val="000000" w:themeColor="text1"/>
        </w:rPr>
        <w:t xml:space="preserve">and </w:t>
      </w:r>
      <w:r w:rsidR="00141F94">
        <w:rPr>
          <w:i/>
          <w:iCs/>
          <w:color w:val="000000" w:themeColor="text1"/>
        </w:rPr>
        <w:t>E. micropodia</w:t>
      </w:r>
      <w:r w:rsidR="00141F94" w:rsidRPr="00062F7E">
        <w:rPr>
          <w:color w:val="000000" w:themeColor="text1"/>
        </w:rPr>
        <w:t xml:space="preserve"> </w:t>
      </w:r>
      <w:r w:rsidRPr="00062F7E">
        <w:rPr>
          <w:color w:val="000000" w:themeColor="text1"/>
        </w:rPr>
        <w:t xml:space="preserve">is greater than </w:t>
      </w:r>
      <w:r w:rsidR="00755DFC">
        <w:rPr>
          <w:color w:val="000000" w:themeColor="text1"/>
        </w:rPr>
        <w:t xml:space="preserve">in </w:t>
      </w:r>
      <w:r w:rsidRPr="00062F7E">
        <w:rPr>
          <w:i/>
          <w:iCs/>
          <w:color w:val="000000" w:themeColor="text1"/>
        </w:rPr>
        <w:t>Rubricacaecilia</w:t>
      </w:r>
      <w:r w:rsidR="00141F94">
        <w:rPr>
          <w:i/>
          <w:iCs/>
          <w:color w:val="000000" w:themeColor="text1"/>
        </w:rPr>
        <w:t xml:space="preserve"> monbaroni</w:t>
      </w:r>
      <w:r w:rsidRPr="00062F7E">
        <w:rPr>
          <w:color w:val="000000" w:themeColor="text1"/>
        </w:rPr>
        <w:t xml:space="preserve"> (28 teeth), and about twice that of nearly all </w:t>
      </w:r>
      <w:proofErr w:type="spellStart"/>
      <w:r w:rsidRPr="00062F7E">
        <w:rPr>
          <w:color w:val="000000" w:themeColor="text1"/>
        </w:rPr>
        <w:t>gymnophionans</w:t>
      </w:r>
      <w:proofErr w:type="spellEnd"/>
      <w:r w:rsidRPr="00062F7E">
        <w:rPr>
          <w:color w:val="000000" w:themeColor="text1"/>
        </w:rPr>
        <w:t xml:space="preserve"> excepting </w:t>
      </w:r>
      <w:proofErr w:type="spellStart"/>
      <w:r w:rsidRPr="00062F7E">
        <w:rPr>
          <w:i/>
          <w:iCs/>
          <w:color w:val="000000" w:themeColor="text1"/>
        </w:rPr>
        <w:t>Praslinia</w:t>
      </w:r>
      <w:proofErr w:type="spellEnd"/>
      <w:r w:rsidRPr="00062F7E">
        <w:rPr>
          <w:i/>
          <w:iCs/>
          <w:color w:val="000000" w:themeColor="text1"/>
        </w:rPr>
        <w:t xml:space="preserve"> </w:t>
      </w:r>
      <w:proofErr w:type="spellStart"/>
      <w:r w:rsidRPr="00062F7E">
        <w:rPr>
          <w:i/>
          <w:iCs/>
          <w:color w:val="000000" w:themeColor="text1"/>
        </w:rPr>
        <w:t>cooperi</w:t>
      </w:r>
      <w:proofErr w:type="spellEnd"/>
      <w:r w:rsidR="00485BEF">
        <w:rPr>
          <w:color w:val="000000" w:themeColor="text1"/>
        </w:rPr>
        <w:t>.</w:t>
      </w:r>
      <w:r w:rsidRPr="00062F7E">
        <w:rPr>
          <w:color w:val="000000" w:themeColor="text1"/>
        </w:rPr>
        <w:t xml:space="preserve"> </w:t>
      </w:r>
      <w:r w:rsidR="00485BEF">
        <w:rPr>
          <w:color w:val="000000" w:themeColor="text1"/>
        </w:rPr>
        <w:t>(</w:t>
      </w:r>
      <w:r w:rsidR="005D6A07">
        <w:rPr>
          <w:color w:val="000000" w:themeColor="text1"/>
        </w:rPr>
        <w:t xml:space="preserve">Boulenger 1909; </w:t>
      </w:r>
      <w:r w:rsidR="00485BEF">
        <w:rPr>
          <w:color w:val="000000" w:themeColor="text1"/>
        </w:rPr>
        <w:t xml:space="preserve">Taylor, 1977; </w:t>
      </w:r>
      <w:r w:rsidRPr="00062F7E">
        <w:rPr>
          <w:color w:val="000000" w:themeColor="text1"/>
        </w:rPr>
        <w:t xml:space="preserve">Jenkins et al., 2007). This suggests that the high tooth count in the </w:t>
      </w:r>
      <w:r w:rsidR="00DD3593">
        <w:rPr>
          <w:color w:val="000000" w:themeColor="text1"/>
        </w:rPr>
        <w:t>dentary</w:t>
      </w:r>
      <w:r w:rsidRPr="00062F7E">
        <w:rPr>
          <w:color w:val="000000" w:themeColor="text1"/>
        </w:rPr>
        <w:t xml:space="preserve"> tooth row of </w:t>
      </w:r>
      <w:r w:rsidR="00141F94">
        <w:rPr>
          <w:i/>
          <w:iCs/>
          <w:color w:val="000000" w:themeColor="text1"/>
        </w:rPr>
        <w:t>F. gilmorei</w:t>
      </w:r>
      <w:r w:rsidR="00141F94" w:rsidRPr="00062F7E">
        <w:rPr>
          <w:color w:val="000000" w:themeColor="text1"/>
        </w:rPr>
        <w:t xml:space="preserve"> </w:t>
      </w:r>
      <w:r w:rsidRPr="00062F7E">
        <w:rPr>
          <w:color w:val="000000" w:themeColor="text1"/>
        </w:rPr>
        <w:t xml:space="preserve">and </w:t>
      </w:r>
      <w:r w:rsidR="00141F94">
        <w:rPr>
          <w:i/>
          <w:iCs/>
          <w:color w:val="000000" w:themeColor="text1"/>
        </w:rPr>
        <w:t>E. micropodia</w:t>
      </w:r>
      <w:r w:rsidR="00141F94" w:rsidRPr="00062F7E">
        <w:rPr>
          <w:color w:val="000000" w:themeColor="text1"/>
        </w:rPr>
        <w:t xml:space="preserve"> </w:t>
      </w:r>
      <w:r w:rsidRPr="00062F7E">
        <w:rPr>
          <w:color w:val="000000" w:themeColor="text1"/>
        </w:rPr>
        <w:t xml:space="preserve">represents a slight reduction from the dissorophoid condition, and a more major reduction in tooth count occurred in the common ancestor of </w:t>
      </w:r>
      <w:r w:rsidR="00141F94">
        <w:rPr>
          <w:i/>
          <w:iCs/>
          <w:color w:val="000000" w:themeColor="text1"/>
        </w:rPr>
        <w:t>R. monbaroni</w:t>
      </w:r>
      <w:r w:rsidR="00141F94" w:rsidRPr="00062F7E">
        <w:rPr>
          <w:color w:val="000000" w:themeColor="text1"/>
        </w:rPr>
        <w:t xml:space="preserve"> </w:t>
      </w:r>
      <w:r w:rsidRPr="00062F7E">
        <w:rPr>
          <w:color w:val="000000" w:themeColor="text1"/>
        </w:rPr>
        <w:t xml:space="preserve">and Gymnophiona. </w:t>
      </w:r>
    </w:p>
    <w:p w14:paraId="2D8AE17E" w14:textId="27D4FCC9" w:rsidR="003671F8" w:rsidRDefault="003671F8" w:rsidP="003671F8">
      <w:pPr>
        <w:ind w:firstLine="720"/>
        <w:rPr>
          <w:color w:val="000000" w:themeColor="text1"/>
        </w:rPr>
      </w:pPr>
      <w:r w:rsidRPr="00062F7E">
        <w:rPr>
          <w:color w:val="000000" w:themeColor="text1"/>
        </w:rPr>
        <w:t xml:space="preserve">The </w:t>
      </w:r>
      <w:r w:rsidR="00892BD1">
        <w:rPr>
          <w:color w:val="000000" w:themeColor="text1"/>
        </w:rPr>
        <w:t>adsymp</w:t>
      </w:r>
      <w:r w:rsidR="00C923C1">
        <w:rPr>
          <w:color w:val="000000" w:themeColor="text1"/>
        </w:rPr>
        <w:t xml:space="preserve">hyseal </w:t>
      </w:r>
      <w:r w:rsidR="00DD3593">
        <w:rPr>
          <w:color w:val="000000" w:themeColor="text1"/>
        </w:rPr>
        <w:t>(=lingual)</w:t>
      </w:r>
      <w:r w:rsidRPr="00062F7E">
        <w:rPr>
          <w:color w:val="000000" w:themeColor="text1"/>
        </w:rPr>
        <w:t xml:space="preserve"> tooth row extends from the mandibular symphysis to a point slightly anterior to the antero</w:t>
      </w:r>
      <w:r w:rsidR="00DD3593">
        <w:rPr>
          <w:color w:val="000000" w:themeColor="text1"/>
        </w:rPr>
        <w:t>dorsal</w:t>
      </w:r>
      <w:r w:rsidRPr="00062F7E">
        <w:rPr>
          <w:color w:val="000000" w:themeColor="text1"/>
        </w:rPr>
        <w:t xml:space="preserve"> terminus of the tapering pseudoangular facet</w:t>
      </w:r>
      <w:r w:rsidR="00DD3593">
        <w:rPr>
          <w:color w:val="000000" w:themeColor="text1"/>
        </w:rPr>
        <w:t xml:space="preserve"> of the pseudodentary</w:t>
      </w:r>
      <w:r w:rsidR="008C5FD0">
        <w:rPr>
          <w:color w:val="000000" w:themeColor="text1"/>
        </w:rPr>
        <w:t xml:space="preserve"> (Fig. 1, Extended Data Fig. 3)</w:t>
      </w:r>
      <w:r w:rsidR="00DD3593">
        <w:rPr>
          <w:color w:val="000000" w:themeColor="text1"/>
        </w:rPr>
        <w:t>.</w:t>
      </w:r>
      <w:r w:rsidRPr="00062F7E">
        <w:rPr>
          <w:color w:val="000000" w:themeColor="text1"/>
        </w:rPr>
        <w:t xml:space="preserve"> Several specimens preserve the complete </w:t>
      </w:r>
      <w:r w:rsidR="00DB415B">
        <w:rPr>
          <w:color w:val="000000" w:themeColor="text1"/>
        </w:rPr>
        <w:t>adsymphys</w:t>
      </w:r>
      <w:r w:rsidR="00121DBF">
        <w:rPr>
          <w:color w:val="000000" w:themeColor="text1"/>
        </w:rPr>
        <w:t>eal</w:t>
      </w:r>
      <w:r w:rsidRPr="00062F7E">
        <w:rPr>
          <w:color w:val="000000" w:themeColor="text1"/>
        </w:rPr>
        <w:t xml:space="preserve"> tooth row, showing it to include at least 22 tooth pedicels (PEFO43891: 22; PEFO 45800: 23). A</w:t>
      </w:r>
      <w:r w:rsidR="00A87B9C">
        <w:rPr>
          <w:color w:val="000000" w:themeColor="text1"/>
        </w:rPr>
        <w:t>n</w:t>
      </w:r>
      <w:r w:rsidRPr="00062F7E">
        <w:rPr>
          <w:color w:val="000000" w:themeColor="text1"/>
        </w:rPr>
        <w:t xml:space="preserve"> </w:t>
      </w:r>
      <w:r w:rsidR="009861E3">
        <w:rPr>
          <w:color w:val="000000" w:themeColor="text1"/>
        </w:rPr>
        <w:t>adsymp</w:t>
      </w:r>
      <w:r w:rsidR="00D86DDE">
        <w:rPr>
          <w:color w:val="000000" w:themeColor="text1"/>
        </w:rPr>
        <w:t>hyseal</w:t>
      </w:r>
      <w:r w:rsidRPr="00062F7E">
        <w:rPr>
          <w:color w:val="000000" w:themeColor="text1"/>
        </w:rPr>
        <w:t xml:space="preserve"> row of pedicellate teeth arranged parallel to the labial tooth row at the mandibular symphysis is shared with </w:t>
      </w:r>
      <w:r w:rsidRPr="00062F7E">
        <w:rPr>
          <w:i/>
          <w:iCs/>
          <w:color w:val="000000" w:themeColor="text1"/>
        </w:rPr>
        <w:t>Doleserpeton</w:t>
      </w:r>
      <w:r w:rsidR="00141F94">
        <w:rPr>
          <w:i/>
          <w:iCs/>
          <w:color w:val="000000" w:themeColor="text1"/>
        </w:rPr>
        <w:t xml:space="preserve"> annectens</w:t>
      </w:r>
      <w:r w:rsidRPr="00062F7E">
        <w:rPr>
          <w:color w:val="000000" w:themeColor="text1"/>
        </w:rPr>
        <w:t xml:space="preserve">, </w:t>
      </w:r>
      <w:r w:rsidRPr="00062F7E">
        <w:rPr>
          <w:i/>
          <w:iCs/>
          <w:color w:val="000000" w:themeColor="text1"/>
        </w:rPr>
        <w:t>Eocaecilia</w:t>
      </w:r>
      <w:r w:rsidR="00141F94">
        <w:rPr>
          <w:i/>
          <w:iCs/>
          <w:color w:val="000000" w:themeColor="text1"/>
        </w:rPr>
        <w:t xml:space="preserve"> micropodia</w:t>
      </w:r>
      <w:r w:rsidRPr="00062F7E">
        <w:rPr>
          <w:color w:val="000000" w:themeColor="text1"/>
        </w:rPr>
        <w:t xml:space="preserve">, </w:t>
      </w:r>
      <w:r w:rsidRPr="00062F7E">
        <w:rPr>
          <w:i/>
          <w:iCs/>
          <w:color w:val="000000" w:themeColor="text1"/>
        </w:rPr>
        <w:t>Rubricacaecilia</w:t>
      </w:r>
      <w:r w:rsidR="00141F94">
        <w:rPr>
          <w:i/>
          <w:iCs/>
          <w:color w:val="000000" w:themeColor="text1"/>
        </w:rPr>
        <w:t xml:space="preserve"> monbaroni</w:t>
      </w:r>
      <w:r w:rsidRPr="00062F7E">
        <w:rPr>
          <w:color w:val="000000" w:themeColor="text1"/>
        </w:rPr>
        <w:t>, and gymnophionans (excepting the derived loss of the lingual tooth row in some gymnophionan taxa</w:t>
      </w:r>
      <w:r w:rsidR="00D668C3">
        <w:rPr>
          <w:color w:val="000000" w:themeColor="text1"/>
        </w:rPr>
        <w:t xml:space="preserve">; e.g., </w:t>
      </w:r>
      <w:r w:rsidR="0018356B">
        <w:rPr>
          <w:color w:val="000000" w:themeColor="text1"/>
        </w:rPr>
        <w:t xml:space="preserve">Nussbaum, 1985; </w:t>
      </w:r>
      <w:r w:rsidR="00D668C3">
        <w:rPr>
          <w:color w:val="000000" w:themeColor="text1"/>
        </w:rPr>
        <w:t>Wilkinson et al., 2011</w:t>
      </w:r>
      <w:r w:rsidRPr="00062F7E">
        <w:rPr>
          <w:color w:val="000000" w:themeColor="text1"/>
        </w:rPr>
        <w:t>), however the number of teeth in this row varies between these taxa (</w:t>
      </w:r>
      <w:r w:rsidR="00141F94">
        <w:rPr>
          <w:i/>
          <w:iCs/>
          <w:color w:val="000000" w:themeColor="text1"/>
        </w:rPr>
        <w:t>D. annectens</w:t>
      </w:r>
      <w:r w:rsidRPr="00062F7E">
        <w:rPr>
          <w:color w:val="000000" w:themeColor="text1"/>
        </w:rPr>
        <w:t>: 5</w:t>
      </w:r>
      <w:r w:rsidR="00E93058">
        <w:rPr>
          <w:color w:val="000000" w:themeColor="text1"/>
        </w:rPr>
        <w:t>–</w:t>
      </w:r>
      <w:r w:rsidRPr="00062F7E">
        <w:rPr>
          <w:color w:val="000000" w:themeColor="text1"/>
        </w:rPr>
        <w:t>7</w:t>
      </w:r>
      <w:r w:rsidR="00D668C3">
        <w:rPr>
          <w:color w:val="000000" w:themeColor="text1"/>
        </w:rPr>
        <w:t xml:space="preserve">; </w:t>
      </w:r>
      <w:r w:rsidRPr="00062F7E">
        <w:rPr>
          <w:color w:val="000000" w:themeColor="text1"/>
        </w:rPr>
        <w:t xml:space="preserve">Sigurdsen </w:t>
      </w:r>
      <w:r w:rsidR="008105CF">
        <w:rPr>
          <w:color w:val="000000" w:themeColor="text1"/>
        </w:rPr>
        <w:t xml:space="preserve">&amp; </w:t>
      </w:r>
      <w:r w:rsidRPr="00062F7E">
        <w:rPr>
          <w:color w:val="000000" w:themeColor="text1"/>
        </w:rPr>
        <w:t>Bolt, 2010</w:t>
      </w:r>
      <w:r w:rsidR="00D8013F">
        <w:rPr>
          <w:color w:val="000000" w:themeColor="text1"/>
        </w:rPr>
        <w:t>)</w:t>
      </w:r>
      <w:r w:rsidRPr="00062F7E">
        <w:rPr>
          <w:color w:val="000000" w:themeColor="text1"/>
        </w:rPr>
        <w:t xml:space="preserve">; </w:t>
      </w:r>
      <w:r w:rsidR="00141F94">
        <w:rPr>
          <w:i/>
          <w:iCs/>
          <w:color w:val="000000" w:themeColor="text1"/>
        </w:rPr>
        <w:t>E. micropodia</w:t>
      </w:r>
      <w:r w:rsidRPr="00062F7E">
        <w:rPr>
          <w:color w:val="000000" w:themeColor="text1"/>
        </w:rPr>
        <w:t xml:space="preserve">: &gt;20; </w:t>
      </w:r>
      <w:r w:rsidR="00141F94">
        <w:rPr>
          <w:i/>
          <w:iCs/>
          <w:color w:val="000000" w:themeColor="text1"/>
        </w:rPr>
        <w:t>R. monbaroni</w:t>
      </w:r>
      <w:r w:rsidR="00141F94" w:rsidRPr="00062F7E">
        <w:rPr>
          <w:color w:val="000000" w:themeColor="text1"/>
        </w:rPr>
        <w:t xml:space="preserve"> </w:t>
      </w:r>
      <w:r w:rsidRPr="00062F7E">
        <w:rPr>
          <w:color w:val="000000" w:themeColor="text1"/>
        </w:rPr>
        <w:t>and Gymnophiona</w:t>
      </w:r>
      <w:r w:rsidR="00D668C3">
        <w:rPr>
          <w:color w:val="000000" w:themeColor="text1"/>
        </w:rPr>
        <w:t xml:space="preserve"> (excepting </w:t>
      </w:r>
      <w:proofErr w:type="spellStart"/>
      <w:r w:rsidR="00D668C3" w:rsidRPr="00097DDE">
        <w:rPr>
          <w:i/>
          <w:iCs/>
          <w:color w:val="000000" w:themeColor="text1"/>
        </w:rPr>
        <w:t>Praslinia</w:t>
      </w:r>
      <w:proofErr w:type="spellEnd"/>
      <w:r w:rsidR="00D668C3" w:rsidRPr="00097DDE">
        <w:rPr>
          <w:i/>
          <w:iCs/>
          <w:color w:val="000000" w:themeColor="text1"/>
        </w:rPr>
        <w:t xml:space="preserve"> </w:t>
      </w:r>
      <w:proofErr w:type="spellStart"/>
      <w:r w:rsidR="00D668C3" w:rsidRPr="00097DDE">
        <w:rPr>
          <w:i/>
          <w:iCs/>
          <w:color w:val="000000" w:themeColor="text1"/>
        </w:rPr>
        <w:t>cooperi</w:t>
      </w:r>
      <w:proofErr w:type="spellEnd"/>
      <w:r w:rsidR="00D668C3">
        <w:rPr>
          <w:color w:val="000000" w:themeColor="text1"/>
        </w:rPr>
        <w:t>; see discussion in Jenkins et al., 2007:p. 330)</w:t>
      </w:r>
      <w:r w:rsidRPr="00062F7E">
        <w:rPr>
          <w:color w:val="000000" w:themeColor="text1"/>
        </w:rPr>
        <w:t>: &lt;10 (</w:t>
      </w:r>
      <w:r w:rsidR="00485BEF">
        <w:rPr>
          <w:color w:val="000000" w:themeColor="text1"/>
        </w:rPr>
        <w:t xml:space="preserve">Taylor, 1977; </w:t>
      </w:r>
      <w:r w:rsidR="00587530" w:rsidRPr="00062F7E">
        <w:rPr>
          <w:color w:val="000000" w:themeColor="text1"/>
        </w:rPr>
        <w:t xml:space="preserve">Evans </w:t>
      </w:r>
      <w:r w:rsidR="00587530">
        <w:rPr>
          <w:color w:val="000000" w:themeColor="text1"/>
        </w:rPr>
        <w:t>&amp;</w:t>
      </w:r>
      <w:r w:rsidR="00587530" w:rsidRPr="00062F7E">
        <w:rPr>
          <w:color w:val="000000" w:themeColor="text1"/>
        </w:rPr>
        <w:t xml:space="preserve"> </w:t>
      </w:r>
      <w:proofErr w:type="spellStart"/>
      <w:r w:rsidR="00587530" w:rsidRPr="00062F7E">
        <w:rPr>
          <w:color w:val="000000" w:themeColor="text1"/>
        </w:rPr>
        <w:t>Sigogneau</w:t>
      </w:r>
      <w:proofErr w:type="spellEnd"/>
      <w:r w:rsidR="00587530" w:rsidRPr="00062F7E">
        <w:rPr>
          <w:color w:val="000000" w:themeColor="text1"/>
        </w:rPr>
        <w:t>-Russel, 2001</w:t>
      </w:r>
      <w:r w:rsidR="00587530">
        <w:rPr>
          <w:color w:val="000000" w:themeColor="text1"/>
        </w:rPr>
        <w:t xml:space="preserve">; </w:t>
      </w:r>
      <w:r w:rsidRPr="00062F7E">
        <w:rPr>
          <w:color w:val="000000" w:themeColor="text1"/>
        </w:rPr>
        <w:t>Jenkins et al., 2007). We hypothesize that the number</w:t>
      </w:r>
      <w:r>
        <w:rPr>
          <w:color w:val="000000" w:themeColor="text1"/>
        </w:rPr>
        <w:t xml:space="preserve"> of</w:t>
      </w:r>
      <w:r w:rsidRPr="00062F7E">
        <w:rPr>
          <w:color w:val="000000" w:themeColor="text1"/>
        </w:rPr>
        <w:t xml:space="preserve"> </w:t>
      </w:r>
      <w:r w:rsidR="00EE2D12">
        <w:rPr>
          <w:color w:val="000000" w:themeColor="text1"/>
        </w:rPr>
        <w:t>adsymphy</w:t>
      </w:r>
      <w:r w:rsidR="00633B13">
        <w:rPr>
          <w:color w:val="000000" w:themeColor="text1"/>
        </w:rPr>
        <w:t>seal</w:t>
      </w:r>
      <w:r w:rsidRPr="00062F7E">
        <w:rPr>
          <w:color w:val="000000" w:themeColor="text1"/>
        </w:rPr>
        <w:t xml:space="preserve"> teeth in </w:t>
      </w:r>
      <w:r w:rsidR="00141F94">
        <w:rPr>
          <w:i/>
          <w:iCs/>
          <w:color w:val="000000" w:themeColor="text1"/>
        </w:rPr>
        <w:t>F. gilmorei</w:t>
      </w:r>
      <w:r w:rsidR="00141F94" w:rsidRPr="00062F7E">
        <w:rPr>
          <w:color w:val="000000" w:themeColor="text1"/>
        </w:rPr>
        <w:t xml:space="preserve"> </w:t>
      </w:r>
      <w:r w:rsidRPr="00062F7E">
        <w:rPr>
          <w:color w:val="000000" w:themeColor="text1"/>
        </w:rPr>
        <w:t xml:space="preserve">represents a transformation of the condition exhibited in </w:t>
      </w:r>
      <w:r w:rsidR="00141F94">
        <w:rPr>
          <w:i/>
          <w:iCs/>
          <w:color w:val="000000" w:themeColor="text1"/>
        </w:rPr>
        <w:t>D. annectens</w:t>
      </w:r>
      <w:r w:rsidR="00141F94" w:rsidRPr="00062F7E">
        <w:rPr>
          <w:color w:val="000000" w:themeColor="text1"/>
        </w:rPr>
        <w:t xml:space="preserve"> </w:t>
      </w:r>
      <w:r w:rsidRPr="00062F7E">
        <w:rPr>
          <w:color w:val="000000" w:themeColor="text1"/>
        </w:rPr>
        <w:t>through addition of new teeth</w:t>
      </w:r>
      <w:r>
        <w:rPr>
          <w:color w:val="000000" w:themeColor="text1"/>
        </w:rPr>
        <w:t xml:space="preserve"> distally</w:t>
      </w:r>
      <w:r w:rsidRPr="00062F7E">
        <w:rPr>
          <w:color w:val="000000" w:themeColor="text1"/>
        </w:rPr>
        <w:t xml:space="preserve">, yielding a tooth count of at least 20 in the common ancestor of </w:t>
      </w:r>
      <w:r w:rsidR="00141F94">
        <w:rPr>
          <w:i/>
          <w:iCs/>
          <w:color w:val="000000" w:themeColor="text1"/>
        </w:rPr>
        <w:t>F. gilmorei</w:t>
      </w:r>
      <w:r w:rsidR="00141F94" w:rsidRPr="00062F7E">
        <w:rPr>
          <w:color w:val="000000" w:themeColor="text1"/>
        </w:rPr>
        <w:t xml:space="preserve"> </w:t>
      </w:r>
      <w:r w:rsidRPr="00062F7E">
        <w:rPr>
          <w:color w:val="000000" w:themeColor="text1"/>
        </w:rPr>
        <w:t xml:space="preserve">and </w:t>
      </w:r>
      <w:r w:rsidR="00890D09">
        <w:rPr>
          <w:i/>
          <w:iCs/>
          <w:color w:val="000000" w:themeColor="text1"/>
        </w:rPr>
        <w:t>E. micropodia</w:t>
      </w:r>
      <w:r w:rsidRPr="00062F7E">
        <w:rPr>
          <w:color w:val="000000" w:themeColor="text1"/>
        </w:rPr>
        <w:t xml:space="preserve">. A reduction of tooth number to less than 10 occurred in the common ancestor of </w:t>
      </w:r>
      <w:r w:rsidR="00890D09">
        <w:rPr>
          <w:i/>
          <w:iCs/>
          <w:color w:val="000000" w:themeColor="text1"/>
        </w:rPr>
        <w:t>R. monbaroni</w:t>
      </w:r>
      <w:r w:rsidR="00890D09" w:rsidRPr="00062F7E">
        <w:rPr>
          <w:color w:val="000000" w:themeColor="text1"/>
        </w:rPr>
        <w:t xml:space="preserve"> </w:t>
      </w:r>
      <w:r w:rsidRPr="00062F7E">
        <w:rPr>
          <w:color w:val="000000" w:themeColor="text1"/>
        </w:rPr>
        <w:t xml:space="preserve">and </w:t>
      </w:r>
      <w:r w:rsidRPr="00755DFC">
        <w:rPr>
          <w:color w:val="000000" w:themeColor="text1"/>
        </w:rPr>
        <w:t>Gymnophiona</w:t>
      </w:r>
      <w:r w:rsidRPr="00062F7E">
        <w:rPr>
          <w:color w:val="000000" w:themeColor="text1"/>
        </w:rPr>
        <w:t xml:space="preserve">. </w:t>
      </w:r>
    </w:p>
    <w:p w14:paraId="43F9614F" w14:textId="6AAFA500" w:rsidR="003671F8" w:rsidRPr="00062F7E" w:rsidRDefault="003671F8" w:rsidP="003671F8">
      <w:pPr>
        <w:ind w:firstLine="720"/>
        <w:rPr>
          <w:color w:val="000000" w:themeColor="text1"/>
        </w:rPr>
      </w:pPr>
      <w:r w:rsidRPr="00062F7E">
        <w:rPr>
          <w:color w:val="000000" w:themeColor="text1"/>
        </w:rPr>
        <w:t xml:space="preserve">A deep </w:t>
      </w:r>
      <w:proofErr w:type="spellStart"/>
      <w:r>
        <w:rPr>
          <w:color w:val="000000" w:themeColor="text1"/>
        </w:rPr>
        <w:t>subdental</w:t>
      </w:r>
      <w:proofErr w:type="spellEnd"/>
      <w:r>
        <w:rPr>
          <w:color w:val="000000" w:themeColor="text1"/>
        </w:rPr>
        <w:t xml:space="preserve"> </w:t>
      </w:r>
      <w:r w:rsidRPr="00062F7E">
        <w:rPr>
          <w:color w:val="000000" w:themeColor="text1"/>
        </w:rPr>
        <w:t xml:space="preserve">groove located medial to the </w:t>
      </w:r>
      <w:r w:rsidR="00DD3593">
        <w:rPr>
          <w:color w:val="000000" w:themeColor="text1"/>
        </w:rPr>
        <w:t>dentary</w:t>
      </w:r>
      <w:r w:rsidRPr="00062F7E">
        <w:rPr>
          <w:color w:val="000000" w:themeColor="text1"/>
        </w:rPr>
        <w:t xml:space="preserve"> tooth row </w:t>
      </w:r>
      <w:r w:rsidR="003C15DA">
        <w:rPr>
          <w:color w:val="000000" w:themeColor="text1"/>
        </w:rPr>
        <w:t>extends</w:t>
      </w:r>
      <w:r w:rsidRPr="00062F7E">
        <w:rPr>
          <w:color w:val="000000" w:themeColor="text1"/>
        </w:rPr>
        <w:t xml:space="preserve"> from the posterior tooth row terminus to the mandibular symphysis</w:t>
      </w:r>
      <w:r>
        <w:rPr>
          <w:color w:val="000000" w:themeColor="text1"/>
        </w:rPr>
        <w:t xml:space="preserve"> of </w:t>
      </w:r>
      <w:r w:rsidRPr="00447509">
        <w:rPr>
          <w:i/>
          <w:iCs/>
          <w:color w:val="000000" w:themeColor="text1"/>
        </w:rPr>
        <w:t>Funcusvermis</w:t>
      </w:r>
      <w:r w:rsidR="00890D09">
        <w:rPr>
          <w:i/>
          <w:iCs/>
          <w:color w:val="000000" w:themeColor="text1"/>
        </w:rPr>
        <w:t xml:space="preserve"> gilmorei</w:t>
      </w:r>
      <w:r w:rsidRPr="00062F7E">
        <w:rPr>
          <w:color w:val="000000" w:themeColor="text1"/>
        </w:rPr>
        <w:t xml:space="preserve">, separating the </w:t>
      </w:r>
      <w:r w:rsidR="00DD3593">
        <w:rPr>
          <w:color w:val="000000" w:themeColor="text1"/>
        </w:rPr>
        <w:t>dentary</w:t>
      </w:r>
      <w:r w:rsidRPr="00062F7E">
        <w:rPr>
          <w:color w:val="000000" w:themeColor="text1"/>
        </w:rPr>
        <w:t xml:space="preserve"> and </w:t>
      </w:r>
      <w:r w:rsidR="00143DF4">
        <w:rPr>
          <w:color w:val="000000" w:themeColor="text1"/>
        </w:rPr>
        <w:t>adsymphys</w:t>
      </w:r>
      <w:r w:rsidR="00E6579E">
        <w:rPr>
          <w:color w:val="000000" w:themeColor="text1"/>
        </w:rPr>
        <w:t>eal</w:t>
      </w:r>
      <w:r w:rsidRPr="00062F7E">
        <w:rPr>
          <w:color w:val="000000" w:themeColor="text1"/>
        </w:rPr>
        <w:t xml:space="preserve"> tooth rows at the anterior of the element where both are present. Another </w:t>
      </w:r>
      <w:proofErr w:type="spellStart"/>
      <w:r>
        <w:rPr>
          <w:color w:val="000000" w:themeColor="text1"/>
        </w:rPr>
        <w:t>subdental</w:t>
      </w:r>
      <w:proofErr w:type="spellEnd"/>
      <w:r>
        <w:rPr>
          <w:color w:val="000000" w:themeColor="text1"/>
        </w:rPr>
        <w:t xml:space="preserve"> </w:t>
      </w:r>
      <w:r w:rsidRPr="00062F7E">
        <w:rPr>
          <w:color w:val="000000" w:themeColor="text1"/>
        </w:rPr>
        <w:t xml:space="preserve">groove is present medial to the </w:t>
      </w:r>
      <w:r w:rsidR="00D47A40">
        <w:rPr>
          <w:color w:val="000000" w:themeColor="text1"/>
        </w:rPr>
        <w:t>adsymph</w:t>
      </w:r>
      <w:r w:rsidR="005F6C10">
        <w:rPr>
          <w:color w:val="000000" w:themeColor="text1"/>
        </w:rPr>
        <w:t>yseal</w:t>
      </w:r>
      <w:r w:rsidRPr="00062F7E">
        <w:rPr>
          <w:color w:val="000000" w:themeColor="text1"/>
        </w:rPr>
        <w:t xml:space="preserve"> tooth row extending from the mandibular symphysis to the posterior terminus of the </w:t>
      </w:r>
      <w:r w:rsidR="000528EB">
        <w:rPr>
          <w:color w:val="000000" w:themeColor="text1"/>
        </w:rPr>
        <w:t>adsymphysea</w:t>
      </w:r>
      <w:r w:rsidR="00287EB7">
        <w:rPr>
          <w:color w:val="000000" w:themeColor="text1"/>
        </w:rPr>
        <w:t xml:space="preserve">l </w:t>
      </w:r>
      <w:r w:rsidRPr="00062F7E">
        <w:rPr>
          <w:color w:val="000000" w:themeColor="text1"/>
        </w:rPr>
        <w:t xml:space="preserve">tooth row. Similar </w:t>
      </w:r>
      <w:proofErr w:type="spellStart"/>
      <w:r w:rsidRPr="00062F7E">
        <w:rPr>
          <w:color w:val="000000" w:themeColor="text1"/>
        </w:rPr>
        <w:t>subdental</w:t>
      </w:r>
      <w:proofErr w:type="spellEnd"/>
      <w:r w:rsidRPr="00062F7E">
        <w:rPr>
          <w:color w:val="000000" w:themeColor="text1"/>
        </w:rPr>
        <w:t xml:space="preserve"> grooves are found in the dentary of </w:t>
      </w:r>
      <w:r w:rsidRPr="00062F7E">
        <w:rPr>
          <w:i/>
          <w:iCs/>
          <w:color w:val="000000" w:themeColor="text1"/>
        </w:rPr>
        <w:t>Doleserpeton</w:t>
      </w:r>
      <w:r w:rsidR="00890D09">
        <w:rPr>
          <w:i/>
          <w:iCs/>
          <w:color w:val="000000" w:themeColor="text1"/>
        </w:rPr>
        <w:t xml:space="preserve"> annectens</w:t>
      </w:r>
      <w:r w:rsidRPr="00062F7E">
        <w:rPr>
          <w:color w:val="000000" w:themeColor="text1"/>
        </w:rPr>
        <w:t xml:space="preserve"> and the pseudodentary of gymnophionomorphs. </w:t>
      </w:r>
    </w:p>
    <w:p w14:paraId="08CE9109" w14:textId="5A342DBE" w:rsidR="003467F3" w:rsidRDefault="003671F8" w:rsidP="003671F8">
      <w:pPr>
        <w:rPr>
          <w:color w:val="000000" w:themeColor="text1"/>
        </w:rPr>
      </w:pPr>
      <w:r w:rsidRPr="00062F7E">
        <w:rPr>
          <w:color w:val="000000" w:themeColor="text1"/>
        </w:rPr>
        <w:lastRenderedPageBreak/>
        <w:tab/>
        <w:t>The medially facing surface</w:t>
      </w:r>
      <w:r>
        <w:rPr>
          <w:color w:val="000000" w:themeColor="text1"/>
        </w:rPr>
        <w:t xml:space="preserve"> of the ps</w:t>
      </w:r>
      <w:r w:rsidR="00D8013F">
        <w:rPr>
          <w:color w:val="000000" w:themeColor="text1"/>
        </w:rPr>
        <w:t>eu</w:t>
      </w:r>
      <w:r>
        <w:rPr>
          <w:color w:val="000000" w:themeColor="text1"/>
        </w:rPr>
        <w:t>dodentary</w:t>
      </w:r>
      <w:r w:rsidRPr="00062F7E">
        <w:rPr>
          <w:color w:val="000000" w:themeColor="text1"/>
        </w:rPr>
        <w:t xml:space="preserve"> for attachment to the lateral side of the pseudoangular is best preserved in PEFO 46284; this wedge-shaped facet tapers anteriorly to its terminus approximately halfway along the longitudinal length of the pseudodentary</w:t>
      </w:r>
      <w:r w:rsidR="008C5FD0">
        <w:rPr>
          <w:color w:val="000000" w:themeColor="text1"/>
        </w:rPr>
        <w:t xml:space="preserve"> (Fig. 1, Extended Data Fig. 3)</w:t>
      </w:r>
      <w:r w:rsidRPr="00062F7E">
        <w:rPr>
          <w:color w:val="000000" w:themeColor="text1"/>
        </w:rPr>
        <w:t>. Inset into this surface are two longitudinally oriented facets that fit with matching facets on the lateral surface of the pseudoangular</w:t>
      </w:r>
      <w:r>
        <w:rPr>
          <w:color w:val="000000" w:themeColor="text1"/>
        </w:rPr>
        <w:t xml:space="preserve"> (Extended Data Fig</w:t>
      </w:r>
      <w:r w:rsidR="00DC7D9C">
        <w:rPr>
          <w:color w:val="000000" w:themeColor="text1"/>
        </w:rPr>
        <w:t>.</w:t>
      </w:r>
      <w:r>
        <w:rPr>
          <w:color w:val="000000" w:themeColor="text1"/>
        </w:rPr>
        <w:t xml:space="preserve"> </w:t>
      </w:r>
      <w:r w:rsidR="006861C0">
        <w:rPr>
          <w:color w:val="000000" w:themeColor="text1"/>
        </w:rPr>
        <w:t>3</w:t>
      </w:r>
      <w:r>
        <w:rPr>
          <w:color w:val="000000" w:themeColor="text1"/>
        </w:rPr>
        <w:t>)</w:t>
      </w:r>
      <w:r w:rsidRPr="00062F7E">
        <w:rPr>
          <w:color w:val="000000" w:themeColor="text1"/>
        </w:rPr>
        <w:t xml:space="preserve">; the ventral facet is dorsoventrally thin, whereas the dorsal facet expands in dorsoventral height in the posterior direction. At its posterior end, the dorsal facet overhangs a longitudinal fossa confluent with an anteriorly directed foramen for insertion of the alveolar branch of </w:t>
      </w:r>
      <w:r>
        <w:rPr>
          <w:color w:val="000000" w:themeColor="text1"/>
        </w:rPr>
        <w:t>CN</w:t>
      </w:r>
      <w:r w:rsidRPr="00062F7E">
        <w:rPr>
          <w:color w:val="000000" w:themeColor="text1"/>
        </w:rPr>
        <w:t xml:space="preserve"> V and associated vasculature, which continues anteriorly towards the mandibular symphysis below to the labial tooth row. Ventral to the aforementioned fossa is a medially concave</w:t>
      </w:r>
      <w:r w:rsidR="003C15DA">
        <w:rPr>
          <w:color w:val="000000" w:themeColor="text1"/>
        </w:rPr>
        <w:t>,</w:t>
      </w:r>
      <w:r w:rsidRPr="00062F7E">
        <w:rPr>
          <w:color w:val="000000" w:themeColor="text1"/>
        </w:rPr>
        <w:t xml:space="preserve"> longitudinally directed fossa </w:t>
      </w:r>
      <w:r w:rsidR="00D96F0A">
        <w:rPr>
          <w:color w:val="000000" w:themeColor="text1"/>
        </w:rPr>
        <w:t>that</w:t>
      </w:r>
      <w:r w:rsidR="00D96F0A" w:rsidRPr="00062F7E">
        <w:rPr>
          <w:color w:val="000000" w:themeColor="text1"/>
        </w:rPr>
        <w:t xml:space="preserve"> </w:t>
      </w:r>
      <w:r w:rsidRPr="00062F7E">
        <w:rPr>
          <w:color w:val="000000" w:themeColor="text1"/>
        </w:rPr>
        <w:t xml:space="preserve">housed the external branch of </w:t>
      </w:r>
      <w:r>
        <w:rPr>
          <w:color w:val="000000" w:themeColor="text1"/>
        </w:rPr>
        <w:t>CN</w:t>
      </w:r>
      <w:r w:rsidRPr="00062F7E">
        <w:rPr>
          <w:color w:val="000000" w:themeColor="text1"/>
        </w:rPr>
        <w:t xml:space="preserve"> V</w:t>
      </w:r>
      <w:r w:rsidR="00513275">
        <w:rPr>
          <w:color w:val="000000" w:themeColor="text1"/>
        </w:rPr>
        <w:t xml:space="preserve">, </w:t>
      </w:r>
      <w:r w:rsidRPr="00062F7E">
        <w:rPr>
          <w:color w:val="000000" w:themeColor="text1"/>
        </w:rPr>
        <w:t>associated vasculatur</w:t>
      </w:r>
      <w:r>
        <w:rPr>
          <w:color w:val="000000" w:themeColor="text1"/>
        </w:rPr>
        <w:t>e</w:t>
      </w:r>
      <w:r w:rsidRPr="00062F7E">
        <w:rPr>
          <w:color w:val="000000" w:themeColor="text1"/>
        </w:rPr>
        <w:t>,</w:t>
      </w:r>
      <w:r w:rsidR="00513275">
        <w:rPr>
          <w:color w:val="000000" w:themeColor="text1"/>
        </w:rPr>
        <w:t xml:space="preserve"> and presumably a cartilaginous Meckel’s cartilage, and this fossa</w:t>
      </w:r>
      <w:r w:rsidRPr="00062F7E">
        <w:rPr>
          <w:color w:val="000000" w:themeColor="text1"/>
        </w:rPr>
        <w:t xml:space="preserve"> becomes fully enclosed by the pseudodentary at the anterior terminus of the pseudoangular attachment surface. </w:t>
      </w:r>
      <w:r w:rsidR="00513275">
        <w:rPr>
          <w:color w:val="000000" w:themeColor="text1"/>
        </w:rPr>
        <w:t xml:space="preserve">This canal </w:t>
      </w:r>
      <w:r w:rsidRPr="00062F7E">
        <w:rPr>
          <w:color w:val="000000" w:themeColor="text1"/>
        </w:rPr>
        <w:t>continues anteriorly through the ramus, where two branches exit the ventral surface through small foramina posterior to the symphysis</w:t>
      </w:r>
      <w:r w:rsidR="0009159B">
        <w:rPr>
          <w:color w:val="000000" w:themeColor="text1"/>
        </w:rPr>
        <w:t xml:space="preserve"> (Extended Data Fig</w:t>
      </w:r>
      <w:r w:rsidR="0014409C">
        <w:rPr>
          <w:color w:val="000000" w:themeColor="text1"/>
        </w:rPr>
        <w:t>s.</w:t>
      </w:r>
      <w:r w:rsidR="0009159B">
        <w:rPr>
          <w:color w:val="000000" w:themeColor="text1"/>
        </w:rPr>
        <w:t xml:space="preserve"> </w:t>
      </w:r>
      <w:r w:rsidR="0014409C">
        <w:rPr>
          <w:color w:val="000000" w:themeColor="text1"/>
        </w:rPr>
        <w:t>3</w:t>
      </w:r>
      <w:r w:rsidR="0014409C" w:rsidRPr="004A0AFE">
        <w:rPr>
          <w:rFonts w:hint="eastAsia"/>
          <w:color w:val="222222"/>
        </w:rPr>
        <w:t>–</w:t>
      </w:r>
      <w:r w:rsidR="0009159B">
        <w:rPr>
          <w:color w:val="000000" w:themeColor="text1"/>
        </w:rPr>
        <w:t>4)</w:t>
      </w:r>
      <w:r w:rsidRPr="00062F7E">
        <w:rPr>
          <w:color w:val="000000" w:themeColor="text1"/>
        </w:rPr>
        <w:t xml:space="preserve">. Similar exits for branches of this neurovasculature are present in </w:t>
      </w:r>
      <w:proofErr w:type="spellStart"/>
      <w:r w:rsidRPr="00062F7E">
        <w:rPr>
          <w:i/>
          <w:iCs/>
          <w:color w:val="000000" w:themeColor="text1"/>
        </w:rPr>
        <w:t>Eocaecilia</w:t>
      </w:r>
      <w:proofErr w:type="spellEnd"/>
      <w:r w:rsidR="00890D09">
        <w:rPr>
          <w:i/>
          <w:iCs/>
          <w:color w:val="000000" w:themeColor="text1"/>
        </w:rPr>
        <w:t xml:space="preserve"> </w:t>
      </w:r>
      <w:proofErr w:type="spellStart"/>
      <w:r w:rsidR="00890D09">
        <w:rPr>
          <w:i/>
          <w:iCs/>
          <w:color w:val="000000" w:themeColor="text1"/>
        </w:rPr>
        <w:t>micropodia</w:t>
      </w:r>
      <w:proofErr w:type="spellEnd"/>
      <w:r w:rsidRPr="00062F7E">
        <w:rPr>
          <w:color w:val="000000" w:themeColor="text1"/>
        </w:rPr>
        <w:t xml:space="preserve">, </w:t>
      </w:r>
      <w:proofErr w:type="spellStart"/>
      <w:r w:rsidRPr="00062F7E">
        <w:rPr>
          <w:i/>
          <w:iCs/>
          <w:color w:val="000000" w:themeColor="text1"/>
        </w:rPr>
        <w:t>Rubricacaecilia</w:t>
      </w:r>
      <w:proofErr w:type="spellEnd"/>
      <w:r w:rsidR="00890D09">
        <w:rPr>
          <w:i/>
          <w:iCs/>
          <w:color w:val="000000" w:themeColor="text1"/>
        </w:rPr>
        <w:t xml:space="preserve"> </w:t>
      </w:r>
      <w:proofErr w:type="spellStart"/>
      <w:r w:rsidR="00890D09">
        <w:rPr>
          <w:i/>
          <w:iCs/>
          <w:color w:val="000000" w:themeColor="text1"/>
        </w:rPr>
        <w:t>monbaroni</w:t>
      </w:r>
      <w:proofErr w:type="spellEnd"/>
      <w:r w:rsidRPr="00062F7E">
        <w:rPr>
          <w:color w:val="000000" w:themeColor="text1"/>
        </w:rPr>
        <w:t xml:space="preserve">, and most </w:t>
      </w:r>
      <w:proofErr w:type="spellStart"/>
      <w:r w:rsidRPr="00062F7E">
        <w:rPr>
          <w:color w:val="000000" w:themeColor="text1"/>
        </w:rPr>
        <w:t>gymnophionans</w:t>
      </w:r>
      <w:proofErr w:type="spellEnd"/>
      <w:r w:rsidR="00513275">
        <w:rPr>
          <w:color w:val="000000" w:themeColor="text1"/>
        </w:rPr>
        <w:t xml:space="preserve"> (</w:t>
      </w:r>
      <w:r w:rsidR="00D036C4" w:rsidRPr="00E02BDA">
        <w:rPr>
          <w:color w:val="222222"/>
        </w:rPr>
        <w:t xml:space="preserve">Evans </w:t>
      </w:r>
      <w:r w:rsidR="00D036C4">
        <w:rPr>
          <w:color w:val="222222"/>
        </w:rPr>
        <w:t>&amp;</w:t>
      </w:r>
      <w:r w:rsidR="00D036C4" w:rsidRPr="00E02BDA">
        <w:rPr>
          <w:color w:val="222222"/>
        </w:rPr>
        <w:t xml:space="preserve"> </w:t>
      </w:r>
      <w:proofErr w:type="spellStart"/>
      <w:r w:rsidR="00D036C4" w:rsidRPr="00E02BDA">
        <w:rPr>
          <w:color w:val="222222"/>
        </w:rPr>
        <w:t>Sigogneau</w:t>
      </w:r>
      <w:proofErr w:type="spellEnd"/>
      <w:r w:rsidR="00D036C4" w:rsidRPr="00E02BDA">
        <w:rPr>
          <w:color w:val="222222"/>
        </w:rPr>
        <w:t>-Russel, 2001</w:t>
      </w:r>
      <w:r w:rsidR="00D036C4">
        <w:rPr>
          <w:color w:val="000000" w:themeColor="text1"/>
        </w:rPr>
        <w:t xml:space="preserve">; </w:t>
      </w:r>
      <w:r w:rsidR="00513275">
        <w:rPr>
          <w:color w:val="000000" w:themeColor="text1"/>
        </w:rPr>
        <w:t>Jenkins et al., 2007</w:t>
      </w:r>
      <w:r w:rsidR="00005CE1">
        <w:rPr>
          <w:color w:val="000000" w:themeColor="text1"/>
        </w:rPr>
        <w:t xml:space="preserve">). </w:t>
      </w:r>
      <w:r w:rsidRPr="00062F7E">
        <w:rPr>
          <w:color w:val="000000" w:themeColor="text1"/>
        </w:rPr>
        <w:t xml:space="preserve">This canal opens at the </w:t>
      </w:r>
      <w:r w:rsidR="00FD3A14">
        <w:rPr>
          <w:color w:val="000000" w:themeColor="text1"/>
        </w:rPr>
        <w:t xml:space="preserve">mandibular </w:t>
      </w:r>
      <w:r w:rsidRPr="00062F7E">
        <w:rPr>
          <w:color w:val="000000" w:themeColor="text1"/>
        </w:rPr>
        <w:t>symphysis through a conspicuous symphyseal foramen</w:t>
      </w:r>
      <w:r w:rsidR="0014409C">
        <w:rPr>
          <w:color w:val="000000" w:themeColor="text1"/>
        </w:rPr>
        <w:t xml:space="preserve"> (Fig. 1, Extended Data Fig. 3)</w:t>
      </w:r>
      <w:r w:rsidR="00513275">
        <w:rPr>
          <w:color w:val="000000" w:themeColor="text1"/>
        </w:rPr>
        <w:t xml:space="preserve">; </w:t>
      </w:r>
      <w:r>
        <w:rPr>
          <w:color w:val="000000" w:themeColor="text1"/>
        </w:rPr>
        <w:t>the presence of an open foramen in this position suggests the me</w:t>
      </w:r>
      <w:r w:rsidR="003D7D29">
        <w:rPr>
          <w:color w:val="000000" w:themeColor="text1"/>
        </w:rPr>
        <w:t>n</w:t>
      </w:r>
      <w:r>
        <w:rPr>
          <w:color w:val="000000" w:themeColor="text1"/>
        </w:rPr>
        <w:t>tomeckelian cartilage was unossified</w:t>
      </w:r>
      <w:r w:rsidR="00744304">
        <w:rPr>
          <w:color w:val="000000" w:themeColor="text1"/>
        </w:rPr>
        <w:t xml:space="preserve"> at the </w:t>
      </w:r>
      <w:r w:rsidR="003467F3">
        <w:rPr>
          <w:color w:val="000000" w:themeColor="text1"/>
        </w:rPr>
        <w:t>symphysis</w:t>
      </w:r>
      <w:r>
        <w:rPr>
          <w:color w:val="000000" w:themeColor="text1"/>
        </w:rPr>
        <w:t xml:space="preserve"> in </w:t>
      </w:r>
      <w:r w:rsidRPr="00447509">
        <w:rPr>
          <w:i/>
          <w:iCs/>
          <w:color w:val="000000" w:themeColor="text1"/>
        </w:rPr>
        <w:t>Funcusvermis</w:t>
      </w:r>
      <w:r w:rsidR="00890D09">
        <w:rPr>
          <w:i/>
          <w:iCs/>
          <w:color w:val="000000" w:themeColor="text1"/>
        </w:rPr>
        <w:t xml:space="preserve"> gilmorei</w:t>
      </w:r>
      <w:r>
        <w:rPr>
          <w:color w:val="000000" w:themeColor="text1"/>
        </w:rPr>
        <w:t>.</w:t>
      </w:r>
      <w:r w:rsidR="00744304">
        <w:rPr>
          <w:color w:val="000000" w:themeColor="text1"/>
        </w:rPr>
        <w:t xml:space="preserve"> The mandibular symphysis is closed in other fossil gym</w:t>
      </w:r>
      <w:r w:rsidR="003D7D29">
        <w:rPr>
          <w:color w:val="000000" w:themeColor="text1"/>
        </w:rPr>
        <w:t>n</w:t>
      </w:r>
      <w:r w:rsidR="00744304">
        <w:rPr>
          <w:color w:val="000000" w:themeColor="text1"/>
        </w:rPr>
        <w:t xml:space="preserve">ophionomorphs (Jenkins et al., 2007; </w:t>
      </w:r>
      <w:r w:rsidR="00744304" w:rsidRPr="00E02BDA">
        <w:rPr>
          <w:color w:val="222222"/>
        </w:rPr>
        <w:t xml:space="preserve">Evans </w:t>
      </w:r>
      <w:r w:rsidR="003453BF">
        <w:rPr>
          <w:color w:val="222222"/>
        </w:rPr>
        <w:t>&amp;</w:t>
      </w:r>
      <w:r w:rsidR="00744304" w:rsidRPr="00E02BDA">
        <w:rPr>
          <w:color w:val="222222"/>
        </w:rPr>
        <w:t xml:space="preserve"> </w:t>
      </w:r>
      <w:proofErr w:type="spellStart"/>
      <w:r w:rsidR="00744304" w:rsidRPr="00E02BDA">
        <w:rPr>
          <w:color w:val="222222"/>
        </w:rPr>
        <w:t>Sigogneau</w:t>
      </w:r>
      <w:proofErr w:type="spellEnd"/>
      <w:r w:rsidR="00744304" w:rsidRPr="00E02BDA">
        <w:rPr>
          <w:color w:val="222222"/>
        </w:rPr>
        <w:t>-Russel, 2001</w:t>
      </w:r>
      <w:r w:rsidR="00744304">
        <w:rPr>
          <w:color w:val="222222"/>
        </w:rPr>
        <w:t>)</w:t>
      </w:r>
      <w:r w:rsidR="00744304">
        <w:rPr>
          <w:color w:val="000000" w:themeColor="text1"/>
        </w:rPr>
        <w:t>, suggesting the presence of an ossified mentomeckelian closing the mandibular symphysis as in living caecilians (e.g.</w:t>
      </w:r>
      <w:r w:rsidR="003C15DA">
        <w:rPr>
          <w:color w:val="000000" w:themeColor="text1"/>
        </w:rPr>
        <w:t>,</w:t>
      </w:r>
      <w:r w:rsidR="00744304">
        <w:rPr>
          <w:color w:val="000000" w:themeColor="text1"/>
        </w:rPr>
        <w:t xml:space="preserve"> </w:t>
      </w:r>
      <w:proofErr w:type="spellStart"/>
      <w:r w:rsidR="00744304">
        <w:rPr>
          <w:color w:val="000000" w:themeColor="text1"/>
        </w:rPr>
        <w:t>Theska</w:t>
      </w:r>
      <w:proofErr w:type="spellEnd"/>
      <w:r w:rsidR="00744304">
        <w:rPr>
          <w:color w:val="000000" w:themeColor="text1"/>
        </w:rPr>
        <w:t xml:space="preserve"> et al., 2019). </w:t>
      </w:r>
      <w:r>
        <w:rPr>
          <w:color w:val="000000" w:themeColor="text1"/>
        </w:rPr>
        <w:t>The mentomeckelian</w:t>
      </w:r>
      <w:r w:rsidR="00513275">
        <w:rPr>
          <w:color w:val="000000" w:themeColor="text1"/>
        </w:rPr>
        <w:t xml:space="preserve"> </w:t>
      </w:r>
      <w:r w:rsidR="00744304">
        <w:rPr>
          <w:color w:val="000000" w:themeColor="text1"/>
        </w:rPr>
        <w:t xml:space="preserve">is present as an ossified </w:t>
      </w:r>
      <w:r w:rsidR="00513275">
        <w:rPr>
          <w:color w:val="000000" w:themeColor="text1"/>
        </w:rPr>
        <w:t xml:space="preserve">element </w:t>
      </w:r>
      <w:r w:rsidR="00744304">
        <w:rPr>
          <w:color w:val="000000" w:themeColor="text1"/>
        </w:rPr>
        <w:t xml:space="preserve">at the symphysis (separate from the dentary) </w:t>
      </w:r>
      <w:r>
        <w:rPr>
          <w:color w:val="000000" w:themeColor="text1"/>
        </w:rPr>
        <w:t>in batrachians</w:t>
      </w:r>
      <w:r w:rsidR="00744304">
        <w:rPr>
          <w:color w:val="000000" w:themeColor="text1"/>
        </w:rPr>
        <w:t xml:space="preserve"> (e.g.</w:t>
      </w:r>
      <w:r w:rsidR="003C15DA">
        <w:rPr>
          <w:color w:val="000000" w:themeColor="text1"/>
        </w:rPr>
        <w:t>,</w:t>
      </w:r>
      <w:r w:rsidR="00744304">
        <w:rPr>
          <w:color w:val="000000" w:themeColor="text1"/>
        </w:rPr>
        <w:t xml:space="preserve"> Carroll, 2007).</w:t>
      </w:r>
      <w:r w:rsidR="00145160">
        <w:rPr>
          <w:color w:val="000000" w:themeColor="text1"/>
        </w:rPr>
        <w:t xml:space="preserve"> The symphyseal foramen in </w:t>
      </w:r>
      <w:r w:rsidR="00145160" w:rsidRPr="00097DDE">
        <w:rPr>
          <w:i/>
          <w:iCs/>
          <w:color w:val="000000" w:themeColor="text1"/>
        </w:rPr>
        <w:t xml:space="preserve">F. </w:t>
      </w:r>
      <w:r w:rsidR="000852BD" w:rsidRPr="00097DDE">
        <w:rPr>
          <w:i/>
          <w:iCs/>
          <w:color w:val="000000" w:themeColor="text1"/>
        </w:rPr>
        <w:t>g</w:t>
      </w:r>
      <w:r w:rsidR="00145160" w:rsidRPr="00097DDE">
        <w:rPr>
          <w:i/>
          <w:iCs/>
          <w:color w:val="000000" w:themeColor="text1"/>
        </w:rPr>
        <w:t>ilmorei</w:t>
      </w:r>
      <w:r w:rsidR="00145160">
        <w:rPr>
          <w:color w:val="000000" w:themeColor="text1"/>
        </w:rPr>
        <w:t xml:space="preserve"> resembles a foramen of similar form and position found </w:t>
      </w:r>
      <w:r w:rsidR="00D96F0A">
        <w:rPr>
          <w:color w:val="000000" w:themeColor="text1"/>
        </w:rPr>
        <w:t xml:space="preserve">in </w:t>
      </w:r>
      <w:r w:rsidR="00145160">
        <w:rPr>
          <w:color w:val="000000" w:themeColor="text1"/>
        </w:rPr>
        <w:t>the dentary of all albanerpetontids (</w:t>
      </w:r>
      <w:r w:rsidR="000852BD">
        <w:rPr>
          <w:color w:val="000000" w:themeColor="text1"/>
        </w:rPr>
        <w:t xml:space="preserve">Gardner &amp; </w:t>
      </w:r>
      <w:proofErr w:type="spellStart"/>
      <w:r w:rsidR="000852BD" w:rsidRPr="000852BD">
        <w:rPr>
          <w:color w:val="000000" w:themeColor="text1"/>
        </w:rPr>
        <w:t>Averianov</w:t>
      </w:r>
      <w:proofErr w:type="spellEnd"/>
      <w:r w:rsidR="00145160">
        <w:rPr>
          <w:color w:val="000000" w:themeColor="text1"/>
        </w:rPr>
        <w:t>,</w:t>
      </w:r>
      <w:r w:rsidR="000852BD">
        <w:rPr>
          <w:color w:val="000000" w:themeColor="text1"/>
        </w:rPr>
        <w:t xml:space="preserve"> 1998:p. 459) </w:t>
      </w:r>
      <w:r w:rsidR="00D96F0A">
        <w:rPr>
          <w:color w:val="000000" w:themeColor="text1"/>
        </w:rPr>
        <w:t xml:space="preserve">that </w:t>
      </w:r>
      <w:r w:rsidR="000852BD">
        <w:rPr>
          <w:color w:val="000000" w:themeColor="text1"/>
        </w:rPr>
        <w:t>represents the anterior opening of the Meckelian canal (Sweetman &amp; Gardner, 2012:p. 310).</w:t>
      </w:r>
      <w:r w:rsidR="009D189B">
        <w:rPr>
          <w:color w:val="000000" w:themeColor="text1"/>
        </w:rPr>
        <w:t xml:space="preserve"> </w:t>
      </w:r>
      <w:r w:rsidR="003467F3">
        <w:rPr>
          <w:color w:val="000000" w:themeColor="text1"/>
        </w:rPr>
        <w:t>Ossification of the Meckel’s cartilage at the mandibular symphysis forming the mentomeckelian (as in lissamphibians) is hypothesized to be absent in non-lissamphibian temnospondyls (Bolt, 1991; Carrol</w:t>
      </w:r>
      <w:r w:rsidR="000B6FA2">
        <w:rPr>
          <w:color w:val="000000" w:themeColor="text1"/>
        </w:rPr>
        <w:t>l</w:t>
      </w:r>
      <w:r w:rsidR="003467F3">
        <w:rPr>
          <w:color w:val="000000" w:themeColor="text1"/>
        </w:rPr>
        <w:t>, 2007), and the presence of an open Meckelian canal at the mandibular symphysis of dissorophoids including</w:t>
      </w:r>
      <w:r w:rsidR="003467F3" w:rsidRPr="00662B68">
        <w:rPr>
          <w:i/>
          <w:iCs/>
          <w:color w:val="000000" w:themeColor="text1"/>
        </w:rPr>
        <w:t xml:space="preserve"> Eoscopus lockardi</w:t>
      </w:r>
      <w:r w:rsidR="003467F3">
        <w:rPr>
          <w:color w:val="000000" w:themeColor="text1"/>
        </w:rPr>
        <w:t xml:space="preserve"> (Daly</w:t>
      </w:r>
      <w:r w:rsidR="00483CA6">
        <w:rPr>
          <w:color w:val="000000" w:themeColor="text1"/>
        </w:rPr>
        <w:t>,</w:t>
      </w:r>
      <w:r w:rsidR="003467F3">
        <w:rPr>
          <w:color w:val="000000" w:themeColor="text1"/>
        </w:rPr>
        <w:t xml:space="preserve"> 1994), </w:t>
      </w:r>
      <w:r w:rsidR="003467F3" w:rsidRPr="00662B68">
        <w:rPr>
          <w:i/>
          <w:iCs/>
          <w:color w:val="000000" w:themeColor="text1"/>
        </w:rPr>
        <w:t>Tersomius texensis</w:t>
      </w:r>
      <w:r w:rsidR="003467F3">
        <w:rPr>
          <w:color w:val="000000" w:themeColor="text1"/>
        </w:rPr>
        <w:t xml:space="preserve"> (Carrol</w:t>
      </w:r>
      <w:r w:rsidR="003B7115">
        <w:rPr>
          <w:color w:val="000000" w:themeColor="text1"/>
        </w:rPr>
        <w:t>l</w:t>
      </w:r>
      <w:r w:rsidR="003467F3">
        <w:rPr>
          <w:color w:val="000000" w:themeColor="text1"/>
        </w:rPr>
        <w:t xml:space="preserve">, 1964), and </w:t>
      </w:r>
      <w:r w:rsidR="003467F3" w:rsidRPr="00662B68">
        <w:rPr>
          <w:i/>
          <w:iCs/>
          <w:color w:val="000000" w:themeColor="text1"/>
        </w:rPr>
        <w:t>Doleserpeton</w:t>
      </w:r>
      <w:r w:rsidR="003467F3">
        <w:rPr>
          <w:color w:val="000000" w:themeColor="text1"/>
        </w:rPr>
        <w:t xml:space="preserve"> </w:t>
      </w:r>
      <w:r w:rsidR="00890D09">
        <w:rPr>
          <w:i/>
          <w:iCs/>
          <w:color w:val="000000" w:themeColor="text1"/>
        </w:rPr>
        <w:t xml:space="preserve">annectens </w:t>
      </w:r>
      <w:r w:rsidR="003467F3">
        <w:rPr>
          <w:color w:val="000000" w:themeColor="text1"/>
        </w:rPr>
        <w:t>(Bolt, 1991) suggest</w:t>
      </w:r>
      <w:r w:rsidR="003C15DA">
        <w:rPr>
          <w:color w:val="000000" w:themeColor="text1"/>
        </w:rPr>
        <w:t>s</w:t>
      </w:r>
      <w:r w:rsidR="003467F3">
        <w:rPr>
          <w:color w:val="000000" w:themeColor="text1"/>
        </w:rPr>
        <w:t xml:space="preserve"> conservation of this condition in</w:t>
      </w:r>
      <w:r w:rsidR="000852BD">
        <w:rPr>
          <w:color w:val="000000" w:themeColor="text1"/>
        </w:rPr>
        <w:t xml:space="preserve"> albanerpetontids and</w:t>
      </w:r>
      <w:r w:rsidR="003467F3">
        <w:rPr>
          <w:color w:val="000000" w:themeColor="text1"/>
        </w:rPr>
        <w:t xml:space="preserve"> </w:t>
      </w:r>
      <w:r w:rsidR="00890D09">
        <w:rPr>
          <w:i/>
          <w:iCs/>
          <w:color w:val="000000" w:themeColor="text1"/>
        </w:rPr>
        <w:t>F. gilmorei</w:t>
      </w:r>
      <w:r w:rsidR="007C4AAB">
        <w:rPr>
          <w:i/>
          <w:iCs/>
          <w:color w:val="000000" w:themeColor="text1"/>
        </w:rPr>
        <w:t xml:space="preserve"> </w:t>
      </w:r>
      <w:r w:rsidR="007C4AAB">
        <w:rPr>
          <w:color w:val="000000" w:themeColor="text1"/>
        </w:rPr>
        <w:t>(and therefore possibly in the common ancestor of Lissamphibia)</w:t>
      </w:r>
      <w:r w:rsidR="003467F3">
        <w:rPr>
          <w:color w:val="000000" w:themeColor="text1"/>
        </w:rPr>
        <w:t xml:space="preserve">. Accordingly, this suggests </w:t>
      </w:r>
      <w:r w:rsidR="00DF2613">
        <w:rPr>
          <w:color w:val="000000" w:themeColor="text1"/>
        </w:rPr>
        <w:t xml:space="preserve">independent acquisitions of </w:t>
      </w:r>
      <w:r w:rsidR="00306522">
        <w:rPr>
          <w:color w:val="000000" w:themeColor="text1"/>
        </w:rPr>
        <w:t>the</w:t>
      </w:r>
      <w:r w:rsidR="00CF3A96">
        <w:rPr>
          <w:color w:val="000000" w:themeColor="text1"/>
        </w:rPr>
        <w:t xml:space="preserve"> mento</w:t>
      </w:r>
      <w:r w:rsidR="00FF6857">
        <w:rPr>
          <w:color w:val="000000" w:themeColor="text1"/>
        </w:rPr>
        <w:t xml:space="preserve">meckelian </w:t>
      </w:r>
      <w:r w:rsidR="00607213">
        <w:rPr>
          <w:color w:val="000000" w:themeColor="text1"/>
        </w:rPr>
        <w:t>ossif</w:t>
      </w:r>
      <w:r w:rsidR="007F0F4B">
        <w:rPr>
          <w:color w:val="000000" w:themeColor="text1"/>
        </w:rPr>
        <w:t xml:space="preserve">ication in </w:t>
      </w:r>
      <w:r w:rsidR="000852BD">
        <w:rPr>
          <w:color w:val="000000" w:themeColor="text1"/>
        </w:rPr>
        <w:t xml:space="preserve">batrachians </w:t>
      </w:r>
      <w:r w:rsidR="00B33A3A">
        <w:rPr>
          <w:color w:val="000000" w:themeColor="text1"/>
        </w:rPr>
        <w:t xml:space="preserve">and </w:t>
      </w:r>
      <w:r w:rsidR="00ED783D">
        <w:rPr>
          <w:color w:val="000000" w:themeColor="text1"/>
        </w:rPr>
        <w:t xml:space="preserve">the common ancestor of </w:t>
      </w:r>
      <w:r w:rsidR="00890D09">
        <w:rPr>
          <w:i/>
          <w:iCs/>
          <w:color w:val="000000" w:themeColor="text1"/>
        </w:rPr>
        <w:t>E. micropodia</w:t>
      </w:r>
      <w:r w:rsidR="00890D09">
        <w:rPr>
          <w:color w:val="000000" w:themeColor="text1"/>
        </w:rPr>
        <w:t xml:space="preserve"> </w:t>
      </w:r>
      <w:r w:rsidR="00C170A1">
        <w:rPr>
          <w:color w:val="000000" w:themeColor="text1"/>
        </w:rPr>
        <w:t xml:space="preserve">and </w:t>
      </w:r>
      <w:r w:rsidR="008B5D07">
        <w:rPr>
          <w:color w:val="000000" w:themeColor="text1"/>
        </w:rPr>
        <w:t>gym</w:t>
      </w:r>
      <w:r w:rsidR="00331A02">
        <w:rPr>
          <w:color w:val="000000" w:themeColor="text1"/>
        </w:rPr>
        <w:t>nophionans</w:t>
      </w:r>
      <w:r w:rsidR="0014409C">
        <w:rPr>
          <w:color w:val="000000" w:themeColor="text1"/>
        </w:rPr>
        <w:t xml:space="preserve"> (Fig. 3)</w:t>
      </w:r>
      <w:r w:rsidR="00FD3A14">
        <w:rPr>
          <w:color w:val="000000" w:themeColor="text1"/>
        </w:rPr>
        <w:t>.</w:t>
      </w:r>
    </w:p>
    <w:p w14:paraId="5116F8ED" w14:textId="72B0F17E" w:rsidR="003671F8" w:rsidRDefault="00E93058" w:rsidP="00755DFC">
      <w:pPr>
        <w:ind w:firstLine="720"/>
        <w:rPr>
          <w:color w:val="000000" w:themeColor="text1"/>
        </w:rPr>
      </w:pPr>
      <w:r>
        <w:rPr>
          <w:color w:val="000000" w:themeColor="text1"/>
        </w:rPr>
        <w:t>A</w:t>
      </w:r>
      <w:r w:rsidRPr="00062F7E">
        <w:rPr>
          <w:color w:val="000000" w:themeColor="text1"/>
        </w:rPr>
        <w:t xml:space="preserve"> fossa confluent with the symphyseal foramen bisects the symphyseal surface between the anterior termini of the </w:t>
      </w:r>
      <w:r>
        <w:rPr>
          <w:color w:val="000000" w:themeColor="text1"/>
        </w:rPr>
        <w:t>dentary</w:t>
      </w:r>
      <w:r w:rsidRPr="00062F7E">
        <w:rPr>
          <w:color w:val="000000" w:themeColor="text1"/>
        </w:rPr>
        <w:t xml:space="preserve"> and </w:t>
      </w:r>
      <w:r>
        <w:rPr>
          <w:color w:val="000000" w:themeColor="text1"/>
        </w:rPr>
        <w:t>adsymphyseal</w:t>
      </w:r>
      <w:r w:rsidRPr="00062F7E">
        <w:rPr>
          <w:color w:val="000000" w:themeColor="text1"/>
        </w:rPr>
        <w:t xml:space="preserve"> tooth rows </w:t>
      </w:r>
      <w:r>
        <w:rPr>
          <w:color w:val="000000" w:themeColor="text1"/>
        </w:rPr>
        <w:t>a</w:t>
      </w:r>
      <w:r w:rsidRPr="00062F7E">
        <w:rPr>
          <w:color w:val="000000" w:themeColor="text1"/>
        </w:rPr>
        <w:t xml:space="preserve">t </w:t>
      </w:r>
      <w:r w:rsidR="003671F8" w:rsidRPr="00062F7E">
        <w:rPr>
          <w:color w:val="000000" w:themeColor="text1"/>
        </w:rPr>
        <w:t>the mandibular symphysi</w:t>
      </w:r>
      <w:r w:rsidR="003671F8">
        <w:rPr>
          <w:color w:val="000000" w:themeColor="text1"/>
        </w:rPr>
        <w:t>s</w:t>
      </w:r>
      <w:r w:rsidR="003671F8" w:rsidRPr="00062F7E">
        <w:rPr>
          <w:color w:val="000000" w:themeColor="text1"/>
        </w:rPr>
        <w:t>, forming medial and lateral processes</w:t>
      </w:r>
      <w:r w:rsidR="0014409C">
        <w:rPr>
          <w:color w:val="000000" w:themeColor="text1"/>
        </w:rPr>
        <w:t xml:space="preserve"> (Fig. 1, Extended Data Fig. 3)</w:t>
      </w:r>
      <w:r w:rsidR="003671F8" w:rsidRPr="00062F7E">
        <w:rPr>
          <w:color w:val="000000" w:themeColor="text1"/>
        </w:rPr>
        <w:t xml:space="preserve">. The presence of a symphyseal foramen and confluent fossa bisecting the anteroposteriorly flared mandibular symphysis in </w:t>
      </w:r>
      <w:r w:rsidR="003671F8" w:rsidRPr="00062F7E">
        <w:rPr>
          <w:i/>
          <w:iCs/>
          <w:color w:val="000000" w:themeColor="text1"/>
        </w:rPr>
        <w:t>Funcusvermis</w:t>
      </w:r>
      <w:r w:rsidR="003671F8" w:rsidRPr="00062F7E">
        <w:rPr>
          <w:color w:val="000000" w:themeColor="text1"/>
        </w:rPr>
        <w:t xml:space="preserve"> </w:t>
      </w:r>
      <w:r w:rsidR="00315E7A">
        <w:rPr>
          <w:i/>
          <w:iCs/>
          <w:color w:val="000000" w:themeColor="text1"/>
        </w:rPr>
        <w:t xml:space="preserve">gilmorei </w:t>
      </w:r>
      <w:r w:rsidR="003671F8" w:rsidRPr="00062F7E">
        <w:rPr>
          <w:color w:val="000000" w:themeColor="text1"/>
        </w:rPr>
        <w:t xml:space="preserve">differs from the mandibular symphysis of </w:t>
      </w:r>
      <w:r w:rsidR="003671F8" w:rsidRPr="00062F7E">
        <w:rPr>
          <w:i/>
          <w:iCs/>
          <w:color w:val="000000" w:themeColor="text1"/>
        </w:rPr>
        <w:t>Eocaecilia</w:t>
      </w:r>
      <w:r w:rsidR="00315E7A">
        <w:rPr>
          <w:i/>
          <w:iCs/>
          <w:color w:val="000000" w:themeColor="text1"/>
        </w:rPr>
        <w:t xml:space="preserve"> micropodia</w:t>
      </w:r>
      <w:r w:rsidR="003671F8" w:rsidRPr="00062F7E">
        <w:rPr>
          <w:color w:val="000000" w:themeColor="text1"/>
        </w:rPr>
        <w:t xml:space="preserve">, </w:t>
      </w:r>
      <w:r w:rsidR="003671F8" w:rsidRPr="00062F7E">
        <w:rPr>
          <w:i/>
          <w:iCs/>
          <w:color w:val="000000" w:themeColor="text1"/>
        </w:rPr>
        <w:t>Rubricacaecilia</w:t>
      </w:r>
      <w:r w:rsidR="00315E7A">
        <w:rPr>
          <w:i/>
          <w:iCs/>
          <w:color w:val="000000" w:themeColor="text1"/>
        </w:rPr>
        <w:t xml:space="preserve"> monbaroni</w:t>
      </w:r>
      <w:r w:rsidR="003671F8" w:rsidRPr="00062F7E">
        <w:rPr>
          <w:color w:val="000000" w:themeColor="text1"/>
        </w:rPr>
        <w:t xml:space="preserve">, and gymnophionans, in which the mandibular symphysis is fully closed and exhibits no anterior expansion or processes. The medial and lateral processes at the mandibular symphysis of </w:t>
      </w:r>
      <w:r w:rsidR="003671F8" w:rsidRPr="00062F7E">
        <w:rPr>
          <w:i/>
          <w:iCs/>
          <w:color w:val="000000" w:themeColor="text1"/>
        </w:rPr>
        <w:t>F</w:t>
      </w:r>
      <w:r w:rsidR="00315E7A">
        <w:rPr>
          <w:i/>
          <w:iCs/>
          <w:color w:val="000000" w:themeColor="text1"/>
        </w:rPr>
        <w:t>. gilmorei</w:t>
      </w:r>
      <w:r w:rsidR="003671F8" w:rsidRPr="00062F7E">
        <w:rPr>
          <w:color w:val="000000" w:themeColor="text1"/>
        </w:rPr>
        <w:t xml:space="preserve"> resemble</w:t>
      </w:r>
      <w:r w:rsidR="003671F8">
        <w:rPr>
          <w:color w:val="000000" w:themeColor="text1"/>
        </w:rPr>
        <w:t>s</w:t>
      </w:r>
      <w:r w:rsidR="003467F3">
        <w:rPr>
          <w:color w:val="000000" w:themeColor="text1"/>
        </w:rPr>
        <w:t xml:space="preserve"> the condition of </w:t>
      </w:r>
      <w:r w:rsidR="003467F3" w:rsidRPr="0005539F">
        <w:rPr>
          <w:i/>
          <w:iCs/>
          <w:color w:val="000000" w:themeColor="text1"/>
        </w:rPr>
        <w:t>Doleserpeton</w:t>
      </w:r>
      <w:r w:rsidR="00315E7A">
        <w:rPr>
          <w:i/>
          <w:iCs/>
          <w:color w:val="000000" w:themeColor="text1"/>
        </w:rPr>
        <w:t xml:space="preserve"> annectens</w:t>
      </w:r>
      <w:r w:rsidR="003467F3">
        <w:rPr>
          <w:color w:val="000000" w:themeColor="text1"/>
        </w:rPr>
        <w:t xml:space="preserve"> (Sigurdsen </w:t>
      </w:r>
      <w:r w:rsidR="005A544C">
        <w:rPr>
          <w:color w:val="000000" w:themeColor="text1"/>
        </w:rPr>
        <w:t>&amp;</w:t>
      </w:r>
      <w:r w:rsidR="003467F3">
        <w:rPr>
          <w:color w:val="000000" w:themeColor="text1"/>
        </w:rPr>
        <w:t xml:space="preserve"> Bolt, 2010) and</w:t>
      </w:r>
      <w:r w:rsidR="003671F8" w:rsidRPr="00062F7E">
        <w:rPr>
          <w:color w:val="000000" w:themeColor="text1"/>
        </w:rPr>
        <w:t xml:space="preserve"> the symphyseal prongs of albanerpetontids (e.g., </w:t>
      </w:r>
      <w:r w:rsidR="007C4AAB">
        <w:rPr>
          <w:color w:val="000000" w:themeColor="text1"/>
        </w:rPr>
        <w:t xml:space="preserve">Gardner </w:t>
      </w:r>
      <w:r w:rsidR="00EB1FC8">
        <w:rPr>
          <w:color w:val="000000" w:themeColor="text1"/>
        </w:rPr>
        <w:t>&amp;</w:t>
      </w:r>
      <w:r w:rsidR="007C4AAB">
        <w:rPr>
          <w:color w:val="000000" w:themeColor="text1"/>
        </w:rPr>
        <w:t xml:space="preserve"> </w:t>
      </w:r>
      <w:proofErr w:type="spellStart"/>
      <w:r w:rsidR="007C4AAB">
        <w:rPr>
          <w:color w:val="000000" w:themeColor="text1"/>
        </w:rPr>
        <w:t>Averianov</w:t>
      </w:r>
      <w:proofErr w:type="spellEnd"/>
      <w:r w:rsidR="007C4AAB">
        <w:rPr>
          <w:color w:val="000000" w:themeColor="text1"/>
        </w:rPr>
        <w:t xml:space="preserve">, 1998; </w:t>
      </w:r>
      <w:r w:rsidR="003671F8" w:rsidRPr="00062F7E">
        <w:rPr>
          <w:color w:val="000000" w:themeColor="text1"/>
        </w:rPr>
        <w:t>Gardner, 200</w:t>
      </w:r>
      <w:r w:rsidR="003671F8">
        <w:rPr>
          <w:color w:val="000000" w:themeColor="text1"/>
        </w:rPr>
        <w:t>0</w:t>
      </w:r>
      <w:r w:rsidR="00B6582B">
        <w:rPr>
          <w:color w:val="000000" w:themeColor="text1"/>
        </w:rPr>
        <w:t>, 2001</w:t>
      </w:r>
      <w:r w:rsidR="003671F8">
        <w:rPr>
          <w:color w:val="000000" w:themeColor="text1"/>
        </w:rPr>
        <w:t>;</w:t>
      </w:r>
      <w:r w:rsidR="007C4AAB">
        <w:rPr>
          <w:color w:val="000000" w:themeColor="text1"/>
        </w:rPr>
        <w:t xml:space="preserve"> Gardner et al., 2003</w:t>
      </w:r>
      <w:r w:rsidR="00EB1FC8">
        <w:rPr>
          <w:color w:val="000000" w:themeColor="text1"/>
        </w:rPr>
        <w:t>; Matsumoto &amp; Evans, 2018;</w:t>
      </w:r>
      <w:r w:rsidR="003671F8">
        <w:rPr>
          <w:color w:val="000000" w:themeColor="text1"/>
        </w:rPr>
        <w:t xml:space="preserve"> Daza, 2020</w:t>
      </w:r>
      <w:r w:rsidR="003671F8" w:rsidRPr="00062F7E">
        <w:rPr>
          <w:color w:val="000000" w:themeColor="text1"/>
        </w:rPr>
        <w:t xml:space="preserve">), although they are less pronounced in </w:t>
      </w:r>
      <w:r w:rsidR="00315E7A">
        <w:rPr>
          <w:i/>
          <w:iCs/>
          <w:color w:val="000000" w:themeColor="text1"/>
        </w:rPr>
        <w:t xml:space="preserve">F. gilmorei </w:t>
      </w:r>
      <w:r w:rsidR="003467F3">
        <w:rPr>
          <w:color w:val="000000" w:themeColor="text1"/>
        </w:rPr>
        <w:t xml:space="preserve">and </w:t>
      </w:r>
      <w:r w:rsidR="00315E7A">
        <w:rPr>
          <w:i/>
          <w:iCs/>
          <w:color w:val="000000" w:themeColor="text1"/>
        </w:rPr>
        <w:t>D. annectens</w:t>
      </w:r>
      <w:r w:rsidR="003671F8">
        <w:rPr>
          <w:color w:val="000000" w:themeColor="text1"/>
        </w:rPr>
        <w:t xml:space="preserve">, opening </w:t>
      </w:r>
      <w:r w:rsidR="003671F8">
        <w:rPr>
          <w:color w:val="000000" w:themeColor="text1"/>
        </w:rPr>
        <w:lastRenderedPageBreak/>
        <w:t xml:space="preserve">the possibility that this feature is present in the common ancestor of </w:t>
      </w:r>
      <w:r w:rsidR="003467F3">
        <w:rPr>
          <w:color w:val="000000" w:themeColor="text1"/>
        </w:rPr>
        <w:t>Lissamphibia</w:t>
      </w:r>
      <w:r w:rsidR="003671F8">
        <w:rPr>
          <w:color w:val="000000" w:themeColor="text1"/>
        </w:rPr>
        <w:t>, conserved in early gymnophionomorphs, and lost in batrachians</w:t>
      </w:r>
      <w:r w:rsidR="003467F3">
        <w:rPr>
          <w:color w:val="000000" w:themeColor="text1"/>
        </w:rPr>
        <w:t xml:space="preserve"> and later gymnophionomorphs. </w:t>
      </w:r>
    </w:p>
    <w:p w14:paraId="4231B65A" w14:textId="77777777" w:rsidR="003671F8" w:rsidRPr="00062F7E" w:rsidRDefault="003671F8" w:rsidP="00662B68">
      <w:pPr>
        <w:rPr>
          <w:color w:val="000000" w:themeColor="text1"/>
        </w:rPr>
      </w:pPr>
    </w:p>
    <w:p w14:paraId="082D6FBE" w14:textId="19091F00" w:rsidR="003671F8" w:rsidRDefault="003671F8" w:rsidP="003671F8">
      <w:pPr>
        <w:rPr>
          <w:color w:val="000000" w:themeColor="text1"/>
        </w:rPr>
      </w:pPr>
      <w:r w:rsidRPr="00623851">
        <w:rPr>
          <w:i/>
          <w:iCs/>
          <w:color w:val="000000" w:themeColor="text1"/>
        </w:rPr>
        <w:t>Homology of the gymnophionomorph lingual tooth row.</w:t>
      </w:r>
      <w:r>
        <w:rPr>
          <w:color w:val="000000" w:themeColor="text1"/>
        </w:rPr>
        <w:t xml:space="preserve"> </w:t>
      </w:r>
      <w:r w:rsidRPr="00062F7E">
        <w:rPr>
          <w:color w:val="000000" w:themeColor="text1"/>
        </w:rPr>
        <w:t>The homology of the gymnophionomorph lingual tooth row has remained uncertain due to the conflicting topologies of gymnophionomorph relationships to other tetrapod groups</w:t>
      </w:r>
      <w:r>
        <w:rPr>
          <w:color w:val="000000" w:themeColor="text1"/>
        </w:rPr>
        <w:t>, as well as uncertainty in the homology of ossifications forming the pseudodentary in living caecilians</w:t>
      </w:r>
      <w:r w:rsidRPr="00062F7E">
        <w:rPr>
          <w:color w:val="000000" w:themeColor="text1"/>
        </w:rPr>
        <w:t xml:space="preserve">. Developmental studies of the gymnophionan </w:t>
      </w:r>
      <w:r>
        <w:rPr>
          <w:color w:val="000000" w:themeColor="text1"/>
        </w:rPr>
        <w:t>mandible</w:t>
      </w:r>
      <w:r w:rsidRPr="00062F7E">
        <w:rPr>
          <w:color w:val="000000" w:themeColor="text1"/>
        </w:rPr>
        <w:t xml:space="preserve"> indicate the presence of a separate tooth bearing </w:t>
      </w:r>
      <w:r w:rsidRPr="00623851">
        <w:rPr>
          <w:i/>
          <w:iCs/>
          <w:color w:val="000000" w:themeColor="text1"/>
        </w:rPr>
        <w:t xml:space="preserve">anlage </w:t>
      </w:r>
      <w:r w:rsidRPr="00062F7E">
        <w:rPr>
          <w:color w:val="000000" w:themeColor="text1"/>
        </w:rPr>
        <w:t xml:space="preserve">medial to the anterior end of the dentary </w:t>
      </w:r>
      <w:r w:rsidRPr="00623851">
        <w:rPr>
          <w:i/>
          <w:iCs/>
          <w:color w:val="000000" w:themeColor="text1"/>
        </w:rPr>
        <w:t>anlage</w:t>
      </w:r>
      <w:r w:rsidRPr="00062F7E">
        <w:rPr>
          <w:color w:val="000000" w:themeColor="text1"/>
        </w:rPr>
        <w:t xml:space="preserve"> in embryonic stages; later in development this bone </w:t>
      </w:r>
      <w:proofErr w:type="spellStart"/>
      <w:r>
        <w:rPr>
          <w:color w:val="000000" w:themeColor="text1"/>
        </w:rPr>
        <w:t>coossifies</w:t>
      </w:r>
      <w:proofErr w:type="spellEnd"/>
      <w:r w:rsidRPr="00062F7E">
        <w:rPr>
          <w:color w:val="000000" w:themeColor="text1"/>
        </w:rPr>
        <w:t xml:space="preserve"> to the medial surface of the dentary at the mandibular symphysis, forming the lingual row of dentition (</w:t>
      </w:r>
      <w:r w:rsidR="00D92E14" w:rsidRPr="00062F7E">
        <w:rPr>
          <w:color w:val="000000" w:themeColor="text1"/>
        </w:rPr>
        <w:t>Müller</w:t>
      </w:r>
      <w:r w:rsidRPr="00062F7E">
        <w:rPr>
          <w:color w:val="000000" w:themeColor="text1"/>
        </w:rPr>
        <w:t xml:space="preserve"> et al., 2005</w:t>
      </w:r>
      <w:r w:rsidR="003467F3">
        <w:rPr>
          <w:color w:val="000000" w:themeColor="text1"/>
        </w:rPr>
        <w:t xml:space="preserve">; </w:t>
      </w:r>
      <w:r w:rsidR="0040236C" w:rsidRPr="00062F7E">
        <w:rPr>
          <w:color w:val="000000" w:themeColor="text1"/>
        </w:rPr>
        <w:t>Müller</w:t>
      </w:r>
      <w:r w:rsidR="003467F3">
        <w:rPr>
          <w:color w:val="000000" w:themeColor="text1"/>
        </w:rPr>
        <w:t xml:space="preserve">, 2006; </w:t>
      </w:r>
      <w:proofErr w:type="spellStart"/>
      <w:r w:rsidR="003467F3">
        <w:rPr>
          <w:color w:val="000000" w:themeColor="text1"/>
        </w:rPr>
        <w:t>Theska</w:t>
      </w:r>
      <w:proofErr w:type="spellEnd"/>
      <w:r w:rsidR="003467F3">
        <w:rPr>
          <w:color w:val="000000" w:themeColor="text1"/>
        </w:rPr>
        <w:t xml:space="preserve"> et al., 2019</w:t>
      </w:r>
      <w:r w:rsidRPr="00062F7E">
        <w:rPr>
          <w:color w:val="000000" w:themeColor="text1"/>
        </w:rPr>
        <w:t xml:space="preserve">). </w:t>
      </w:r>
      <w:r>
        <w:rPr>
          <w:color w:val="000000" w:themeColor="text1"/>
        </w:rPr>
        <w:t xml:space="preserve">More specifically, it has been assumed that this is coronoid 1 (the anteriormost coronoid in temnospondyls) based on the position of this element (see discussion </w:t>
      </w:r>
      <w:r w:rsidR="00755DFC">
        <w:rPr>
          <w:color w:val="000000" w:themeColor="text1"/>
        </w:rPr>
        <w:t>by</w:t>
      </w:r>
      <w:r>
        <w:rPr>
          <w:color w:val="000000" w:themeColor="text1"/>
        </w:rPr>
        <w:t xml:space="preserve"> </w:t>
      </w:r>
      <w:r w:rsidR="00C16C69" w:rsidRPr="00062F7E">
        <w:rPr>
          <w:color w:val="000000" w:themeColor="text1"/>
        </w:rPr>
        <w:t>Müller</w:t>
      </w:r>
      <w:r>
        <w:rPr>
          <w:color w:val="000000" w:themeColor="text1"/>
        </w:rPr>
        <w:t xml:space="preserve"> et al., 2005; Pardo et al., 2017</w:t>
      </w:r>
      <w:r w:rsidR="00DA2847">
        <w:rPr>
          <w:color w:val="000000" w:themeColor="text1"/>
        </w:rPr>
        <w:t>a</w:t>
      </w:r>
      <w:r>
        <w:rPr>
          <w:color w:val="000000" w:themeColor="text1"/>
        </w:rPr>
        <w:t xml:space="preserve">). If this interpretation is correct, this would place a premium on identifying fossil tetrapods with a single row of teeth on coronoid 1, as in </w:t>
      </w:r>
      <w:r>
        <w:rPr>
          <w:i/>
          <w:iCs/>
          <w:color w:val="000000" w:themeColor="text1"/>
        </w:rPr>
        <w:t xml:space="preserve">Chinlestegophis jenkinsi </w:t>
      </w:r>
      <w:r>
        <w:rPr>
          <w:color w:val="000000" w:themeColor="text1"/>
        </w:rPr>
        <w:t xml:space="preserve">(but also </w:t>
      </w:r>
      <w:r w:rsidR="003C15DA">
        <w:rPr>
          <w:color w:val="000000" w:themeColor="text1"/>
        </w:rPr>
        <w:t xml:space="preserve">in </w:t>
      </w:r>
      <w:r>
        <w:rPr>
          <w:color w:val="000000" w:themeColor="text1"/>
        </w:rPr>
        <w:t xml:space="preserve">a number of other unrelated temnospondyls). It would also offer a line of evidence against a monophyletic origin </w:t>
      </w:r>
      <w:r w:rsidR="00755DFC">
        <w:rPr>
          <w:color w:val="000000" w:themeColor="text1"/>
        </w:rPr>
        <w:t xml:space="preserve">of caecilians </w:t>
      </w:r>
      <w:r>
        <w:rPr>
          <w:color w:val="000000" w:themeColor="text1"/>
        </w:rPr>
        <w:t xml:space="preserve">within amphibamiform dissorophoids, as all dissorophoids retain the plesiomorphic shagreen of denticles on the coronoid series. </w:t>
      </w:r>
    </w:p>
    <w:p w14:paraId="522485B8" w14:textId="59A7A9D9" w:rsidR="003671F8" w:rsidRPr="003E6F0A" w:rsidRDefault="003671F8" w:rsidP="003671F8">
      <w:pPr>
        <w:ind w:firstLine="720"/>
        <w:rPr>
          <w:color w:val="000000" w:themeColor="text1"/>
        </w:rPr>
      </w:pPr>
      <w:r>
        <w:rPr>
          <w:color w:val="000000" w:themeColor="text1"/>
        </w:rPr>
        <w:t>An alternative consideration for the homologue of the element bearing the gymnophionomorph lingual tooth row is another element, sometimes considered part of the coronoid series but not bearing the coronoid name: the</w:t>
      </w:r>
      <w:r w:rsidR="00016D84">
        <w:rPr>
          <w:color w:val="000000" w:themeColor="text1"/>
        </w:rPr>
        <w:t xml:space="preserve"> </w:t>
      </w:r>
      <w:r w:rsidR="00B61A9C">
        <w:rPr>
          <w:color w:val="000000" w:themeColor="text1"/>
        </w:rPr>
        <w:t>adsymphyseal</w:t>
      </w:r>
      <w:r w:rsidR="004E38E5">
        <w:rPr>
          <w:color w:val="000000" w:themeColor="text1"/>
        </w:rPr>
        <w:t xml:space="preserve"> (sometimes termed the ‘parasymphyseal’ or the ‘parasymphyseal plate’)</w:t>
      </w:r>
      <w:r>
        <w:rPr>
          <w:color w:val="000000" w:themeColor="text1"/>
        </w:rPr>
        <w:t>. The presence of a</w:t>
      </w:r>
      <w:r w:rsidR="00604C31">
        <w:rPr>
          <w:color w:val="000000" w:themeColor="text1"/>
        </w:rPr>
        <w:t>n a</w:t>
      </w:r>
      <w:r w:rsidR="00686D07">
        <w:rPr>
          <w:color w:val="000000" w:themeColor="text1"/>
        </w:rPr>
        <w:t xml:space="preserve">dsymphyseal </w:t>
      </w:r>
      <w:r>
        <w:rPr>
          <w:color w:val="000000" w:themeColor="text1"/>
        </w:rPr>
        <w:t xml:space="preserve">bearing an organized row of teeth is derived in stem tetrapods (e.g., Ahlberg &amp; Clack, 1998; Bolt </w:t>
      </w:r>
      <w:r w:rsidR="00755DFC">
        <w:rPr>
          <w:color w:val="000000" w:themeColor="text1"/>
        </w:rPr>
        <w:t xml:space="preserve">&amp; </w:t>
      </w:r>
      <w:r>
        <w:rPr>
          <w:color w:val="000000" w:themeColor="text1"/>
        </w:rPr>
        <w:t>Lombard, 2001). It occurs at and participates in the mandibular symphysis, separating coronoid 1 from this region, and usually bears dentition in some form, ranging from a patch of denticles to a continuous tooth row with enlarged ‘fangs.</w:t>
      </w:r>
      <w:r w:rsidR="000B6FA2">
        <w:rPr>
          <w:color w:val="000000" w:themeColor="text1"/>
        </w:rPr>
        <w:t>’</w:t>
      </w:r>
      <w:r>
        <w:rPr>
          <w:color w:val="000000" w:themeColor="text1"/>
        </w:rPr>
        <w:t xml:space="preserve"> It is classified as part of the coronoid series by some workers based on its position and similar dentition to the coronoids proper (e.g., Jessen, 1965; Shishkin, </w:t>
      </w:r>
      <w:r w:rsidR="00B032A1">
        <w:rPr>
          <w:color w:val="000000" w:themeColor="text1"/>
        </w:rPr>
        <w:t xml:space="preserve">1967; </w:t>
      </w:r>
      <w:r>
        <w:rPr>
          <w:color w:val="000000" w:themeColor="text1"/>
        </w:rPr>
        <w:t>1973;</w:t>
      </w:r>
      <w:r w:rsidR="00B032A1">
        <w:rPr>
          <w:color w:val="000000" w:themeColor="text1"/>
        </w:rPr>
        <w:t xml:space="preserve"> </w:t>
      </w:r>
      <w:r>
        <w:rPr>
          <w:color w:val="000000" w:themeColor="text1"/>
        </w:rPr>
        <w:t xml:space="preserve">Bolt &amp; Lombard, 2001, 2006). The presence of the </w:t>
      </w:r>
      <w:r w:rsidR="00FF5D6C">
        <w:rPr>
          <w:color w:val="000000" w:themeColor="text1"/>
        </w:rPr>
        <w:t>adsym</w:t>
      </w:r>
      <w:r w:rsidR="00A23F7A">
        <w:rPr>
          <w:color w:val="000000" w:themeColor="text1"/>
        </w:rPr>
        <w:t>physeal</w:t>
      </w:r>
      <w:r>
        <w:rPr>
          <w:color w:val="000000" w:themeColor="text1"/>
        </w:rPr>
        <w:t xml:space="preserve"> as an ossification separate from the dentary is exceedingly rare in crown tetrapods and was historically used as a feature to exclude temnospondyls from consideration in the identification of isolated lower jaws in late Carboniferous-early Permian deposits (e.g., Milner &amp; Lindsay, 1998). However, a</w:t>
      </w:r>
      <w:r w:rsidR="00B6747C">
        <w:rPr>
          <w:color w:val="000000" w:themeColor="text1"/>
        </w:rPr>
        <w:t>n</w:t>
      </w:r>
      <w:r>
        <w:rPr>
          <w:color w:val="000000" w:themeColor="text1"/>
        </w:rPr>
        <w:t xml:space="preserve"> adsymphyseal</w:t>
      </w:r>
      <w:r w:rsidR="00B6747C">
        <w:rPr>
          <w:color w:val="000000" w:themeColor="text1"/>
        </w:rPr>
        <w:t xml:space="preserve"> </w:t>
      </w:r>
      <w:r>
        <w:rPr>
          <w:color w:val="000000" w:themeColor="text1"/>
        </w:rPr>
        <w:t>has been identified in at least two dissorophids (Anderson, 2005; Reisz et al., 2009; Anderson et al., 2020) and possibly in an amphibamiform (Anderson et al., 2008</w:t>
      </w:r>
      <w:r w:rsidR="007B0A3C">
        <w:rPr>
          <w:color w:val="000000" w:themeColor="text1"/>
        </w:rPr>
        <w:t>a</w:t>
      </w:r>
      <w:r>
        <w:rPr>
          <w:color w:val="000000" w:themeColor="text1"/>
        </w:rPr>
        <w:t xml:space="preserve">), a plagiosaurid (Damiani et al., 2009), </w:t>
      </w:r>
      <w:r w:rsidRPr="00FF1DE0">
        <w:rPr>
          <w:color w:val="000000" w:themeColor="text1"/>
        </w:rPr>
        <w:t>and a trematosaur (Novikov, 2012a); this is a wide taxon bracket encompassing the majority of Rhachitomi. Furthermore, Shis</w:t>
      </w:r>
      <w:r w:rsidR="00F25762">
        <w:rPr>
          <w:color w:val="000000" w:themeColor="text1"/>
        </w:rPr>
        <w:t>h</w:t>
      </w:r>
      <w:r w:rsidRPr="00FF1DE0">
        <w:rPr>
          <w:color w:val="000000" w:themeColor="text1"/>
        </w:rPr>
        <w:t>kin and Sulej (2009) reported the presence of a</w:t>
      </w:r>
      <w:r w:rsidR="00B1043F">
        <w:rPr>
          <w:color w:val="000000" w:themeColor="text1"/>
        </w:rPr>
        <w:t xml:space="preserve">n </w:t>
      </w:r>
      <w:proofErr w:type="spellStart"/>
      <w:r w:rsidR="00B1043F">
        <w:rPr>
          <w:color w:val="000000" w:themeColor="text1"/>
        </w:rPr>
        <w:t>adsym</w:t>
      </w:r>
      <w:r w:rsidR="00A7666C">
        <w:rPr>
          <w:color w:val="000000" w:themeColor="text1"/>
        </w:rPr>
        <w:t>physeal</w:t>
      </w:r>
      <w:proofErr w:type="spellEnd"/>
      <w:r w:rsidRPr="00FF1DE0">
        <w:rPr>
          <w:color w:val="000000" w:themeColor="text1"/>
        </w:rPr>
        <w:t xml:space="preserve"> incompletely </w:t>
      </w:r>
      <w:proofErr w:type="spellStart"/>
      <w:r w:rsidRPr="00FF1DE0">
        <w:rPr>
          <w:color w:val="000000" w:themeColor="text1"/>
        </w:rPr>
        <w:t>coo</w:t>
      </w:r>
      <w:r w:rsidR="007E00AB">
        <w:rPr>
          <w:color w:val="000000" w:themeColor="text1"/>
        </w:rPr>
        <w:t>s</w:t>
      </w:r>
      <w:r w:rsidRPr="00FF1DE0">
        <w:rPr>
          <w:color w:val="000000" w:themeColor="text1"/>
        </w:rPr>
        <w:t>sified</w:t>
      </w:r>
      <w:proofErr w:type="spellEnd"/>
      <w:r w:rsidRPr="00FF1DE0">
        <w:rPr>
          <w:color w:val="000000" w:themeColor="text1"/>
        </w:rPr>
        <w:t xml:space="preserve"> to the dentary in juvenile specimens of the </w:t>
      </w:r>
      <w:proofErr w:type="spellStart"/>
      <w:r w:rsidRPr="00FF1DE0">
        <w:rPr>
          <w:color w:val="000000" w:themeColor="text1"/>
        </w:rPr>
        <w:t>capitosaurid</w:t>
      </w:r>
      <w:proofErr w:type="spellEnd"/>
      <w:r w:rsidRPr="00FF1DE0">
        <w:rPr>
          <w:color w:val="000000" w:themeColor="text1"/>
        </w:rPr>
        <w:t xml:space="preserve"> </w:t>
      </w:r>
      <w:proofErr w:type="spellStart"/>
      <w:r w:rsidRPr="00FF1DE0">
        <w:rPr>
          <w:i/>
          <w:iCs/>
          <w:color w:val="000000" w:themeColor="text1"/>
        </w:rPr>
        <w:t>Parotosuchus</w:t>
      </w:r>
      <w:proofErr w:type="spellEnd"/>
      <w:r w:rsidRPr="00FF1DE0">
        <w:rPr>
          <w:i/>
          <w:iCs/>
          <w:color w:val="000000" w:themeColor="text1"/>
        </w:rPr>
        <w:t xml:space="preserve"> </w:t>
      </w:r>
      <w:proofErr w:type="spellStart"/>
      <w:r w:rsidRPr="00FF1DE0">
        <w:rPr>
          <w:i/>
          <w:iCs/>
          <w:color w:val="000000" w:themeColor="text1"/>
        </w:rPr>
        <w:t>speleus</w:t>
      </w:r>
      <w:proofErr w:type="spellEnd"/>
      <w:r w:rsidRPr="00FF1DE0">
        <w:rPr>
          <w:color w:val="000000" w:themeColor="text1"/>
        </w:rPr>
        <w:t xml:space="preserve">, suggesting its homology to the </w:t>
      </w:r>
      <w:proofErr w:type="spellStart"/>
      <w:r w:rsidR="00074C9D">
        <w:rPr>
          <w:color w:val="000000" w:themeColor="text1"/>
        </w:rPr>
        <w:t>adsymphyseal</w:t>
      </w:r>
      <w:proofErr w:type="spellEnd"/>
      <w:r w:rsidRPr="00FF1DE0">
        <w:rPr>
          <w:color w:val="000000" w:themeColor="text1"/>
        </w:rPr>
        <w:t xml:space="preserve"> in stem tetrapods and indicating that the </w:t>
      </w:r>
      <w:r w:rsidR="00013672">
        <w:rPr>
          <w:color w:val="000000" w:themeColor="text1"/>
        </w:rPr>
        <w:t>adsymphy</w:t>
      </w:r>
      <w:r w:rsidR="00EC792C">
        <w:rPr>
          <w:color w:val="000000" w:themeColor="text1"/>
        </w:rPr>
        <w:t>seal</w:t>
      </w:r>
      <w:r w:rsidRPr="00FF1DE0">
        <w:rPr>
          <w:color w:val="000000" w:themeColor="text1"/>
        </w:rPr>
        <w:t xml:space="preserve"> tooth row of temnospondyls may </w:t>
      </w:r>
      <w:proofErr w:type="spellStart"/>
      <w:r w:rsidRPr="00FF1DE0">
        <w:rPr>
          <w:color w:val="000000" w:themeColor="text1"/>
        </w:rPr>
        <w:t>coossify</w:t>
      </w:r>
      <w:proofErr w:type="spellEnd"/>
      <w:r w:rsidRPr="00FF1DE0">
        <w:rPr>
          <w:color w:val="000000" w:themeColor="text1"/>
        </w:rPr>
        <w:t xml:space="preserve"> with the dentary </w:t>
      </w:r>
      <w:r w:rsidR="00F25762">
        <w:rPr>
          <w:color w:val="000000" w:themeColor="text1"/>
        </w:rPr>
        <w:t xml:space="preserve">later </w:t>
      </w:r>
      <w:r w:rsidRPr="00FF1DE0">
        <w:rPr>
          <w:color w:val="000000" w:themeColor="text1"/>
        </w:rPr>
        <w:t>in their development (p. 69</w:t>
      </w:r>
      <w:r w:rsidR="000B6FA2">
        <w:rPr>
          <w:color w:val="000000" w:themeColor="text1"/>
        </w:rPr>
        <w:t xml:space="preserve"> therein</w:t>
      </w:r>
      <w:r w:rsidRPr="00FF1DE0">
        <w:rPr>
          <w:color w:val="000000" w:themeColor="text1"/>
        </w:rPr>
        <w:t xml:space="preserve">). The apparent paucity of the </w:t>
      </w:r>
      <w:r w:rsidR="00577E91">
        <w:rPr>
          <w:color w:val="000000" w:themeColor="text1"/>
        </w:rPr>
        <w:t>adsy</w:t>
      </w:r>
      <w:r w:rsidR="00FE10ED">
        <w:rPr>
          <w:color w:val="000000" w:themeColor="text1"/>
        </w:rPr>
        <w:t>mphyseal</w:t>
      </w:r>
      <w:r w:rsidRPr="00FF1DE0">
        <w:rPr>
          <w:color w:val="000000" w:themeColor="text1"/>
        </w:rPr>
        <w:t xml:space="preserve"> as a distinct ossification among temnospondyls may be interpreted as evidence that this bone could not be the homologue of the lingual tooth-bearing element in gymnophionomorphs. However, it must be considered whether the element has simply been </w:t>
      </w:r>
      <w:r w:rsidR="003C15DA">
        <w:rPr>
          <w:color w:val="000000" w:themeColor="text1"/>
        </w:rPr>
        <w:t>mis</w:t>
      </w:r>
      <w:r w:rsidRPr="00FF1DE0">
        <w:rPr>
          <w:color w:val="000000" w:themeColor="text1"/>
        </w:rPr>
        <w:t>identified due to preservation, tight sutural articulation</w:t>
      </w:r>
      <w:r w:rsidR="004E38E5">
        <w:rPr>
          <w:color w:val="000000" w:themeColor="text1"/>
        </w:rPr>
        <w:t>,</w:t>
      </w:r>
      <w:r w:rsidRPr="00FF1DE0">
        <w:rPr>
          <w:color w:val="000000" w:themeColor="text1"/>
        </w:rPr>
        <w:t xml:space="preserve"> or </w:t>
      </w:r>
      <w:proofErr w:type="spellStart"/>
      <w:r w:rsidRPr="00FF1DE0">
        <w:rPr>
          <w:color w:val="000000" w:themeColor="text1"/>
        </w:rPr>
        <w:t>coossification</w:t>
      </w:r>
      <w:proofErr w:type="spellEnd"/>
      <w:r w:rsidRPr="00FF1DE0">
        <w:rPr>
          <w:color w:val="000000" w:themeColor="text1"/>
        </w:rPr>
        <w:t xml:space="preserve"> with the dentary, and</w:t>
      </w:r>
      <w:r w:rsidR="00363DA3">
        <w:rPr>
          <w:color w:val="000000" w:themeColor="text1"/>
        </w:rPr>
        <w:t xml:space="preserve"> that</w:t>
      </w:r>
      <w:r w:rsidRPr="00FF1DE0">
        <w:rPr>
          <w:color w:val="000000" w:themeColor="text1"/>
        </w:rPr>
        <w:t xml:space="preserve"> </w:t>
      </w:r>
      <w:r w:rsidR="003C15DA">
        <w:rPr>
          <w:color w:val="000000" w:themeColor="text1"/>
        </w:rPr>
        <w:t xml:space="preserve">the long-held </w:t>
      </w:r>
      <w:r w:rsidRPr="00FF1DE0">
        <w:rPr>
          <w:color w:val="000000" w:themeColor="text1"/>
        </w:rPr>
        <w:t xml:space="preserve">perception that this element was absent across Temnospondyli </w:t>
      </w:r>
      <w:r w:rsidR="003C15DA">
        <w:rPr>
          <w:color w:val="000000" w:themeColor="text1"/>
        </w:rPr>
        <w:t xml:space="preserve">was mistaken </w:t>
      </w:r>
      <w:r w:rsidRPr="00FF1DE0">
        <w:rPr>
          <w:color w:val="000000" w:themeColor="text1"/>
        </w:rPr>
        <w:t xml:space="preserve">(having only been identified in </w:t>
      </w:r>
      <w:r w:rsidR="00F25762">
        <w:rPr>
          <w:color w:val="000000" w:themeColor="text1"/>
        </w:rPr>
        <w:t xml:space="preserve">this clade </w:t>
      </w:r>
      <w:r w:rsidR="003954CF">
        <w:rPr>
          <w:color w:val="000000" w:themeColor="text1"/>
        </w:rPr>
        <w:t xml:space="preserve">by </w:t>
      </w:r>
      <w:r w:rsidR="00BF6C07">
        <w:rPr>
          <w:color w:val="000000" w:themeColor="text1"/>
        </w:rPr>
        <w:t>Anderson</w:t>
      </w:r>
      <w:r w:rsidR="003954CF">
        <w:rPr>
          <w:color w:val="000000" w:themeColor="text1"/>
        </w:rPr>
        <w:t xml:space="preserve">, </w:t>
      </w:r>
      <w:r w:rsidRPr="00FF1DE0">
        <w:rPr>
          <w:color w:val="000000" w:themeColor="text1"/>
        </w:rPr>
        <w:t>2005).</w:t>
      </w:r>
      <w:r>
        <w:rPr>
          <w:color w:val="000000" w:themeColor="text1"/>
        </w:rPr>
        <w:t xml:space="preserve"> </w:t>
      </w:r>
    </w:p>
    <w:p w14:paraId="0215C18D" w14:textId="4E80F03C" w:rsidR="003E5E20" w:rsidRPr="007046B3" w:rsidRDefault="003671F8" w:rsidP="003671F8">
      <w:pPr>
        <w:rPr>
          <w:color w:val="000000" w:themeColor="text1"/>
        </w:rPr>
      </w:pPr>
      <w:r>
        <w:rPr>
          <w:color w:val="000000" w:themeColor="text1"/>
        </w:rPr>
        <w:lastRenderedPageBreak/>
        <w:t xml:space="preserve"> </w:t>
      </w:r>
      <w:r>
        <w:rPr>
          <w:color w:val="000000" w:themeColor="text1"/>
        </w:rPr>
        <w:tab/>
      </w:r>
      <w:proofErr w:type="spellStart"/>
      <w:r w:rsidR="00A05FAA">
        <w:rPr>
          <w:color w:val="000000" w:themeColor="text1"/>
        </w:rPr>
        <w:t>Plesiomorphically</w:t>
      </w:r>
      <w:proofErr w:type="spellEnd"/>
      <w:r w:rsidR="00A05FAA" w:rsidRPr="00062F7E">
        <w:rPr>
          <w:color w:val="000000" w:themeColor="text1"/>
        </w:rPr>
        <w:t xml:space="preserve"> </w:t>
      </w:r>
      <w:r w:rsidRPr="00062F7E">
        <w:rPr>
          <w:color w:val="000000" w:themeColor="text1"/>
        </w:rPr>
        <w:t xml:space="preserve">in </w:t>
      </w:r>
      <w:proofErr w:type="spellStart"/>
      <w:r w:rsidRPr="00062F7E">
        <w:rPr>
          <w:color w:val="000000" w:themeColor="text1"/>
        </w:rPr>
        <w:t>dissorophoids</w:t>
      </w:r>
      <w:proofErr w:type="spellEnd"/>
      <w:r w:rsidR="004E38E5">
        <w:rPr>
          <w:color w:val="000000" w:themeColor="text1"/>
        </w:rPr>
        <w:t>,</w:t>
      </w:r>
      <w:r w:rsidRPr="00062F7E">
        <w:rPr>
          <w:color w:val="000000" w:themeColor="text1"/>
        </w:rPr>
        <w:t xml:space="preserve"> three </w:t>
      </w:r>
      <w:r>
        <w:rPr>
          <w:color w:val="000000" w:themeColor="text1"/>
        </w:rPr>
        <w:t xml:space="preserve">denticulate </w:t>
      </w:r>
      <w:r w:rsidRPr="00062F7E">
        <w:rPr>
          <w:color w:val="000000" w:themeColor="text1"/>
        </w:rPr>
        <w:t>coronoid bones articulate with the medial surface of the dentary, positioned ventral to the dentition and dorsal to the Meckelian canal</w:t>
      </w:r>
      <w:r>
        <w:rPr>
          <w:color w:val="000000" w:themeColor="text1"/>
        </w:rPr>
        <w:t xml:space="preserve"> (Extended Data Fig. </w:t>
      </w:r>
      <w:r w:rsidR="008A5D11">
        <w:rPr>
          <w:color w:val="000000" w:themeColor="text1"/>
        </w:rPr>
        <w:t>8</w:t>
      </w:r>
      <w:r>
        <w:rPr>
          <w:color w:val="000000" w:themeColor="text1"/>
        </w:rPr>
        <w:t>)</w:t>
      </w:r>
      <w:r w:rsidRPr="00062F7E">
        <w:rPr>
          <w:color w:val="000000" w:themeColor="text1"/>
        </w:rPr>
        <w:t xml:space="preserve">. The anteriormost coronoid (coronoid 1) </w:t>
      </w:r>
      <w:r>
        <w:rPr>
          <w:color w:val="000000" w:themeColor="text1"/>
        </w:rPr>
        <w:t xml:space="preserve">has historically been interpreted to lie </w:t>
      </w:r>
      <w:r w:rsidRPr="00062F7E">
        <w:rPr>
          <w:color w:val="000000" w:themeColor="text1"/>
        </w:rPr>
        <w:t>at the mandibular symphysis</w:t>
      </w:r>
      <w:r>
        <w:rPr>
          <w:color w:val="000000" w:themeColor="text1"/>
        </w:rPr>
        <w:t xml:space="preserve"> in the absence of </w:t>
      </w:r>
      <w:r w:rsidR="00C4444B">
        <w:rPr>
          <w:color w:val="000000" w:themeColor="text1"/>
        </w:rPr>
        <w:t>an adsymp</w:t>
      </w:r>
      <w:r w:rsidR="00810ED5">
        <w:rPr>
          <w:color w:val="000000" w:themeColor="text1"/>
        </w:rPr>
        <w:t>hyseal</w:t>
      </w:r>
      <w:r w:rsidRPr="00062F7E">
        <w:rPr>
          <w:color w:val="000000" w:themeColor="text1"/>
        </w:rPr>
        <w:t>, followed posteriorly by coronoids 2 and 3</w:t>
      </w:r>
      <w:r>
        <w:rPr>
          <w:color w:val="000000" w:themeColor="text1"/>
        </w:rPr>
        <w:t xml:space="preserve"> (e.g., Carroll, 1964; Schoch &amp; Rubidge, 2005; Clack &amp; Milner, 20</w:t>
      </w:r>
      <w:r w:rsidR="007E00AB">
        <w:rPr>
          <w:color w:val="000000" w:themeColor="text1"/>
        </w:rPr>
        <w:t>10</w:t>
      </w:r>
      <w:r>
        <w:rPr>
          <w:color w:val="000000" w:themeColor="text1"/>
        </w:rPr>
        <w:t>)</w:t>
      </w:r>
      <w:r w:rsidRPr="00062F7E">
        <w:rPr>
          <w:color w:val="000000" w:themeColor="text1"/>
        </w:rPr>
        <w:t xml:space="preserve">. </w:t>
      </w:r>
      <w:r>
        <w:rPr>
          <w:color w:val="000000" w:themeColor="text1"/>
        </w:rPr>
        <w:t xml:space="preserve">However, it is important to note that most historic characterizations are reconstructions </w:t>
      </w:r>
      <w:r w:rsidR="00363DA3">
        <w:rPr>
          <w:color w:val="000000" w:themeColor="text1"/>
        </w:rPr>
        <w:t>that</w:t>
      </w:r>
      <w:r>
        <w:rPr>
          <w:color w:val="000000" w:themeColor="text1"/>
        </w:rPr>
        <w:t xml:space="preserve"> cannot identify the actual sutures. Often, in the absence of discernible sutures, temnospondyl workers assume that the dentigerous surface lingual to the dentary belongs to the coronoids proper (e.g., Clack &amp; Milner, 20</w:t>
      </w:r>
      <w:r w:rsidR="007E00AB">
        <w:rPr>
          <w:color w:val="000000" w:themeColor="text1"/>
        </w:rPr>
        <w:t>10</w:t>
      </w:r>
      <w:r>
        <w:rPr>
          <w:color w:val="000000" w:themeColor="text1"/>
        </w:rPr>
        <w:t>)</w:t>
      </w:r>
      <w:r w:rsidR="00F25762">
        <w:rPr>
          <w:color w:val="000000" w:themeColor="text1"/>
        </w:rPr>
        <w:t xml:space="preserve"> and make no mention of a</w:t>
      </w:r>
      <w:r w:rsidR="003B1ABF">
        <w:rPr>
          <w:color w:val="000000" w:themeColor="text1"/>
        </w:rPr>
        <w:t>n adsymphysea</w:t>
      </w:r>
      <w:r w:rsidR="005368D1">
        <w:rPr>
          <w:color w:val="000000" w:themeColor="text1"/>
        </w:rPr>
        <w:t>l</w:t>
      </w:r>
      <w:r>
        <w:rPr>
          <w:color w:val="000000" w:themeColor="text1"/>
        </w:rPr>
        <w:t>. The dorsal and lingual exposures of most amphibamiform</w:t>
      </w:r>
      <w:r w:rsidR="00BF6C07">
        <w:rPr>
          <w:color w:val="000000" w:themeColor="text1"/>
        </w:rPr>
        <w:t xml:space="preserve"> lower jaws</w:t>
      </w:r>
      <w:r>
        <w:rPr>
          <w:color w:val="000000" w:themeColor="text1"/>
        </w:rPr>
        <w:t xml:space="preserve"> are in fact unknown, either due to a paucity of specimens or to articulation with the skull; for this reason, characterizations of the low</w:t>
      </w:r>
      <w:r w:rsidR="00363DA3">
        <w:rPr>
          <w:color w:val="000000" w:themeColor="text1"/>
        </w:rPr>
        <w:t>er</w:t>
      </w:r>
      <w:r>
        <w:rPr>
          <w:color w:val="000000" w:themeColor="text1"/>
        </w:rPr>
        <w:t xml:space="preserve"> jaw of most branchiosaurids and non-branchiosaurid amphibamiforms are generic; some phylogenetic analyses do not even include any lower jaw characters (e.g., Schoch &amp; Milner, 2008). Therefore, we present the possibility here that (1) a</w:t>
      </w:r>
      <w:r w:rsidR="00DB44A8">
        <w:rPr>
          <w:color w:val="000000" w:themeColor="text1"/>
        </w:rPr>
        <w:t>n adsymp</w:t>
      </w:r>
      <w:r w:rsidR="00884CE8">
        <w:rPr>
          <w:color w:val="000000" w:themeColor="text1"/>
        </w:rPr>
        <w:t xml:space="preserve">hyseal </w:t>
      </w:r>
      <w:r>
        <w:rPr>
          <w:color w:val="000000" w:themeColor="text1"/>
        </w:rPr>
        <w:t xml:space="preserve">ossification is much more widely present among temnospondyls; and (2) that its ossification and subsequent </w:t>
      </w:r>
      <w:proofErr w:type="spellStart"/>
      <w:r>
        <w:rPr>
          <w:color w:val="000000" w:themeColor="text1"/>
        </w:rPr>
        <w:t>coossification</w:t>
      </w:r>
      <w:proofErr w:type="spellEnd"/>
      <w:r>
        <w:rPr>
          <w:color w:val="000000" w:themeColor="text1"/>
        </w:rPr>
        <w:t xml:space="preserve"> with the dentary may have produced the lingual tooth row of gymnophionomorphs. Neontologists may not have considered the possibility that this ossification, rather than coronoids 1, 2, or 3 (or some combination of the three), forms the lingual tooth row in gymnophionomorphs because of its</w:t>
      </w:r>
      <w:r w:rsidR="00030D70">
        <w:rPr>
          <w:color w:val="000000" w:themeColor="text1"/>
        </w:rPr>
        <w:t xml:space="preserve"> </w:t>
      </w:r>
      <w:r w:rsidR="00525CCC">
        <w:rPr>
          <w:color w:val="000000" w:themeColor="text1"/>
        </w:rPr>
        <w:t>perceived</w:t>
      </w:r>
      <w:r>
        <w:rPr>
          <w:color w:val="000000" w:themeColor="text1"/>
        </w:rPr>
        <w:t xml:space="preserve"> rarity among crown tetrapods. </w:t>
      </w:r>
      <w:bookmarkStart w:id="7" w:name="_Hlk92878431"/>
      <w:r w:rsidR="007046B3">
        <w:rPr>
          <w:color w:val="000000" w:themeColor="text1"/>
        </w:rPr>
        <w:t xml:space="preserve">Main Text Fig. 3 illustrates the phylogenetic distribution and comparative morphology of the adsymphyseal and the adsymphyseal tooth row in the colosteid stem-tetrapod </w:t>
      </w:r>
      <w:r w:rsidR="007046B3" w:rsidRPr="00957316">
        <w:rPr>
          <w:i/>
          <w:iCs/>
          <w:color w:val="000000" w:themeColor="text1"/>
        </w:rPr>
        <w:t>Greererpeton burkemorani</w:t>
      </w:r>
      <w:r w:rsidR="007046B3">
        <w:rPr>
          <w:color w:val="000000" w:themeColor="text1"/>
        </w:rPr>
        <w:t>, the dissorophoid</w:t>
      </w:r>
      <w:r w:rsidR="007046B3" w:rsidRPr="00957316">
        <w:rPr>
          <w:i/>
          <w:iCs/>
          <w:color w:val="000000" w:themeColor="text1"/>
        </w:rPr>
        <w:t xml:space="preserve"> Cacops aspidephorus</w:t>
      </w:r>
      <w:r w:rsidR="007046B3">
        <w:rPr>
          <w:color w:val="000000" w:themeColor="text1"/>
        </w:rPr>
        <w:t xml:space="preserve">, the amphibamiform </w:t>
      </w:r>
      <w:r w:rsidR="007046B3" w:rsidRPr="00957316">
        <w:rPr>
          <w:i/>
          <w:iCs/>
          <w:color w:val="000000" w:themeColor="text1"/>
        </w:rPr>
        <w:t>Doleserpeton annectens</w:t>
      </w:r>
      <w:r w:rsidR="007046B3">
        <w:rPr>
          <w:color w:val="000000" w:themeColor="text1"/>
        </w:rPr>
        <w:t xml:space="preserve">, and a selection of extinct and extant lissamphibians including </w:t>
      </w:r>
      <w:r w:rsidR="007046B3" w:rsidRPr="00957316">
        <w:rPr>
          <w:i/>
          <w:iCs/>
          <w:color w:val="000000" w:themeColor="text1"/>
        </w:rPr>
        <w:t>Funcusvermis gilmorei</w:t>
      </w:r>
      <w:r w:rsidR="007046B3">
        <w:rPr>
          <w:color w:val="000000" w:themeColor="text1"/>
        </w:rPr>
        <w:t xml:space="preserve">. </w:t>
      </w:r>
      <w:r w:rsidR="007046B3" w:rsidRPr="00957316">
        <w:rPr>
          <w:rFonts w:eastAsiaTheme="minorHAnsi"/>
        </w:rPr>
        <w:t xml:space="preserve">Extended Data Fig. </w:t>
      </w:r>
      <w:r w:rsidR="008A5D11">
        <w:rPr>
          <w:rFonts w:eastAsiaTheme="minorHAnsi"/>
        </w:rPr>
        <w:t>8</w:t>
      </w:r>
      <w:r w:rsidR="007046B3" w:rsidRPr="00957316">
        <w:rPr>
          <w:rFonts w:eastAsiaTheme="minorHAnsi"/>
        </w:rPr>
        <w:t xml:space="preserve"> illustrates the </w:t>
      </w:r>
      <w:r w:rsidR="007046B3" w:rsidRPr="00957316">
        <w:t>phylogenetic distribution and comparative morphology of a single row of coronoid teeth in Temnospondyli.</w:t>
      </w:r>
      <w:bookmarkEnd w:id="7"/>
    </w:p>
    <w:p w14:paraId="7F38967E" w14:textId="77777777" w:rsidR="008B5D9B" w:rsidRDefault="008B5D9B" w:rsidP="003671F8">
      <w:pPr>
        <w:rPr>
          <w:color w:val="000000" w:themeColor="text1"/>
        </w:rPr>
      </w:pPr>
    </w:p>
    <w:p w14:paraId="1F13EFE9" w14:textId="48906C0F" w:rsidR="00A14F4D" w:rsidRDefault="00D71AA6" w:rsidP="008B5D9B">
      <w:pPr>
        <w:rPr>
          <w:color w:val="000000" w:themeColor="text1"/>
        </w:rPr>
      </w:pPr>
      <w:r w:rsidRPr="00FF1DE0">
        <w:rPr>
          <w:i/>
          <w:iCs/>
          <w:color w:val="000000" w:themeColor="text1"/>
        </w:rPr>
        <w:t>Patterns of h</w:t>
      </w:r>
      <w:r w:rsidR="008B5D9B" w:rsidRPr="00662B68">
        <w:rPr>
          <w:i/>
          <w:iCs/>
          <w:color w:val="000000" w:themeColor="text1"/>
        </w:rPr>
        <w:t xml:space="preserve">omology </w:t>
      </w:r>
      <w:r w:rsidRPr="00FF1DE0">
        <w:rPr>
          <w:i/>
          <w:iCs/>
          <w:color w:val="000000" w:themeColor="text1"/>
        </w:rPr>
        <w:t>in the</w:t>
      </w:r>
      <w:r w:rsidR="008B5D9B" w:rsidRPr="00662B68">
        <w:rPr>
          <w:i/>
          <w:iCs/>
          <w:color w:val="000000" w:themeColor="text1"/>
        </w:rPr>
        <w:t xml:space="preserve"> lissamphibian mandibular ramus.</w:t>
      </w:r>
      <w:r w:rsidRPr="00FF1DE0">
        <w:rPr>
          <w:color w:val="000000" w:themeColor="text1"/>
        </w:rPr>
        <w:t xml:space="preserve"> </w:t>
      </w:r>
      <w:r w:rsidR="00A14F4D" w:rsidRPr="00FF1DE0">
        <w:rPr>
          <w:color w:val="000000" w:themeColor="text1"/>
        </w:rPr>
        <w:t xml:space="preserve">Dissorophoids (e.g., </w:t>
      </w:r>
      <w:r w:rsidR="00A14F4D" w:rsidRPr="00FF1DE0">
        <w:rPr>
          <w:i/>
          <w:iCs/>
          <w:color w:val="000000" w:themeColor="text1"/>
        </w:rPr>
        <w:t>Acheloma</w:t>
      </w:r>
      <w:r w:rsidR="006308AF">
        <w:rPr>
          <w:i/>
          <w:iCs/>
          <w:color w:val="000000" w:themeColor="text1"/>
        </w:rPr>
        <w:t xml:space="preserve"> cumminsi</w:t>
      </w:r>
      <w:r w:rsidR="00A14F4D" w:rsidRPr="00FF1DE0">
        <w:rPr>
          <w:color w:val="000000" w:themeColor="text1"/>
        </w:rPr>
        <w:t>,</w:t>
      </w:r>
      <w:r w:rsidR="00A14F4D" w:rsidRPr="00FF1DE0">
        <w:rPr>
          <w:i/>
          <w:iCs/>
          <w:color w:val="000000" w:themeColor="text1"/>
        </w:rPr>
        <w:t xml:space="preserve"> Cacops</w:t>
      </w:r>
      <w:r w:rsidR="006308AF">
        <w:rPr>
          <w:i/>
          <w:iCs/>
          <w:color w:val="000000" w:themeColor="text1"/>
        </w:rPr>
        <w:t xml:space="preserve"> aspidephorus</w:t>
      </w:r>
      <w:r w:rsidR="00A14F4D" w:rsidRPr="00FF1DE0">
        <w:rPr>
          <w:color w:val="000000" w:themeColor="text1"/>
        </w:rPr>
        <w:t>;</w:t>
      </w:r>
      <w:r w:rsidR="00A14F4D" w:rsidRPr="00FF1DE0">
        <w:rPr>
          <w:i/>
          <w:iCs/>
          <w:color w:val="000000" w:themeColor="text1"/>
        </w:rPr>
        <w:t xml:space="preserve"> </w:t>
      </w:r>
      <w:r w:rsidR="00A14F4D" w:rsidRPr="00FF1DE0">
        <w:rPr>
          <w:color w:val="000000" w:themeColor="text1"/>
        </w:rPr>
        <w:t xml:space="preserve">Gee et al., 2019; Anderson et al., 2020), including amphibamiforms (e.g., </w:t>
      </w:r>
      <w:r w:rsidR="00A14F4D" w:rsidRPr="00FF1DE0">
        <w:rPr>
          <w:i/>
          <w:iCs/>
          <w:color w:val="000000" w:themeColor="text1"/>
        </w:rPr>
        <w:t>Tersomius</w:t>
      </w:r>
      <w:r w:rsidR="006308AF">
        <w:rPr>
          <w:i/>
          <w:iCs/>
          <w:color w:val="000000" w:themeColor="text1"/>
        </w:rPr>
        <w:t xml:space="preserve"> texensis</w:t>
      </w:r>
      <w:r w:rsidR="00A14F4D" w:rsidRPr="00FF1DE0">
        <w:rPr>
          <w:color w:val="000000" w:themeColor="text1"/>
        </w:rPr>
        <w:t>; Carroll, 1964),</w:t>
      </w:r>
      <w:r w:rsidR="00A14F4D" w:rsidRPr="00FF1DE0">
        <w:rPr>
          <w:i/>
          <w:iCs/>
          <w:color w:val="000000" w:themeColor="text1"/>
        </w:rPr>
        <w:t xml:space="preserve"> </w:t>
      </w:r>
      <w:r w:rsidR="00A14F4D" w:rsidRPr="00FF1DE0">
        <w:rPr>
          <w:color w:val="000000" w:themeColor="text1"/>
        </w:rPr>
        <w:t xml:space="preserve">retain the plesiomorphic condition of temnospondyls (Jupp </w:t>
      </w:r>
      <w:r w:rsidR="00EC7089">
        <w:rPr>
          <w:color w:val="000000" w:themeColor="text1"/>
        </w:rPr>
        <w:t>&amp;</w:t>
      </w:r>
      <w:r w:rsidR="00A14F4D" w:rsidRPr="00FF1DE0">
        <w:rPr>
          <w:color w:val="000000" w:themeColor="text1"/>
        </w:rPr>
        <w:t xml:space="preserve"> Warren, 1986) in which the mandible is composed of at least nine dermal bones including the dentary, three coronoids, splenial, postsplenial, prearticular, angular, prearticular, articular, and surangular. As previously discussed, the dissorophoid dentary likely </w:t>
      </w:r>
      <w:r w:rsidR="00D13D95" w:rsidRPr="00FF1DE0">
        <w:rPr>
          <w:color w:val="000000" w:themeColor="text1"/>
        </w:rPr>
        <w:t>represents a compound bone formed by the</w:t>
      </w:r>
      <w:r w:rsidR="00D13D95">
        <w:rPr>
          <w:color w:val="000000" w:themeColor="text1"/>
        </w:rPr>
        <w:t xml:space="preserve"> dentary and </w:t>
      </w:r>
      <w:r w:rsidR="00314F44">
        <w:rPr>
          <w:color w:val="000000" w:themeColor="text1"/>
        </w:rPr>
        <w:t>adsymphysea</w:t>
      </w:r>
      <w:r w:rsidR="00DD2B10">
        <w:rPr>
          <w:color w:val="000000" w:themeColor="text1"/>
        </w:rPr>
        <w:t>l</w:t>
      </w:r>
      <w:r w:rsidR="00D13D95">
        <w:rPr>
          <w:color w:val="000000" w:themeColor="text1"/>
        </w:rPr>
        <w:t xml:space="preserve">; additionally, the mentomeckelian is absent in this group. </w:t>
      </w:r>
    </w:p>
    <w:p w14:paraId="3F1E2BF5" w14:textId="6802633B" w:rsidR="000B4FC1" w:rsidRDefault="001E2083" w:rsidP="00BF6C07">
      <w:pPr>
        <w:ind w:firstLine="720"/>
        <w:rPr>
          <w:color w:val="000000" w:themeColor="text1"/>
        </w:rPr>
      </w:pPr>
      <w:r>
        <w:rPr>
          <w:color w:val="000000" w:themeColor="text1"/>
        </w:rPr>
        <w:t xml:space="preserve">The revised homology of the </w:t>
      </w:r>
      <w:r w:rsidR="00B7729A">
        <w:rPr>
          <w:color w:val="000000" w:themeColor="text1"/>
        </w:rPr>
        <w:t>adsymphy</w:t>
      </w:r>
      <w:r w:rsidR="008A1C2D">
        <w:rPr>
          <w:color w:val="000000" w:themeColor="text1"/>
        </w:rPr>
        <w:t>seal</w:t>
      </w:r>
      <w:r>
        <w:rPr>
          <w:color w:val="000000" w:themeColor="text1"/>
        </w:rPr>
        <w:t xml:space="preserve"> tooth row</w:t>
      </w:r>
      <w:r w:rsidR="003B1CD1">
        <w:rPr>
          <w:color w:val="000000" w:themeColor="text1"/>
        </w:rPr>
        <w:t xml:space="preserve"> of gymnophionomorphs</w:t>
      </w:r>
      <w:r>
        <w:rPr>
          <w:color w:val="000000" w:themeColor="text1"/>
        </w:rPr>
        <w:t xml:space="preserve"> and lack of the mentomeckelian ossification in </w:t>
      </w:r>
      <w:r w:rsidRPr="00662B68">
        <w:rPr>
          <w:i/>
          <w:iCs/>
          <w:color w:val="000000" w:themeColor="text1"/>
        </w:rPr>
        <w:t>Funcusvermis</w:t>
      </w:r>
      <w:r w:rsidR="00315E7A">
        <w:rPr>
          <w:i/>
          <w:iCs/>
          <w:color w:val="000000" w:themeColor="text1"/>
        </w:rPr>
        <w:t xml:space="preserve"> gilmorei</w:t>
      </w:r>
      <w:r>
        <w:rPr>
          <w:color w:val="000000" w:themeColor="text1"/>
        </w:rPr>
        <w:t xml:space="preserve"> refines understandings of homology in the evolution of the lissamphibian mandibular ramus. The mentomeckelian in batrachians and</w:t>
      </w:r>
      <w:r w:rsidR="00D4214F">
        <w:rPr>
          <w:color w:val="000000" w:themeColor="text1"/>
        </w:rPr>
        <w:t xml:space="preserve"> </w:t>
      </w:r>
      <w:r w:rsidR="00D4214F" w:rsidRPr="00504E79">
        <w:rPr>
          <w:i/>
          <w:iCs/>
          <w:color w:val="000000" w:themeColor="text1"/>
        </w:rPr>
        <w:t>Eo</w:t>
      </w:r>
      <w:r w:rsidR="007B298D" w:rsidRPr="00504E79">
        <w:rPr>
          <w:i/>
          <w:iCs/>
          <w:color w:val="000000" w:themeColor="text1"/>
        </w:rPr>
        <w:t>caecilia</w:t>
      </w:r>
      <w:r w:rsidR="00315E7A">
        <w:rPr>
          <w:i/>
          <w:iCs/>
          <w:color w:val="000000" w:themeColor="text1"/>
        </w:rPr>
        <w:t xml:space="preserve"> micropodia</w:t>
      </w:r>
      <w:r w:rsidR="007B298D">
        <w:rPr>
          <w:color w:val="000000" w:themeColor="text1"/>
        </w:rPr>
        <w:t xml:space="preserve"> +</w:t>
      </w:r>
      <w:r w:rsidR="009F0993">
        <w:rPr>
          <w:color w:val="000000" w:themeColor="text1"/>
        </w:rPr>
        <w:t xml:space="preserve"> </w:t>
      </w:r>
      <w:r w:rsidR="0016061B">
        <w:rPr>
          <w:color w:val="000000" w:themeColor="text1"/>
        </w:rPr>
        <w:t>Gymnophiona</w:t>
      </w:r>
      <w:r>
        <w:rPr>
          <w:color w:val="000000" w:themeColor="text1"/>
        </w:rPr>
        <w:t xml:space="preserve"> </w:t>
      </w:r>
      <w:r w:rsidR="00512247">
        <w:rPr>
          <w:color w:val="000000" w:themeColor="text1"/>
        </w:rPr>
        <w:t xml:space="preserve">appears to be </w:t>
      </w:r>
      <w:r>
        <w:rPr>
          <w:color w:val="000000" w:themeColor="text1"/>
        </w:rPr>
        <w:t>independently derived and was</w:t>
      </w:r>
      <w:r w:rsidR="00794EC5">
        <w:rPr>
          <w:color w:val="000000" w:themeColor="text1"/>
        </w:rPr>
        <w:t xml:space="preserve"> </w:t>
      </w:r>
      <w:r w:rsidR="00C5582D">
        <w:rPr>
          <w:color w:val="000000" w:themeColor="text1"/>
        </w:rPr>
        <w:t>therefore like</w:t>
      </w:r>
      <w:r w:rsidR="005D5C15">
        <w:rPr>
          <w:color w:val="000000" w:themeColor="text1"/>
        </w:rPr>
        <w:t>ly</w:t>
      </w:r>
      <w:r>
        <w:rPr>
          <w:color w:val="000000" w:themeColor="text1"/>
        </w:rPr>
        <w:t xml:space="preserve"> absent in the common ancestor of Lissamphibia. Besides the </w:t>
      </w:r>
      <w:r w:rsidR="00A24D9B">
        <w:rPr>
          <w:color w:val="000000" w:themeColor="text1"/>
        </w:rPr>
        <w:t>adsymphysea</w:t>
      </w:r>
      <w:r w:rsidR="008121EB">
        <w:rPr>
          <w:color w:val="000000" w:themeColor="text1"/>
        </w:rPr>
        <w:t>l</w:t>
      </w:r>
      <w:r>
        <w:rPr>
          <w:color w:val="000000" w:themeColor="text1"/>
        </w:rPr>
        <w:t xml:space="preserve">, other bones in the coronoid series </w:t>
      </w:r>
      <w:r w:rsidR="00F42D9A">
        <w:rPr>
          <w:color w:val="000000" w:themeColor="text1"/>
        </w:rPr>
        <w:t>appear to be</w:t>
      </w:r>
      <w:r>
        <w:rPr>
          <w:color w:val="000000" w:themeColor="text1"/>
        </w:rPr>
        <w:t xml:space="preserve"> lost in gymnophionomorphs, salientians, and </w:t>
      </w:r>
      <w:r w:rsidR="00B35C8F">
        <w:rPr>
          <w:color w:val="000000" w:themeColor="text1"/>
        </w:rPr>
        <w:t>a</w:t>
      </w:r>
      <w:r>
        <w:rPr>
          <w:color w:val="000000" w:themeColor="text1"/>
        </w:rPr>
        <w:t>lbanerpetontids</w:t>
      </w:r>
      <w:r w:rsidR="003D7D29">
        <w:rPr>
          <w:color w:val="000000" w:themeColor="text1"/>
        </w:rPr>
        <w:t>.</w:t>
      </w:r>
      <w:r>
        <w:rPr>
          <w:color w:val="000000" w:themeColor="text1"/>
        </w:rPr>
        <w:t xml:space="preserve"> </w:t>
      </w:r>
      <w:r w:rsidR="003D7D29">
        <w:rPr>
          <w:color w:val="000000" w:themeColor="text1"/>
        </w:rPr>
        <w:t>H</w:t>
      </w:r>
      <w:r>
        <w:rPr>
          <w:color w:val="000000" w:themeColor="text1"/>
        </w:rPr>
        <w:t>owever</w:t>
      </w:r>
      <w:r w:rsidR="003D7D29">
        <w:rPr>
          <w:color w:val="000000" w:themeColor="text1"/>
        </w:rPr>
        <w:t>,</w:t>
      </w:r>
      <w:r>
        <w:rPr>
          <w:color w:val="000000" w:themeColor="text1"/>
        </w:rPr>
        <w:t xml:space="preserve"> a single tooth bearing </w:t>
      </w:r>
      <w:r w:rsidR="00B35C8F">
        <w:rPr>
          <w:color w:val="000000" w:themeColor="text1"/>
        </w:rPr>
        <w:t xml:space="preserve">coronoid (likely homologous to </w:t>
      </w:r>
      <w:r w:rsidR="00AD1E1B">
        <w:rPr>
          <w:color w:val="000000" w:themeColor="text1"/>
        </w:rPr>
        <w:t xml:space="preserve">the </w:t>
      </w:r>
      <w:r w:rsidR="00B35C8F">
        <w:rPr>
          <w:color w:val="000000" w:themeColor="text1"/>
        </w:rPr>
        <w:t xml:space="preserve">posterior </w:t>
      </w:r>
      <w:r w:rsidR="003B1CD1">
        <w:rPr>
          <w:color w:val="000000" w:themeColor="text1"/>
        </w:rPr>
        <w:t>coronoid</w:t>
      </w:r>
      <w:r w:rsidR="004D4325">
        <w:rPr>
          <w:color w:val="000000" w:themeColor="text1"/>
        </w:rPr>
        <w:t xml:space="preserve"> (=coronoid 3)</w:t>
      </w:r>
      <w:r w:rsidR="003B1CD1">
        <w:rPr>
          <w:color w:val="000000" w:themeColor="text1"/>
        </w:rPr>
        <w:t xml:space="preserve"> of dissorophoids</w:t>
      </w:r>
      <w:r w:rsidR="00B35C8F">
        <w:rPr>
          <w:color w:val="000000" w:themeColor="text1"/>
        </w:rPr>
        <w:t>) is present</w:t>
      </w:r>
      <w:r w:rsidR="00F42D9A">
        <w:rPr>
          <w:color w:val="000000" w:themeColor="text1"/>
        </w:rPr>
        <w:t xml:space="preserve"> medial to the posterior end of the dentary tooth row</w:t>
      </w:r>
      <w:r w:rsidR="00B35C8F">
        <w:rPr>
          <w:color w:val="000000" w:themeColor="text1"/>
        </w:rPr>
        <w:t xml:space="preserve"> in some </w:t>
      </w:r>
      <w:r w:rsidR="00BF6C07">
        <w:rPr>
          <w:color w:val="000000" w:themeColor="text1"/>
        </w:rPr>
        <w:t xml:space="preserve">early-branching </w:t>
      </w:r>
      <w:r w:rsidR="00B35C8F">
        <w:rPr>
          <w:color w:val="000000" w:themeColor="text1"/>
        </w:rPr>
        <w:t>caudates (e.g.</w:t>
      </w:r>
      <w:r w:rsidR="00363DA3">
        <w:rPr>
          <w:color w:val="000000" w:themeColor="text1"/>
        </w:rPr>
        <w:t>,</w:t>
      </w:r>
      <w:r w:rsidR="00B35C8F">
        <w:rPr>
          <w:color w:val="000000" w:themeColor="text1"/>
        </w:rPr>
        <w:t xml:space="preserve"> </w:t>
      </w:r>
      <w:r w:rsidR="00F42D9A">
        <w:rPr>
          <w:color w:val="000000" w:themeColor="text1"/>
        </w:rPr>
        <w:t xml:space="preserve">Gao </w:t>
      </w:r>
      <w:r w:rsidR="00C74C9A">
        <w:rPr>
          <w:color w:val="000000" w:themeColor="text1"/>
        </w:rPr>
        <w:t>&amp;</w:t>
      </w:r>
      <w:r w:rsidR="00F42D9A">
        <w:rPr>
          <w:color w:val="000000" w:themeColor="text1"/>
        </w:rPr>
        <w:t xml:space="preserve"> Shubin, 2001; </w:t>
      </w:r>
      <w:r w:rsidR="00B35C8F">
        <w:rPr>
          <w:color w:val="000000" w:themeColor="text1"/>
        </w:rPr>
        <w:t xml:space="preserve">Jia </w:t>
      </w:r>
      <w:r w:rsidR="001648C2">
        <w:rPr>
          <w:color w:val="000000" w:themeColor="text1"/>
        </w:rPr>
        <w:t>&amp;</w:t>
      </w:r>
      <w:r w:rsidR="00B35C8F">
        <w:rPr>
          <w:color w:val="000000" w:themeColor="text1"/>
        </w:rPr>
        <w:t xml:space="preserve"> Gao, 2016a,</w:t>
      </w:r>
      <w:r w:rsidR="003954CF">
        <w:rPr>
          <w:color w:val="000000" w:themeColor="text1"/>
        </w:rPr>
        <w:t xml:space="preserve"> </w:t>
      </w:r>
      <w:r w:rsidR="00B35C8F">
        <w:rPr>
          <w:color w:val="000000" w:themeColor="text1"/>
        </w:rPr>
        <w:t xml:space="preserve">b), and </w:t>
      </w:r>
      <w:r w:rsidR="00F42D9A">
        <w:rPr>
          <w:color w:val="000000" w:themeColor="text1"/>
        </w:rPr>
        <w:t>is variably present in living caudates where it typically resorbs during metamorphosis causing its absence in adults (e.g.</w:t>
      </w:r>
      <w:r w:rsidR="00363DA3">
        <w:rPr>
          <w:color w:val="000000" w:themeColor="text1"/>
        </w:rPr>
        <w:t>,</w:t>
      </w:r>
      <w:r w:rsidR="00F42D9A">
        <w:rPr>
          <w:color w:val="000000" w:themeColor="text1"/>
        </w:rPr>
        <w:t xml:space="preserve"> Jia </w:t>
      </w:r>
      <w:r w:rsidR="003E14AF">
        <w:rPr>
          <w:color w:val="000000" w:themeColor="text1"/>
        </w:rPr>
        <w:t>&amp;</w:t>
      </w:r>
      <w:r w:rsidR="00F42D9A">
        <w:rPr>
          <w:color w:val="000000" w:themeColor="text1"/>
        </w:rPr>
        <w:t xml:space="preserve"> Gao, 2019)</w:t>
      </w:r>
      <w:r w:rsidR="001E0854">
        <w:rPr>
          <w:color w:val="000000" w:themeColor="text1"/>
        </w:rPr>
        <w:t>.</w:t>
      </w:r>
      <w:r w:rsidR="00F42D9A">
        <w:rPr>
          <w:color w:val="000000" w:themeColor="text1"/>
        </w:rPr>
        <w:t xml:space="preserve"> Therefore</w:t>
      </w:r>
      <w:r w:rsidR="00F35145">
        <w:rPr>
          <w:color w:val="000000" w:themeColor="text1"/>
        </w:rPr>
        <w:t>,</w:t>
      </w:r>
      <w:r w:rsidR="004D4325">
        <w:rPr>
          <w:color w:val="000000" w:themeColor="text1"/>
        </w:rPr>
        <w:t xml:space="preserve"> evolutionary</w:t>
      </w:r>
      <w:r w:rsidR="00F42D9A">
        <w:rPr>
          <w:color w:val="000000" w:themeColor="text1"/>
        </w:rPr>
        <w:t xml:space="preserve"> pattern</w:t>
      </w:r>
      <w:r w:rsidR="003B1CD1">
        <w:rPr>
          <w:color w:val="000000" w:themeColor="text1"/>
        </w:rPr>
        <w:t>s</w:t>
      </w:r>
      <w:r w:rsidR="004D4325">
        <w:rPr>
          <w:color w:val="000000" w:themeColor="text1"/>
        </w:rPr>
        <w:t xml:space="preserve"> regarding the coronoid bones in lissamphibians include </w:t>
      </w:r>
      <w:r w:rsidR="00F42D9A">
        <w:rPr>
          <w:color w:val="000000" w:themeColor="text1"/>
        </w:rPr>
        <w:t>the loss of at least the anterior</w:t>
      </w:r>
      <w:r w:rsidR="003B1CD1">
        <w:rPr>
          <w:color w:val="000000" w:themeColor="text1"/>
        </w:rPr>
        <w:t xml:space="preserve"> two</w:t>
      </w:r>
      <w:r w:rsidR="00F42D9A">
        <w:rPr>
          <w:color w:val="000000" w:themeColor="text1"/>
        </w:rPr>
        <w:t xml:space="preserve"> coronoid</w:t>
      </w:r>
      <w:r w:rsidR="003B1CD1">
        <w:rPr>
          <w:color w:val="000000" w:themeColor="text1"/>
        </w:rPr>
        <w:t xml:space="preserve">s (not </w:t>
      </w:r>
      <w:r w:rsidR="003B1CD1">
        <w:rPr>
          <w:color w:val="000000" w:themeColor="text1"/>
        </w:rPr>
        <w:lastRenderedPageBreak/>
        <w:t xml:space="preserve">including the </w:t>
      </w:r>
      <w:r w:rsidR="00251BC4">
        <w:rPr>
          <w:color w:val="000000" w:themeColor="text1"/>
        </w:rPr>
        <w:t>adsymphyse</w:t>
      </w:r>
      <w:r w:rsidR="003C58E0">
        <w:rPr>
          <w:color w:val="000000" w:themeColor="text1"/>
        </w:rPr>
        <w:t>al</w:t>
      </w:r>
      <w:r w:rsidR="003B1CD1">
        <w:rPr>
          <w:color w:val="000000" w:themeColor="text1"/>
        </w:rPr>
        <w:t>)</w:t>
      </w:r>
      <w:r w:rsidR="004D4325">
        <w:rPr>
          <w:color w:val="000000" w:themeColor="text1"/>
        </w:rPr>
        <w:t xml:space="preserve"> in the common ancestor of Lissamphibia</w:t>
      </w:r>
      <w:r w:rsidR="003B1CD1">
        <w:rPr>
          <w:color w:val="000000" w:themeColor="text1"/>
        </w:rPr>
        <w:t xml:space="preserve">, loss of all coronoids </w:t>
      </w:r>
      <w:r w:rsidR="00FD3A14">
        <w:rPr>
          <w:color w:val="000000" w:themeColor="text1"/>
        </w:rPr>
        <w:t xml:space="preserve">(including the </w:t>
      </w:r>
      <w:r w:rsidR="00273A26">
        <w:rPr>
          <w:color w:val="000000" w:themeColor="text1"/>
        </w:rPr>
        <w:t>adsymphys</w:t>
      </w:r>
      <w:r w:rsidR="00355E4B">
        <w:rPr>
          <w:color w:val="000000" w:themeColor="text1"/>
        </w:rPr>
        <w:t>eal</w:t>
      </w:r>
      <w:r w:rsidR="00FD3A14">
        <w:rPr>
          <w:color w:val="000000" w:themeColor="text1"/>
        </w:rPr>
        <w:t>)</w:t>
      </w:r>
      <w:r w:rsidR="003B1CD1">
        <w:rPr>
          <w:color w:val="000000" w:themeColor="text1"/>
        </w:rPr>
        <w:t xml:space="preserve"> in salientians and albanerpetontids, loss of coronoids (not including the </w:t>
      </w:r>
      <w:r w:rsidR="00C703BC">
        <w:rPr>
          <w:color w:val="000000" w:themeColor="text1"/>
        </w:rPr>
        <w:t>adsymphys</w:t>
      </w:r>
      <w:r w:rsidR="0068052E">
        <w:rPr>
          <w:color w:val="000000" w:themeColor="text1"/>
        </w:rPr>
        <w:t>eal</w:t>
      </w:r>
      <w:r w:rsidR="003B1CD1">
        <w:rPr>
          <w:color w:val="000000" w:themeColor="text1"/>
        </w:rPr>
        <w:t>) in gymnophionomorphs</w:t>
      </w:r>
      <w:r w:rsidR="004D4325">
        <w:rPr>
          <w:color w:val="000000" w:themeColor="text1"/>
        </w:rPr>
        <w:t>, and retention of a posterior coronoid in caudates</w:t>
      </w:r>
      <w:r w:rsidR="003B1CD1">
        <w:rPr>
          <w:color w:val="000000" w:themeColor="text1"/>
        </w:rPr>
        <w:t>. The surangular, present in dissorophoids (e.g.</w:t>
      </w:r>
      <w:r w:rsidR="00363DA3">
        <w:rPr>
          <w:color w:val="000000" w:themeColor="text1"/>
        </w:rPr>
        <w:t>,</w:t>
      </w:r>
      <w:r w:rsidR="003B1CD1">
        <w:rPr>
          <w:color w:val="000000" w:themeColor="text1"/>
        </w:rPr>
        <w:t xml:space="preserve"> </w:t>
      </w:r>
      <w:r w:rsidR="003B1CD1" w:rsidRPr="00662B68">
        <w:rPr>
          <w:i/>
          <w:iCs/>
          <w:color w:val="000000" w:themeColor="text1"/>
        </w:rPr>
        <w:t>Doleserpeton</w:t>
      </w:r>
      <w:r w:rsidR="00315E7A">
        <w:rPr>
          <w:i/>
          <w:iCs/>
          <w:color w:val="000000" w:themeColor="text1"/>
        </w:rPr>
        <w:t xml:space="preserve"> annectens</w:t>
      </w:r>
      <w:r w:rsidR="003B1CD1">
        <w:rPr>
          <w:color w:val="000000" w:themeColor="text1"/>
        </w:rPr>
        <w:t xml:space="preserve">, Sigurdsen </w:t>
      </w:r>
      <w:r w:rsidR="001B3C78">
        <w:rPr>
          <w:color w:val="000000" w:themeColor="text1"/>
        </w:rPr>
        <w:t>&amp;</w:t>
      </w:r>
      <w:r w:rsidR="003B1CD1">
        <w:rPr>
          <w:color w:val="000000" w:themeColor="text1"/>
        </w:rPr>
        <w:t xml:space="preserve"> Bolt, 2010), is absent in all lissamphibians</w:t>
      </w:r>
      <w:r w:rsidR="00F63CF4">
        <w:rPr>
          <w:color w:val="000000" w:themeColor="text1"/>
        </w:rPr>
        <w:t>,</w:t>
      </w:r>
      <w:r w:rsidR="003B1CD1">
        <w:rPr>
          <w:color w:val="000000" w:themeColor="text1"/>
        </w:rPr>
        <w:t xml:space="preserve"> suggesting its loss is a shared derived feature of the clade</w:t>
      </w:r>
      <w:r w:rsidR="00FD3A14">
        <w:rPr>
          <w:color w:val="000000" w:themeColor="text1"/>
        </w:rPr>
        <w:t xml:space="preserve"> (</w:t>
      </w:r>
      <w:proofErr w:type="spellStart"/>
      <w:r w:rsidR="00FD3A14">
        <w:rPr>
          <w:color w:val="000000" w:themeColor="text1"/>
        </w:rPr>
        <w:t>Trueb</w:t>
      </w:r>
      <w:proofErr w:type="spellEnd"/>
      <w:r w:rsidR="00FD3A14">
        <w:rPr>
          <w:color w:val="000000" w:themeColor="text1"/>
        </w:rPr>
        <w:t xml:space="preserve"> </w:t>
      </w:r>
      <w:r w:rsidR="00C1391B">
        <w:rPr>
          <w:color w:val="000000" w:themeColor="text1"/>
        </w:rPr>
        <w:t>&amp;</w:t>
      </w:r>
      <w:r w:rsidR="00FD3A14">
        <w:rPr>
          <w:color w:val="000000" w:themeColor="text1"/>
        </w:rPr>
        <w:t xml:space="preserve"> Cloutier, 1991)</w:t>
      </w:r>
      <w:r w:rsidR="003B1CD1">
        <w:rPr>
          <w:color w:val="000000" w:themeColor="text1"/>
        </w:rPr>
        <w:t>.</w:t>
      </w:r>
      <w:r w:rsidR="00FD3A14">
        <w:rPr>
          <w:color w:val="000000" w:themeColor="text1"/>
        </w:rPr>
        <w:t xml:space="preserve"> </w:t>
      </w:r>
      <w:r w:rsidR="004D4325">
        <w:rPr>
          <w:color w:val="000000" w:themeColor="text1"/>
        </w:rPr>
        <w:t xml:space="preserve">Generally, these inferences demonstrate a shared pattern of mandibular simplification in the common ancestor of </w:t>
      </w:r>
      <w:r w:rsidR="003D7D29">
        <w:rPr>
          <w:color w:val="000000" w:themeColor="text1"/>
        </w:rPr>
        <w:t>L</w:t>
      </w:r>
      <w:r w:rsidR="004D4325">
        <w:rPr>
          <w:color w:val="000000" w:themeColor="text1"/>
        </w:rPr>
        <w:t xml:space="preserve">issamphibia driven by loss of mandibular ossifications present in dissorophoids, and subsequent patterns in the four major lissamphibian lineages of further loss and fusion of ossifications. </w:t>
      </w:r>
      <w:r w:rsidR="000B4FC1">
        <w:rPr>
          <w:color w:val="000000" w:themeColor="text1"/>
        </w:rPr>
        <w:t xml:space="preserve">Improved understandings of the relationship of albanerpetontids to batrachians and gymnophionomorphs may further elucidate the </w:t>
      </w:r>
      <w:r w:rsidR="001E0854">
        <w:rPr>
          <w:color w:val="000000" w:themeColor="text1"/>
        </w:rPr>
        <w:t>stepwise</w:t>
      </w:r>
      <w:r w:rsidR="000B4FC1">
        <w:rPr>
          <w:color w:val="000000" w:themeColor="text1"/>
        </w:rPr>
        <w:t xml:space="preserve"> acquisition lissamphibian mandibular features, however the current uncertain placement of </w:t>
      </w:r>
      <w:r w:rsidR="00164DE5">
        <w:rPr>
          <w:color w:val="000000" w:themeColor="text1"/>
        </w:rPr>
        <w:t xml:space="preserve">albanerpetontids </w:t>
      </w:r>
      <w:r w:rsidR="000B4FC1">
        <w:rPr>
          <w:color w:val="000000" w:themeColor="text1"/>
        </w:rPr>
        <w:t xml:space="preserve">largely obscures whether features of the albanerpetontid mandible represent lissamphibian plesiomorphies, lissamphibian synapomorphies, </w:t>
      </w:r>
      <w:r w:rsidR="00D13D95">
        <w:rPr>
          <w:color w:val="000000" w:themeColor="text1"/>
        </w:rPr>
        <w:t xml:space="preserve">albanerpetontid autapomorphies, </w:t>
      </w:r>
      <w:r w:rsidR="000B4FC1">
        <w:rPr>
          <w:color w:val="000000" w:themeColor="text1"/>
        </w:rPr>
        <w:t xml:space="preserve">or homologies with either batrachians or gymnophionomorphs. </w:t>
      </w:r>
    </w:p>
    <w:p w14:paraId="0E0CECE4" w14:textId="77777777" w:rsidR="00D13D95" w:rsidRDefault="00D13D95" w:rsidP="008B5D9B">
      <w:pPr>
        <w:rPr>
          <w:color w:val="000000" w:themeColor="text1"/>
        </w:rPr>
      </w:pPr>
    </w:p>
    <w:p w14:paraId="3F130C5D" w14:textId="09F56357" w:rsidR="00E60CE2" w:rsidRPr="00062F7E" w:rsidRDefault="00D95BE6" w:rsidP="00662B68">
      <w:pPr>
        <w:rPr>
          <w:color w:val="000000" w:themeColor="text1"/>
        </w:rPr>
      </w:pPr>
      <w:r w:rsidRPr="00662B68">
        <w:rPr>
          <w:b/>
          <w:bCs/>
          <w:color w:val="000000" w:themeColor="text1"/>
        </w:rPr>
        <w:t>Ps</w:t>
      </w:r>
      <w:r w:rsidR="0044450F" w:rsidRPr="00662B68">
        <w:rPr>
          <w:b/>
          <w:bCs/>
          <w:color w:val="000000" w:themeColor="text1"/>
        </w:rPr>
        <w:t>e</w:t>
      </w:r>
      <w:r w:rsidRPr="00662B68">
        <w:rPr>
          <w:b/>
          <w:bCs/>
          <w:color w:val="000000" w:themeColor="text1"/>
        </w:rPr>
        <w:t>udoangular.</w:t>
      </w:r>
      <w:r w:rsidRPr="00062F7E">
        <w:rPr>
          <w:color w:val="000000" w:themeColor="text1"/>
        </w:rPr>
        <w:t xml:space="preserve"> The pseudoangular of </w:t>
      </w:r>
      <w:r w:rsidRPr="00062F7E">
        <w:rPr>
          <w:i/>
          <w:iCs/>
          <w:color w:val="000000" w:themeColor="text1"/>
        </w:rPr>
        <w:t>Funcusvermis</w:t>
      </w:r>
      <w:r w:rsidR="006308AF">
        <w:rPr>
          <w:i/>
          <w:iCs/>
          <w:color w:val="000000" w:themeColor="text1"/>
        </w:rPr>
        <w:t xml:space="preserve"> gilmorei</w:t>
      </w:r>
      <w:r w:rsidRPr="00062F7E">
        <w:rPr>
          <w:color w:val="000000" w:themeColor="text1"/>
        </w:rPr>
        <w:t xml:space="preserve"> is represented by four specimens (PEFO </w:t>
      </w:r>
      <w:r w:rsidR="009866AD" w:rsidRPr="00062F7E">
        <w:rPr>
          <w:color w:val="000000" w:themeColor="text1"/>
        </w:rPr>
        <w:t xml:space="preserve">46480, </w:t>
      </w:r>
      <w:r w:rsidR="00DE2804">
        <w:rPr>
          <w:color w:val="000000" w:themeColor="text1"/>
        </w:rPr>
        <w:t xml:space="preserve">PEFO </w:t>
      </w:r>
      <w:r w:rsidR="009866AD" w:rsidRPr="00062F7E">
        <w:rPr>
          <w:color w:val="000000" w:themeColor="text1"/>
        </w:rPr>
        <w:t xml:space="preserve">46482, </w:t>
      </w:r>
      <w:r w:rsidR="00DE2804">
        <w:rPr>
          <w:color w:val="000000" w:themeColor="text1"/>
        </w:rPr>
        <w:t xml:space="preserve">PEFO </w:t>
      </w:r>
      <w:r w:rsidR="009866AD" w:rsidRPr="00062F7E">
        <w:rPr>
          <w:color w:val="000000" w:themeColor="text1"/>
        </w:rPr>
        <w:t xml:space="preserve">47866, </w:t>
      </w:r>
      <w:r w:rsidR="00DE2804">
        <w:rPr>
          <w:color w:val="000000" w:themeColor="text1"/>
        </w:rPr>
        <w:t xml:space="preserve">PEFO </w:t>
      </w:r>
      <w:r w:rsidR="009866AD" w:rsidRPr="00062F7E">
        <w:rPr>
          <w:color w:val="000000" w:themeColor="text1"/>
        </w:rPr>
        <w:t xml:space="preserve">47865) </w:t>
      </w:r>
      <w:r w:rsidR="003771A7">
        <w:rPr>
          <w:color w:val="000000" w:themeColor="text1"/>
        </w:rPr>
        <w:t>that</w:t>
      </w:r>
      <w:r w:rsidR="003771A7" w:rsidRPr="00062F7E">
        <w:rPr>
          <w:color w:val="000000" w:themeColor="text1"/>
        </w:rPr>
        <w:t xml:space="preserve"> </w:t>
      </w:r>
      <w:r w:rsidR="009866AD" w:rsidRPr="00062F7E">
        <w:rPr>
          <w:color w:val="000000" w:themeColor="text1"/>
        </w:rPr>
        <w:t xml:space="preserve">share </w:t>
      </w:r>
      <w:r w:rsidR="001F3998" w:rsidRPr="00062F7E">
        <w:rPr>
          <w:color w:val="000000" w:themeColor="text1"/>
        </w:rPr>
        <w:t>similar</w:t>
      </w:r>
      <w:r w:rsidR="009866AD" w:rsidRPr="00062F7E">
        <w:rPr>
          <w:color w:val="000000" w:themeColor="text1"/>
        </w:rPr>
        <w:t xml:space="preserve"> morpholog</w:t>
      </w:r>
      <w:r w:rsidR="001F3998" w:rsidRPr="00062F7E">
        <w:rPr>
          <w:color w:val="000000" w:themeColor="text1"/>
        </w:rPr>
        <w:t>ical features</w:t>
      </w:r>
      <w:r w:rsidR="009866AD" w:rsidRPr="00062F7E">
        <w:rPr>
          <w:color w:val="000000" w:themeColor="text1"/>
        </w:rPr>
        <w:t xml:space="preserve"> and </w:t>
      </w:r>
      <w:r w:rsidR="001F3998" w:rsidRPr="00062F7E">
        <w:rPr>
          <w:color w:val="000000" w:themeColor="text1"/>
        </w:rPr>
        <w:t>vary</w:t>
      </w:r>
      <w:r w:rsidR="009866AD" w:rsidRPr="00062F7E">
        <w:rPr>
          <w:color w:val="000000" w:themeColor="text1"/>
        </w:rPr>
        <w:t xml:space="preserve"> only in size. PEFO 46480 </w:t>
      </w:r>
      <w:r w:rsidR="00575B95" w:rsidRPr="00062F7E">
        <w:rPr>
          <w:color w:val="000000" w:themeColor="text1"/>
        </w:rPr>
        <w:t xml:space="preserve">is a left pseudoangular </w:t>
      </w:r>
      <w:r w:rsidR="00211318" w:rsidRPr="00062F7E">
        <w:rPr>
          <w:color w:val="000000" w:themeColor="text1"/>
        </w:rPr>
        <w:t xml:space="preserve">that is </w:t>
      </w:r>
      <w:r w:rsidR="00575B95" w:rsidRPr="00062F7E">
        <w:rPr>
          <w:color w:val="000000" w:themeColor="text1"/>
        </w:rPr>
        <w:t xml:space="preserve">complete except for its </w:t>
      </w:r>
      <w:r w:rsidR="00D67BCB" w:rsidRPr="00062F7E">
        <w:rPr>
          <w:color w:val="000000" w:themeColor="text1"/>
        </w:rPr>
        <w:t>anteriormost</w:t>
      </w:r>
      <w:r w:rsidR="00575B95" w:rsidRPr="00062F7E">
        <w:rPr>
          <w:color w:val="000000" w:themeColor="text1"/>
        </w:rPr>
        <w:t xml:space="preserve"> </w:t>
      </w:r>
      <w:r w:rsidR="00D67BCB" w:rsidRPr="00062F7E">
        <w:rPr>
          <w:color w:val="000000" w:themeColor="text1"/>
        </w:rPr>
        <w:t>end</w:t>
      </w:r>
      <w:r w:rsidR="00575B95" w:rsidRPr="00062F7E">
        <w:rPr>
          <w:color w:val="000000" w:themeColor="text1"/>
        </w:rPr>
        <w:t xml:space="preserve"> </w:t>
      </w:r>
      <w:r w:rsidR="00D67BCB" w:rsidRPr="00062F7E">
        <w:rPr>
          <w:color w:val="000000" w:themeColor="text1"/>
        </w:rPr>
        <w:t>(</w:t>
      </w:r>
      <w:r w:rsidR="001A6367">
        <w:rPr>
          <w:color w:val="000000" w:themeColor="text1"/>
        </w:rPr>
        <w:t xml:space="preserve">Fig. 1, </w:t>
      </w:r>
      <w:r w:rsidR="00725DD8">
        <w:rPr>
          <w:color w:val="000000" w:themeColor="text1"/>
        </w:rPr>
        <w:t>Extended Data Fig. 3</w:t>
      </w:r>
      <w:r w:rsidR="00D67BCB" w:rsidRPr="00062F7E">
        <w:rPr>
          <w:color w:val="000000" w:themeColor="text1"/>
        </w:rPr>
        <w:t>)</w:t>
      </w:r>
      <w:r w:rsidR="004D72E7" w:rsidRPr="00062F7E">
        <w:rPr>
          <w:color w:val="000000" w:themeColor="text1"/>
        </w:rPr>
        <w:t xml:space="preserve">; it represents the </w:t>
      </w:r>
      <w:r w:rsidR="009866AD" w:rsidRPr="00062F7E">
        <w:rPr>
          <w:color w:val="000000" w:themeColor="text1"/>
        </w:rPr>
        <w:t>most complete</w:t>
      </w:r>
      <w:r w:rsidR="00575B95" w:rsidRPr="00062F7E">
        <w:rPr>
          <w:color w:val="000000" w:themeColor="text1"/>
        </w:rPr>
        <w:t xml:space="preserve"> pseudoangular </w:t>
      </w:r>
      <w:r w:rsidR="004D72E7" w:rsidRPr="00062F7E">
        <w:rPr>
          <w:color w:val="000000" w:themeColor="text1"/>
        </w:rPr>
        <w:t>recovered from PFV 456</w:t>
      </w:r>
      <w:r w:rsidR="00575B95" w:rsidRPr="00062F7E">
        <w:rPr>
          <w:color w:val="000000" w:themeColor="text1"/>
        </w:rPr>
        <w:t xml:space="preserve">, and </w:t>
      </w:r>
      <w:r w:rsidR="009866AD" w:rsidRPr="00062F7E">
        <w:rPr>
          <w:color w:val="000000" w:themeColor="text1"/>
        </w:rPr>
        <w:t>therefore</w:t>
      </w:r>
      <w:r w:rsidR="004D72E7" w:rsidRPr="00062F7E">
        <w:rPr>
          <w:color w:val="000000" w:themeColor="text1"/>
        </w:rPr>
        <w:t xml:space="preserve"> </w:t>
      </w:r>
      <w:r w:rsidR="00211318" w:rsidRPr="00062F7E">
        <w:rPr>
          <w:color w:val="000000" w:themeColor="text1"/>
        </w:rPr>
        <w:t xml:space="preserve">it </w:t>
      </w:r>
      <w:r w:rsidR="004D72E7" w:rsidRPr="00062F7E">
        <w:rPr>
          <w:color w:val="000000" w:themeColor="text1"/>
        </w:rPr>
        <w:t>is</w:t>
      </w:r>
      <w:r w:rsidR="009866AD" w:rsidRPr="00062F7E">
        <w:rPr>
          <w:color w:val="000000" w:themeColor="text1"/>
        </w:rPr>
        <w:t xml:space="preserve"> the basis for this description.</w:t>
      </w:r>
    </w:p>
    <w:p w14:paraId="17D3A32D" w14:textId="5C7E5872" w:rsidR="001F6DF7" w:rsidRPr="00062F7E" w:rsidRDefault="009866AD" w:rsidP="00662B68">
      <w:pPr>
        <w:ind w:firstLine="720"/>
        <w:rPr>
          <w:color w:val="000000" w:themeColor="text1"/>
        </w:rPr>
      </w:pPr>
      <w:r w:rsidRPr="00062F7E">
        <w:rPr>
          <w:color w:val="000000" w:themeColor="text1"/>
        </w:rPr>
        <w:t xml:space="preserve">The </w:t>
      </w:r>
      <w:r w:rsidR="00EC6A69" w:rsidRPr="00062F7E">
        <w:rPr>
          <w:color w:val="000000" w:themeColor="text1"/>
        </w:rPr>
        <w:t>jaw</w:t>
      </w:r>
      <w:r w:rsidRPr="00062F7E">
        <w:rPr>
          <w:color w:val="000000" w:themeColor="text1"/>
        </w:rPr>
        <w:t xml:space="preserve"> </w:t>
      </w:r>
      <w:r w:rsidR="00E7563B" w:rsidRPr="00062F7E">
        <w:rPr>
          <w:color w:val="000000" w:themeColor="text1"/>
        </w:rPr>
        <w:t>articulation</w:t>
      </w:r>
      <w:r w:rsidRPr="00062F7E">
        <w:rPr>
          <w:color w:val="000000" w:themeColor="text1"/>
        </w:rPr>
        <w:t xml:space="preserve"> surface</w:t>
      </w:r>
      <w:r w:rsidR="00725DD8" w:rsidRPr="00062F7E" w:rsidDel="00725DD8">
        <w:rPr>
          <w:color w:val="000000" w:themeColor="text1"/>
        </w:rPr>
        <w:t xml:space="preserve"> </w:t>
      </w:r>
      <w:r w:rsidR="00725DD8">
        <w:rPr>
          <w:color w:val="000000" w:themeColor="text1"/>
        </w:rPr>
        <w:t>i</w:t>
      </w:r>
      <w:r w:rsidRPr="00062F7E">
        <w:rPr>
          <w:color w:val="000000" w:themeColor="text1"/>
        </w:rPr>
        <w:t xml:space="preserve">s positioned near the posterior terminus of the element, </w:t>
      </w:r>
      <w:r w:rsidR="00AD55AC" w:rsidRPr="00062F7E">
        <w:rPr>
          <w:color w:val="000000" w:themeColor="text1"/>
        </w:rPr>
        <w:t>and</w:t>
      </w:r>
      <w:r w:rsidR="009348E5" w:rsidRPr="00062F7E">
        <w:rPr>
          <w:color w:val="000000" w:themeColor="text1"/>
        </w:rPr>
        <w:t xml:space="preserve"> is</w:t>
      </w:r>
      <w:r w:rsidRPr="00062F7E">
        <w:rPr>
          <w:color w:val="000000" w:themeColor="text1"/>
        </w:rPr>
        <w:t xml:space="preserve"> formed by a subcircular, dors</w:t>
      </w:r>
      <w:r w:rsidR="00B60A34" w:rsidRPr="00062F7E">
        <w:rPr>
          <w:color w:val="000000" w:themeColor="text1"/>
        </w:rPr>
        <w:t>omedially</w:t>
      </w:r>
      <w:r w:rsidRPr="00062F7E">
        <w:rPr>
          <w:color w:val="000000" w:themeColor="text1"/>
        </w:rPr>
        <w:t xml:space="preserve"> facing, </w:t>
      </w:r>
      <w:r w:rsidR="004D72E7" w:rsidRPr="00062F7E">
        <w:rPr>
          <w:color w:val="000000" w:themeColor="text1"/>
        </w:rPr>
        <w:t>slightly convex</w:t>
      </w:r>
      <w:r w:rsidRPr="00062F7E">
        <w:rPr>
          <w:color w:val="000000" w:themeColor="text1"/>
        </w:rPr>
        <w:t xml:space="preserve"> pad </w:t>
      </w:r>
      <w:r w:rsidR="00AD55AC" w:rsidRPr="00062F7E">
        <w:rPr>
          <w:color w:val="000000" w:themeColor="text1"/>
        </w:rPr>
        <w:t>of bone</w:t>
      </w:r>
      <w:r w:rsidR="00AE1B8F">
        <w:rPr>
          <w:color w:val="000000" w:themeColor="text1"/>
        </w:rPr>
        <w:t xml:space="preserve"> (Fig. 1, Extended Data Fig. 3)</w:t>
      </w:r>
      <w:r w:rsidR="00AD55AC" w:rsidRPr="00062F7E">
        <w:rPr>
          <w:color w:val="000000" w:themeColor="text1"/>
        </w:rPr>
        <w:t>. The slightly porous surface of the</w:t>
      </w:r>
      <w:r w:rsidR="004D72E7" w:rsidRPr="00062F7E">
        <w:rPr>
          <w:color w:val="000000" w:themeColor="text1"/>
        </w:rPr>
        <w:t xml:space="preserve"> </w:t>
      </w:r>
      <w:r w:rsidR="00EC6A69" w:rsidRPr="00062F7E">
        <w:rPr>
          <w:color w:val="000000" w:themeColor="text1"/>
        </w:rPr>
        <w:t xml:space="preserve">jaw </w:t>
      </w:r>
      <w:r w:rsidR="004D72E7" w:rsidRPr="00062F7E">
        <w:rPr>
          <w:color w:val="000000" w:themeColor="text1"/>
        </w:rPr>
        <w:t>articulation surface</w:t>
      </w:r>
      <w:r w:rsidR="00AD55AC" w:rsidRPr="00062F7E">
        <w:rPr>
          <w:color w:val="000000" w:themeColor="text1"/>
        </w:rPr>
        <w:t xml:space="preserve"> </w:t>
      </w:r>
      <w:r w:rsidR="00E7563B" w:rsidRPr="00062F7E">
        <w:rPr>
          <w:color w:val="000000" w:themeColor="text1"/>
        </w:rPr>
        <w:t xml:space="preserve">gives it a rugose texture, </w:t>
      </w:r>
      <w:r w:rsidR="00150262" w:rsidRPr="00062F7E">
        <w:rPr>
          <w:color w:val="000000" w:themeColor="text1"/>
        </w:rPr>
        <w:t>distinct</w:t>
      </w:r>
      <w:r w:rsidR="00AD55AC" w:rsidRPr="00062F7E">
        <w:rPr>
          <w:color w:val="000000" w:themeColor="text1"/>
        </w:rPr>
        <w:t xml:space="preserve"> from the smooth external bone present on the rest of the element.</w:t>
      </w:r>
      <w:r w:rsidR="00556671" w:rsidRPr="00062F7E">
        <w:rPr>
          <w:color w:val="000000" w:themeColor="text1"/>
        </w:rPr>
        <w:t xml:space="preserve"> The location of the jaw articulation surface in </w:t>
      </w:r>
      <w:r w:rsidR="00556671" w:rsidRPr="00062F7E">
        <w:rPr>
          <w:i/>
          <w:iCs/>
          <w:color w:val="000000" w:themeColor="text1"/>
        </w:rPr>
        <w:t>Funcusvermis</w:t>
      </w:r>
      <w:r w:rsidR="006308AF">
        <w:rPr>
          <w:i/>
          <w:iCs/>
          <w:color w:val="000000" w:themeColor="text1"/>
        </w:rPr>
        <w:t xml:space="preserve"> gilmorei</w:t>
      </w:r>
      <w:r w:rsidR="00556671" w:rsidRPr="00062F7E">
        <w:rPr>
          <w:color w:val="000000" w:themeColor="text1"/>
        </w:rPr>
        <w:t xml:space="preserve"> (at the posterior terminus of the pseudoangular), differs from the condition in all other gymnophionomorphs, in which it is located midway along the element anterior to the retroarticular process and lateral to the internal process. In </w:t>
      </w:r>
      <w:r w:rsidR="006308AF">
        <w:rPr>
          <w:i/>
          <w:iCs/>
          <w:color w:val="000000" w:themeColor="text1"/>
        </w:rPr>
        <w:t>F. gilmorei</w:t>
      </w:r>
      <w:r w:rsidR="006308AF" w:rsidRPr="00062F7E">
        <w:rPr>
          <w:color w:val="000000" w:themeColor="text1"/>
        </w:rPr>
        <w:t xml:space="preserve"> </w:t>
      </w:r>
      <w:r w:rsidR="00556671" w:rsidRPr="00062F7E">
        <w:rPr>
          <w:color w:val="000000" w:themeColor="text1"/>
        </w:rPr>
        <w:t xml:space="preserve">the jaw articulation surface is more similar in both morphology and position to the condition in dissorophoids and batrachians, where the jaw articulation surface is formed by a planar, dorsally facing subcircular pad occupying the posterior terminus of the lower jaw. The form of the </w:t>
      </w:r>
      <w:r w:rsidR="00B4217F">
        <w:rPr>
          <w:color w:val="000000" w:themeColor="text1"/>
        </w:rPr>
        <w:t>jaw</w:t>
      </w:r>
      <w:r w:rsidR="00B4217F" w:rsidRPr="00062F7E">
        <w:rPr>
          <w:color w:val="000000" w:themeColor="text1"/>
        </w:rPr>
        <w:t xml:space="preserve"> </w:t>
      </w:r>
      <w:r w:rsidR="00556671" w:rsidRPr="00062F7E">
        <w:rPr>
          <w:color w:val="000000" w:themeColor="text1"/>
        </w:rPr>
        <w:t xml:space="preserve">articulation surface in </w:t>
      </w:r>
      <w:r w:rsidR="006308AF">
        <w:rPr>
          <w:i/>
          <w:iCs/>
          <w:color w:val="000000" w:themeColor="text1"/>
        </w:rPr>
        <w:t>F. gilmorei</w:t>
      </w:r>
      <w:r w:rsidR="006308AF" w:rsidRPr="00062F7E">
        <w:rPr>
          <w:color w:val="000000" w:themeColor="text1"/>
        </w:rPr>
        <w:t xml:space="preserve"> </w:t>
      </w:r>
      <w:r w:rsidR="00556671" w:rsidRPr="00062F7E">
        <w:rPr>
          <w:color w:val="000000" w:themeColor="text1"/>
        </w:rPr>
        <w:t xml:space="preserve">is especially </w:t>
      </w:r>
      <w:r w:rsidR="0028721A" w:rsidRPr="00062F7E">
        <w:rPr>
          <w:color w:val="000000" w:themeColor="text1"/>
        </w:rPr>
        <w:t>like</w:t>
      </w:r>
      <w:r w:rsidR="00556671" w:rsidRPr="00062F7E">
        <w:rPr>
          <w:color w:val="000000" w:themeColor="text1"/>
        </w:rPr>
        <w:t xml:space="preserve"> that o</w:t>
      </w:r>
      <w:r w:rsidR="00B4217F">
        <w:rPr>
          <w:color w:val="000000" w:themeColor="text1"/>
        </w:rPr>
        <w:t>f the</w:t>
      </w:r>
      <w:r w:rsidR="00556671" w:rsidRPr="00062F7E">
        <w:rPr>
          <w:color w:val="000000" w:themeColor="text1"/>
        </w:rPr>
        <w:t xml:space="preserve"> amphibamiform dissorophoid </w:t>
      </w:r>
      <w:r w:rsidR="00556671" w:rsidRPr="00062F7E">
        <w:rPr>
          <w:i/>
          <w:iCs/>
          <w:color w:val="000000" w:themeColor="text1"/>
        </w:rPr>
        <w:t>Doleserpeton</w:t>
      </w:r>
      <w:r w:rsidR="006308AF">
        <w:rPr>
          <w:i/>
          <w:iCs/>
          <w:color w:val="000000" w:themeColor="text1"/>
        </w:rPr>
        <w:t xml:space="preserve"> annectens</w:t>
      </w:r>
      <w:r w:rsidR="00556671" w:rsidRPr="00062F7E">
        <w:rPr>
          <w:i/>
          <w:iCs/>
          <w:color w:val="000000" w:themeColor="text1"/>
        </w:rPr>
        <w:t xml:space="preserve"> </w:t>
      </w:r>
      <w:r w:rsidR="00556671" w:rsidRPr="00062F7E">
        <w:rPr>
          <w:color w:val="000000" w:themeColor="text1"/>
        </w:rPr>
        <w:t xml:space="preserve">(FMNH UR1335; Sigurdsen </w:t>
      </w:r>
      <w:r w:rsidR="009332B9">
        <w:rPr>
          <w:color w:val="000000" w:themeColor="text1"/>
        </w:rPr>
        <w:t xml:space="preserve">&amp; </w:t>
      </w:r>
      <w:r w:rsidR="00556671" w:rsidRPr="00062F7E">
        <w:rPr>
          <w:color w:val="000000" w:themeColor="text1"/>
        </w:rPr>
        <w:t>Bolt, 2010, fig. 3C), suggesting they may also share similarities in their quadrate morphology. The jaw articulation surface</w:t>
      </w:r>
      <w:r w:rsidR="00B4217F">
        <w:rPr>
          <w:color w:val="000000" w:themeColor="text1"/>
        </w:rPr>
        <w:t xml:space="preserve"> morphology</w:t>
      </w:r>
      <w:r w:rsidR="00556671" w:rsidRPr="00062F7E">
        <w:rPr>
          <w:color w:val="000000" w:themeColor="text1"/>
        </w:rPr>
        <w:t xml:space="preserve"> </w:t>
      </w:r>
      <w:r w:rsidR="00B4217F">
        <w:rPr>
          <w:color w:val="000000" w:themeColor="text1"/>
        </w:rPr>
        <w:t>of</w:t>
      </w:r>
      <w:r w:rsidR="00556671" w:rsidRPr="00062F7E">
        <w:rPr>
          <w:color w:val="000000" w:themeColor="text1"/>
        </w:rPr>
        <w:t xml:space="preserve"> </w:t>
      </w:r>
      <w:r w:rsidR="00556671" w:rsidRPr="00062F7E">
        <w:rPr>
          <w:i/>
          <w:iCs/>
          <w:color w:val="000000" w:themeColor="text1"/>
        </w:rPr>
        <w:t>Eocaecilia</w:t>
      </w:r>
      <w:r w:rsidR="006308AF">
        <w:rPr>
          <w:i/>
          <w:iCs/>
          <w:color w:val="000000" w:themeColor="text1"/>
        </w:rPr>
        <w:t xml:space="preserve"> micropodia</w:t>
      </w:r>
      <w:r w:rsidR="00B4217F">
        <w:rPr>
          <w:i/>
          <w:iCs/>
          <w:color w:val="000000" w:themeColor="text1"/>
        </w:rPr>
        <w:t xml:space="preserve"> </w:t>
      </w:r>
      <w:r w:rsidR="00B4217F">
        <w:rPr>
          <w:color w:val="000000" w:themeColor="text1"/>
        </w:rPr>
        <w:t xml:space="preserve">is similar to that of </w:t>
      </w:r>
      <w:r w:rsidR="006308AF">
        <w:rPr>
          <w:i/>
          <w:iCs/>
          <w:color w:val="000000" w:themeColor="text1"/>
        </w:rPr>
        <w:t>F. gilmorei</w:t>
      </w:r>
      <w:r w:rsidR="00B4217F">
        <w:rPr>
          <w:color w:val="000000" w:themeColor="text1"/>
        </w:rPr>
        <w:t xml:space="preserve">, </w:t>
      </w:r>
      <w:r w:rsidR="00556671" w:rsidRPr="00062F7E">
        <w:rPr>
          <w:color w:val="000000" w:themeColor="text1"/>
        </w:rPr>
        <w:t>differ</w:t>
      </w:r>
      <w:r w:rsidR="00B4217F">
        <w:rPr>
          <w:color w:val="000000" w:themeColor="text1"/>
        </w:rPr>
        <w:t>ing</w:t>
      </w:r>
      <w:r w:rsidR="00556671" w:rsidRPr="00062F7E">
        <w:rPr>
          <w:color w:val="000000" w:themeColor="text1"/>
        </w:rPr>
        <w:t xml:space="preserve"> from the transversely oriented </w:t>
      </w:r>
      <w:r w:rsidR="00B4217F">
        <w:rPr>
          <w:color w:val="000000" w:themeColor="text1"/>
        </w:rPr>
        <w:t xml:space="preserve">deeply inset </w:t>
      </w:r>
      <w:r w:rsidR="00AF363D">
        <w:rPr>
          <w:color w:val="000000" w:themeColor="text1"/>
        </w:rPr>
        <w:t xml:space="preserve">U-shaped </w:t>
      </w:r>
      <w:r w:rsidR="001F6DF7" w:rsidRPr="00062F7E">
        <w:rPr>
          <w:color w:val="000000" w:themeColor="text1"/>
        </w:rPr>
        <w:t xml:space="preserve">fossa forming the </w:t>
      </w:r>
      <w:r w:rsidR="00556671" w:rsidRPr="00062F7E">
        <w:rPr>
          <w:color w:val="000000" w:themeColor="text1"/>
        </w:rPr>
        <w:t xml:space="preserve">jaw articulation surface in </w:t>
      </w:r>
      <w:r w:rsidR="00556671" w:rsidRPr="00062F7E">
        <w:rPr>
          <w:i/>
          <w:iCs/>
          <w:color w:val="000000" w:themeColor="text1"/>
        </w:rPr>
        <w:t>Rubri</w:t>
      </w:r>
      <w:r w:rsidR="003D7D29">
        <w:rPr>
          <w:i/>
          <w:iCs/>
          <w:color w:val="000000" w:themeColor="text1"/>
        </w:rPr>
        <w:t>ca</w:t>
      </w:r>
      <w:r w:rsidR="00556671" w:rsidRPr="00062F7E">
        <w:rPr>
          <w:i/>
          <w:iCs/>
          <w:color w:val="000000" w:themeColor="text1"/>
        </w:rPr>
        <w:t>caecilia</w:t>
      </w:r>
      <w:r w:rsidR="006308AF">
        <w:rPr>
          <w:i/>
          <w:iCs/>
          <w:color w:val="000000" w:themeColor="text1"/>
        </w:rPr>
        <w:t xml:space="preserve"> monbaroni</w:t>
      </w:r>
      <w:r w:rsidR="00556671" w:rsidRPr="00062F7E">
        <w:rPr>
          <w:color w:val="000000" w:themeColor="text1"/>
        </w:rPr>
        <w:t xml:space="preserve"> and all gymnophionans</w:t>
      </w:r>
      <w:r w:rsidR="00D036C4">
        <w:rPr>
          <w:color w:val="000000" w:themeColor="text1"/>
        </w:rPr>
        <w:t xml:space="preserve"> (e.g. Nussbaum 19</w:t>
      </w:r>
      <w:r w:rsidR="008A5A18">
        <w:rPr>
          <w:color w:val="000000" w:themeColor="text1"/>
        </w:rPr>
        <w:t>8</w:t>
      </w:r>
      <w:r w:rsidR="00D036C4">
        <w:rPr>
          <w:color w:val="000000" w:themeColor="text1"/>
        </w:rPr>
        <w:t xml:space="preserve">3; Bemis et al., 1983; </w:t>
      </w:r>
      <w:r w:rsidR="00D036C4" w:rsidRPr="00E02BDA">
        <w:rPr>
          <w:color w:val="222222"/>
        </w:rPr>
        <w:t xml:space="preserve">Evans </w:t>
      </w:r>
      <w:r w:rsidR="00D036C4">
        <w:rPr>
          <w:color w:val="222222"/>
        </w:rPr>
        <w:t>&amp;</w:t>
      </w:r>
      <w:r w:rsidR="00D036C4" w:rsidRPr="00E02BDA">
        <w:rPr>
          <w:color w:val="222222"/>
        </w:rPr>
        <w:t xml:space="preserve"> </w:t>
      </w:r>
      <w:proofErr w:type="spellStart"/>
      <w:r w:rsidR="00D036C4" w:rsidRPr="00E02BDA">
        <w:rPr>
          <w:color w:val="222222"/>
        </w:rPr>
        <w:t>Sigogneau</w:t>
      </w:r>
      <w:proofErr w:type="spellEnd"/>
      <w:r w:rsidR="00D036C4" w:rsidRPr="00E02BDA">
        <w:rPr>
          <w:color w:val="222222"/>
        </w:rPr>
        <w:t>-Russel, 2001</w:t>
      </w:r>
      <w:r w:rsidR="00D036C4">
        <w:rPr>
          <w:color w:val="222222"/>
        </w:rPr>
        <w:t>; Jenkins et al., 2007; Wilkinson et al., 2011</w:t>
      </w:r>
      <w:r w:rsidR="00D036C4">
        <w:rPr>
          <w:color w:val="000000" w:themeColor="text1"/>
        </w:rPr>
        <w:t>).</w:t>
      </w:r>
      <w:r w:rsidR="001F6DF7" w:rsidRPr="00062F7E">
        <w:rPr>
          <w:color w:val="000000" w:themeColor="text1"/>
        </w:rPr>
        <w:t xml:space="preserve">, where the condyle of the quadrate-squamosal complex fits tightly into the fossa of the jaw joint, </w:t>
      </w:r>
      <w:r w:rsidR="00556671" w:rsidRPr="00062F7E">
        <w:rPr>
          <w:color w:val="000000" w:themeColor="text1"/>
        </w:rPr>
        <w:t>increas</w:t>
      </w:r>
      <w:r w:rsidR="001F6DF7" w:rsidRPr="00062F7E">
        <w:rPr>
          <w:color w:val="000000" w:themeColor="text1"/>
        </w:rPr>
        <w:t>ing</w:t>
      </w:r>
      <w:r w:rsidR="00556671" w:rsidRPr="00062F7E">
        <w:rPr>
          <w:color w:val="000000" w:themeColor="text1"/>
        </w:rPr>
        <w:t xml:space="preserve"> the stability of the jaw closure mechanism</w:t>
      </w:r>
      <w:r w:rsidR="00B4217F">
        <w:rPr>
          <w:color w:val="000000" w:themeColor="text1"/>
        </w:rPr>
        <w:t xml:space="preserve"> (</w:t>
      </w:r>
      <w:r w:rsidR="00D036C4">
        <w:rPr>
          <w:color w:val="000000" w:themeColor="text1"/>
        </w:rPr>
        <w:t xml:space="preserve">Bemis et al., 1983; </w:t>
      </w:r>
      <w:r w:rsidR="00B4217F">
        <w:rPr>
          <w:color w:val="000000" w:themeColor="text1"/>
        </w:rPr>
        <w:t>Jenkins et al., 2007)</w:t>
      </w:r>
      <w:r w:rsidR="003A1C71" w:rsidRPr="00062F7E">
        <w:rPr>
          <w:color w:val="000000" w:themeColor="text1"/>
        </w:rPr>
        <w:t xml:space="preserve">. </w:t>
      </w:r>
      <w:r w:rsidR="00556671" w:rsidRPr="00062F7E">
        <w:rPr>
          <w:color w:val="000000" w:themeColor="text1"/>
        </w:rPr>
        <w:t xml:space="preserve">The morphology of the jaw articulation surface morphology in </w:t>
      </w:r>
      <w:r w:rsidR="00556671" w:rsidRPr="00062F7E">
        <w:rPr>
          <w:i/>
          <w:iCs/>
          <w:color w:val="000000" w:themeColor="text1"/>
        </w:rPr>
        <w:t>F</w:t>
      </w:r>
      <w:r w:rsidR="006308AF">
        <w:rPr>
          <w:i/>
          <w:iCs/>
          <w:color w:val="000000" w:themeColor="text1"/>
        </w:rPr>
        <w:t>. gilmorei</w:t>
      </w:r>
      <w:r w:rsidR="00556671" w:rsidRPr="00062F7E">
        <w:rPr>
          <w:color w:val="000000" w:themeColor="text1"/>
        </w:rPr>
        <w:t xml:space="preserve"> and </w:t>
      </w:r>
      <w:r w:rsidR="006308AF">
        <w:rPr>
          <w:i/>
          <w:iCs/>
          <w:color w:val="000000" w:themeColor="text1"/>
        </w:rPr>
        <w:t>E. micropodia</w:t>
      </w:r>
      <w:r w:rsidR="006308AF" w:rsidRPr="00062F7E">
        <w:rPr>
          <w:i/>
          <w:iCs/>
          <w:color w:val="000000" w:themeColor="text1"/>
        </w:rPr>
        <w:t xml:space="preserve"> </w:t>
      </w:r>
      <w:r w:rsidR="003A1C71" w:rsidRPr="00062F7E">
        <w:rPr>
          <w:color w:val="000000" w:themeColor="text1"/>
        </w:rPr>
        <w:t xml:space="preserve">suggests jaw closure may have been destabilized relative to living </w:t>
      </w:r>
      <w:proofErr w:type="spellStart"/>
      <w:r w:rsidR="003A1C71" w:rsidRPr="00062F7E">
        <w:rPr>
          <w:color w:val="000000" w:themeColor="text1"/>
        </w:rPr>
        <w:t>gymnophionans</w:t>
      </w:r>
      <w:proofErr w:type="spellEnd"/>
      <w:r w:rsidR="003A1C71" w:rsidRPr="00062F7E">
        <w:rPr>
          <w:color w:val="000000" w:themeColor="text1"/>
        </w:rPr>
        <w:t xml:space="preserve">, allowing </w:t>
      </w:r>
      <w:proofErr w:type="spellStart"/>
      <w:r w:rsidR="003A1C71" w:rsidRPr="00062F7E">
        <w:rPr>
          <w:color w:val="000000" w:themeColor="text1"/>
        </w:rPr>
        <w:t>propalinal</w:t>
      </w:r>
      <w:proofErr w:type="spellEnd"/>
      <w:r w:rsidR="003A1C71" w:rsidRPr="00062F7E">
        <w:rPr>
          <w:color w:val="000000" w:themeColor="text1"/>
        </w:rPr>
        <w:t xml:space="preserve"> movement (Jenkins et al., 2007)</w:t>
      </w:r>
      <w:r w:rsidR="001F6DF7" w:rsidRPr="00062F7E">
        <w:rPr>
          <w:color w:val="000000" w:themeColor="text1"/>
        </w:rPr>
        <w:t xml:space="preserve"> as in batrachians and presumably dissorophoids. </w:t>
      </w:r>
    </w:p>
    <w:p w14:paraId="546B77A7" w14:textId="6F13EE6F" w:rsidR="00556671" w:rsidRPr="00062F7E" w:rsidRDefault="00AD55AC" w:rsidP="00662B68">
      <w:pPr>
        <w:ind w:firstLine="720"/>
        <w:rPr>
          <w:color w:val="000000" w:themeColor="text1"/>
        </w:rPr>
      </w:pPr>
      <w:r w:rsidRPr="00062F7E">
        <w:rPr>
          <w:color w:val="000000" w:themeColor="text1"/>
        </w:rPr>
        <w:t xml:space="preserve"> </w:t>
      </w:r>
      <w:r w:rsidR="00DC6CF3" w:rsidRPr="00062F7E">
        <w:rPr>
          <w:color w:val="000000" w:themeColor="text1"/>
        </w:rPr>
        <w:t>A small subtriangular process projects</w:t>
      </w:r>
      <w:r w:rsidR="00037CCE">
        <w:rPr>
          <w:color w:val="000000" w:themeColor="text1"/>
        </w:rPr>
        <w:t xml:space="preserve"> (</w:t>
      </w:r>
      <w:r w:rsidR="00D96674">
        <w:rPr>
          <w:color w:val="000000" w:themeColor="text1"/>
        </w:rPr>
        <w:t>=</w:t>
      </w:r>
      <w:r w:rsidR="00037CCE">
        <w:rPr>
          <w:color w:val="000000" w:themeColor="text1"/>
        </w:rPr>
        <w:t>posterior pseudoangular process</w:t>
      </w:r>
      <w:r w:rsidR="006D54B2">
        <w:rPr>
          <w:color w:val="000000" w:themeColor="text1"/>
        </w:rPr>
        <w:t>;</w:t>
      </w:r>
      <w:r w:rsidR="00D85B3C">
        <w:rPr>
          <w:color w:val="000000" w:themeColor="text1"/>
        </w:rPr>
        <w:t xml:space="preserve"> Fig</w:t>
      </w:r>
      <w:r w:rsidR="005A0A62">
        <w:rPr>
          <w:color w:val="000000" w:themeColor="text1"/>
        </w:rPr>
        <w:t xml:space="preserve">. 1, </w:t>
      </w:r>
      <w:r w:rsidR="00920C34">
        <w:rPr>
          <w:color w:val="000000" w:themeColor="text1"/>
        </w:rPr>
        <w:t>Extended Data Fi</w:t>
      </w:r>
      <w:r w:rsidR="00302547">
        <w:rPr>
          <w:color w:val="000000" w:themeColor="text1"/>
        </w:rPr>
        <w:t xml:space="preserve">g. </w:t>
      </w:r>
      <w:r w:rsidR="008A5D11">
        <w:rPr>
          <w:color w:val="000000" w:themeColor="text1"/>
        </w:rPr>
        <w:t>3</w:t>
      </w:r>
      <w:r w:rsidR="00037CCE">
        <w:rPr>
          <w:color w:val="000000" w:themeColor="text1"/>
        </w:rPr>
        <w:t>)</w:t>
      </w:r>
      <w:r w:rsidR="00DC6CF3" w:rsidRPr="00062F7E">
        <w:rPr>
          <w:color w:val="000000" w:themeColor="text1"/>
        </w:rPr>
        <w:t xml:space="preserve"> posteriorly from the posterolateral margin of the jaw articulation surface</w:t>
      </w:r>
      <w:r w:rsidRPr="00062F7E">
        <w:rPr>
          <w:color w:val="000000" w:themeColor="text1"/>
        </w:rPr>
        <w:t>, forming the posteriormost extent of the lower jaw</w:t>
      </w:r>
      <w:r w:rsidR="004D72E7" w:rsidRPr="00062F7E">
        <w:rPr>
          <w:color w:val="000000" w:themeColor="text1"/>
        </w:rPr>
        <w:t>.</w:t>
      </w:r>
      <w:r w:rsidR="00556671" w:rsidRPr="00062F7E">
        <w:rPr>
          <w:color w:val="000000" w:themeColor="text1"/>
        </w:rPr>
        <w:t xml:space="preserve"> </w:t>
      </w:r>
      <w:r w:rsidR="00037CCE">
        <w:rPr>
          <w:color w:val="000000" w:themeColor="text1"/>
        </w:rPr>
        <w:t xml:space="preserve">The articular of </w:t>
      </w:r>
      <w:r w:rsidR="00556671" w:rsidRPr="00062F7E">
        <w:rPr>
          <w:i/>
          <w:iCs/>
          <w:color w:val="000000" w:themeColor="text1"/>
        </w:rPr>
        <w:t>Doleserpeton</w:t>
      </w:r>
      <w:r w:rsidR="006308AF">
        <w:rPr>
          <w:i/>
          <w:iCs/>
          <w:color w:val="000000" w:themeColor="text1"/>
        </w:rPr>
        <w:t xml:space="preserve"> annectens</w:t>
      </w:r>
      <w:r w:rsidR="00556671" w:rsidRPr="00062F7E">
        <w:rPr>
          <w:color w:val="000000" w:themeColor="text1"/>
        </w:rPr>
        <w:t xml:space="preserve"> bears a small posterolaterally projecting process situated on the posterolateral corner of the jaw </w:t>
      </w:r>
      <w:r w:rsidR="00556671" w:rsidRPr="00062F7E">
        <w:rPr>
          <w:color w:val="000000" w:themeColor="text1"/>
        </w:rPr>
        <w:lastRenderedPageBreak/>
        <w:t xml:space="preserve">articulation surface, strongly resembling the posterior pseudoangular process in </w:t>
      </w:r>
      <w:r w:rsidR="00556671" w:rsidRPr="00062F7E">
        <w:rPr>
          <w:i/>
          <w:iCs/>
          <w:color w:val="000000" w:themeColor="text1"/>
        </w:rPr>
        <w:t>Funcusvermis</w:t>
      </w:r>
      <w:r w:rsidR="006308AF">
        <w:rPr>
          <w:i/>
          <w:iCs/>
          <w:color w:val="000000" w:themeColor="text1"/>
        </w:rPr>
        <w:t xml:space="preserve"> gilmorei</w:t>
      </w:r>
      <w:r w:rsidR="00556671" w:rsidRPr="00062F7E">
        <w:rPr>
          <w:color w:val="000000" w:themeColor="text1"/>
        </w:rPr>
        <w:t xml:space="preserve">. This resemblance suggests this process may be homologous in </w:t>
      </w:r>
      <w:r w:rsidR="006308AF">
        <w:rPr>
          <w:i/>
          <w:iCs/>
          <w:color w:val="000000" w:themeColor="text1"/>
        </w:rPr>
        <w:t>F. gilmorei</w:t>
      </w:r>
      <w:r w:rsidR="006308AF" w:rsidRPr="00062F7E">
        <w:rPr>
          <w:i/>
          <w:iCs/>
          <w:color w:val="000000" w:themeColor="text1"/>
        </w:rPr>
        <w:t xml:space="preserve"> </w:t>
      </w:r>
      <w:r w:rsidR="00556671" w:rsidRPr="00062F7E">
        <w:rPr>
          <w:color w:val="000000" w:themeColor="text1"/>
        </w:rPr>
        <w:t xml:space="preserve">and </w:t>
      </w:r>
      <w:r w:rsidR="006308AF">
        <w:rPr>
          <w:i/>
          <w:iCs/>
          <w:color w:val="000000" w:themeColor="text1"/>
        </w:rPr>
        <w:t>D. annectens</w:t>
      </w:r>
      <w:r w:rsidR="00556671" w:rsidRPr="00062F7E">
        <w:rPr>
          <w:color w:val="000000" w:themeColor="text1"/>
        </w:rPr>
        <w:t xml:space="preserve">. In </w:t>
      </w:r>
      <w:r w:rsidR="006308AF">
        <w:rPr>
          <w:i/>
          <w:iCs/>
          <w:color w:val="000000" w:themeColor="text1"/>
        </w:rPr>
        <w:t>F. gilmorei</w:t>
      </w:r>
      <w:r w:rsidR="006308AF">
        <w:rPr>
          <w:color w:val="000000" w:themeColor="text1"/>
        </w:rPr>
        <w:t>,</w:t>
      </w:r>
      <w:r w:rsidR="006308AF" w:rsidRPr="00062F7E">
        <w:rPr>
          <w:i/>
          <w:iCs/>
          <w:color w:val="000000" w:themeColor="text1"/>
        </w:rPr>
        <w:t xml:space="preserve"> </w:t>
      </w:r>
      <w:r w:rsidR="00556671" w:rsidRPr="00062F7E">
        <w:rPr>
          <w:color w:val="000000" w:themeColor="text1"/>
        </w:rPr>
        <w:t xml:space="preserve">this process may represent a posterior expansion of the pseudoangular that later becomes the elongate retroarticular process in the common ancestor of </w:t>
      </w:r>
      <w:r w:rsidR="00556671" w:rsidRPr="00062F7E">
        <w:rPr>
          <w:i/>
          <w:iCs/>
          <w:color w:val="000000" w:themeColor="text1"/>
        </w:rPr>
        <w:t>Eocaecilia</w:t>
      </w:r>
      <w:r w:rsidR="006308AF">
        <w:rPr>
          <w:i/>
          <w:iCs/>
          <w:color w:val="000000" w:themeColor="text1"/>
        </w:rPr>
        <w:t xml:space="preserve"> micropodia</w:t>
      </w:r>
      <w:r w:rsidR="00556671" w:rsidRPr="00062F7E">
        <w:rPr>
          <w:color w:val="000000" w:themeColor="text1"/>
        </w:rPr>
        <w:t xml:space="preserve"> and Gymnophiona. Unlike all other gymnophionomorph</w:t>
      </w:r>
      <w:r w:rsidR="00037CCE">
        <w:rPr>
          <w:color w:val="000000" w:themeColor="text1"/>
        </w:rPr>
        <w:t>s, and similar to dissorophoids, batrachians, and albanerpetontids, the</w:t>
      </w:r>
      <w:r w:rsidR="00556671" w:rsidRPr="00062F7E">
        <w:rPr>
          <w:color w:val="000000" w:themeColor="text1"/>
        </w:rPr>
        <w:t xml:space="preserve"> elongate retroarticular process is absent in </w:t>
      </w:r>
      <w:r w:rsidR="006308AF">
        <w:rPr>
          <w:i/>
          <w:iCs/>
          <w:color w:val="000000" w:themeColor="text1"/>
        </w:rPr>
        <w:t>F. gilmorei</w:t>
      </w:r>
      <w:r w:rsidR="00556671" w:rsidRPr="00062F7E">
        <w:rPr>
          <w:color w:val="000000" w:themeColor="text1"/>
        </w:rPr>
        <w:t>, suggesting the ancestral gymnophionomorph condition lacks this feature.</w:t>
      </w:r>
    </w:p>
    <w:p w14:paraId="30042997" w14:textId="518C61C9" w:rsidR="001F6DF7" w:rsidRPr="00062F7E" w:rsidRDefault="00395018" w:rsidP="00662B68">
      <w:pPr>
        <w:ind w:firstLine="720"/>
        <w:rPr>
          <w:color w:val="000000" w:themeColor="text1"/>
        </w:rPr>
      </w:pPr>
      <w:r w:rsidRPr="00062F7E">
        <w:rPr>
          <w:color w:val="000000" w:themeColor="text1"/>
        </w:rPr>
        <w:t>The adductor fossa is formed by a deep fossa that occupies most of the dorsal surface of the pseudoangular anterior to the jaw articulation surface</w:t>
      </w:r>
      <w:r w:rsidR="000A06AD">
        <w:rPr>
          <w:color w:val="000000" w:themeColor="text1"/>
        </w:rPr>
        <w:t xml:space="preserve">, </w:t>
      </w:r>
      <w:r w:rsidR="009B3E92">
        <w:rPr>
          <w:color w:val="000000" w:themeColor="text1"/>
        </w:rPr>
        <w:t>occupy</w:t>
      </w:r>
      <w:r w:rsidR="00C200B7">
        <w:rPr>
          <w:color w:val="000000" w:themeColor="text1"/>
        </w:rPr>
        <w:t xml:space="preserve">ing </w:t>
      </w:r>
      <w:r w:rsidR="00CC1AFC">
        <w:rPr>
          <w:color w:val="000000" w:themeColor="text1"/>
        </w:rPr>
        <w:t>&gt;</w:t>
      </w:r>
      <w:r w:rsidR="00C200B7">
        <w:rPr>
          <w:color w:val="000000" w:themeColor="text1"/>
        </w:rPr>
        <w:t xml:space="preserve"> 30</w:t>
      </w:r>
      <w:r w:rsidR="00CB7BE7">
        <w:rPr>
          <w:color w:val="000000" w:themeColor="text1"/>
        </w:rPr>
        <w:t xml:space="preserve">% of the </w:t>
      </w:r>
      <w:r w:rsidR="001279D1">
        <w:rPr>
          <w:color w:val="000000" w:themeColor="text1"/>
        </w:rPr>
        <w:t>total pseudoa</w:t>
      </w:r>
      <w:r w:rsidR="00465A7F">
        <w:rPr>
          <w:color w:val="000000" w:themeColor="text1"/>
        </w:rPr>
        <w:t>ngular length</w:t>
      </w:r>
      <w:r w:rsidR="00A66998">
        <w:rPr>
          <w:color w:val="000000" w:themeColor="text1"/>
        </w:rPr>
        <w:t xml:space="preserve"> (Supp</w:t>
      </w:r>
      <w:r w:rsidR="008F73FE">
        <w:rPr>
          <w:color w:val="000000" w:themeColor="text1"/>
        </w:rPr>
        <w:t>lement</w:t>
      </w:r>
      <w:r w:rsidR="009E1C96">
        <w:rPr>
          <w:color w:val="000000" w:themeColor="text1"/>
        </w:rPr>
        <w:t xml:space="preserve">ary </w:t>
      </w:r>
      <w:r w:rsidR="00A734C9">
        <w:rPr>
          <w:color w:val="000000" w:themeColor="text1"/>
        </w:rPr>
        <w:t xml:space="preserve">Table </w:t>
      </w:r>
      <w:r w:rsidR="002F1EA6">
        <w:rPr>
          <w:color w:val="000000" w:themeColor="text1"/>
        </w:rPr>
        <w:t>1</w:t>
      </w:r>
      <w:r w:rsidR="00A734C9">
        <w:rPr>
          <w:color w:val="000000" w:themeColor="text1"/>
        </w:rPr>
        <w:t>)</w:t>
      </w:r>
      <w:r w:rsidRPr="00062F7E">
        <w:rPr>
          <w:color w:val="000000" w:themeColor="text1"/>
        </w:rPr>
        <w:t xml:space="preserve">. </w:t>
      </w:r>
      <w:r w:rsidR="00B93C42" w:rsidRPr="00062F7E">
        <w:rPr>
          <w:color w:val="000000" w:themeColor="text1"/>
        </w:rPr>
        <w:t xml:space="preserve">Ancestrally in tetrapods the </w:t>
      </w:r>
      <w:r w:rsidR="00993511">
        <w:rPr>
          <w:i/>
          <w:iCs/>
          <w:color w:val="000000" w:themeColor="text1"/>
        </w:rPr>
        <w:t>m</w:t>
      </w:r>
      <w:r w:rsidR="00B93C42" w:rsidRPr="00662B68">
        <w:rPr>
          <w:i/>
          <w:iCs/>
          <w:color w:val="000000" w:themeColor="text1"/>
        </w:rPr>
        <w:t>. adductor mandibulae</w:t>
      </w:r>
      <w:r w:rsidR="00B93C42" w:rsidRPr="00062F7E">
        <w:rPr>
          <w:color w:val="000000" w:themeColor="text1"/>
        </w:rPr>
        <w:t xml:space="preserve"> complex (</w:t>
      </w:r>
      <w:proofErr w:type="spellStart"/>
      <w:r w:rsidR="00993511">
        <w:rPr>
          <w:color w:val="000000" w:themeColor="text1"/>
        </w:rPr>
        <w:t>m</w:t>
      </w:r>
      <w:r w:rsidR="00B93C42" w:rsidRPr="00062F7E">
        <w:rPr>
          <w:color w:val="000000" w:themeColor="text1"/>
        </w:rPr>
        <w:t>AM</w:t>
      </w:r>
      <w:proofErr w:type="spellEnd"/>
      <w:r w:rsidR="00B93C42" w:rsidRPr="00062F7E">
        <w:rPr>
          <w:color w:val="000000" w:themeColor="text1"/>
        </w:rPr>
        <w:t>) inserts into the adductor fossa and acts as the main jaw closure musculature</w:t>
      </w:r>
      <w:r w:rsidR="00D036C4">
        <w:rPr>
          <w:color w:val="000000" w:themeColor="text1"/>
        </w:rPr>
        <w:t xml:space="preserve"> (</w:t>
      </w:r>
      <w:r w:rsidR="001D0560">
        <w:rPr>
          <w:color w:val="000000" w:themeColor="text1"/>
        </w:rPr>
        <w:t>e.g.</w:t>
      </w:r>
      <w:r w:rsidR="00097DDE">
        <w:rPr>
          <w:color w:val="000000" w:themeColor="text1"/>
        </w:rPr>
        <w:t>,</w:t>
      </w:r>
      <w:r w:rsidR="001D0560">
        <w:rPr>
          <w:color w:val="000000" w:themeColor="text1"/>
        </w:rPr>
        <w:t xml:space="preserve"> Carroll &amp; Holmes, 1980; </w:t>
      </w:r>
      <w:proofErr w:type="spellStart"/>
      <w:r w:rsidR="00D036C4">
        <w:rPr>
          <w:color w:val="000000" w:themeColor="text1"/>
        </w:rPr>
        <w:t>Kleinteich</w:t>
      </w:r>
      <w:proofErr w:type="spellEnd"/>
      <w:r w:rsidR="00D036C4">
        <w:rPr>
          <w:color w:val="000000" w:themeColor="text1"/>
        </w:rPr>
        <w:t xml:space="preserve"> &amp; Haas, 2007)</w:t>
      </w:r>
      <w:r w:rsidR="00B93C42" w:rsidRPr="00062F7E">
        <w:rPr>
          <w:color w:val="000000" w:themeColor="text1"/>
        </w:rPr>
        <w:t xml:space="preserve">. This condition is present ancestrally in batrachians, albanerpetontids, and dissorophoids, which all bear a correspondingly large, dorsally opening adductor fossa for insertion of the </w:t>
      </w:r>
      <w:proofErr w:type="spellStart"/>
      <w:r w:rsidR="00993511">
        <w:rPr>
          <w:color w:val="000000" w:themeColor="text1"/>
        </w:rPr>
        <w:t>m</w:t>
      </w:r>
      <w:r w:rsidR="00B93C42" w:rsidRPr="00062F7E">
        <w:rPr>
          <w:color w:val="000000" w:themeColor="text1"/>
        </w:rPr>
        <w:t>AM</w:t>
      </w:r>
      <w:proofErr w:type="spellEnd"/>
      <w:r w:rsidR="00B93C42" w:rsidRPr="00062F7E">
        <w:rPr>
          <w:color w:val="000000" w:themeColor="text1"/>
        </w:rPr>
        <w:t xml:space="preserve">. </w:t>
      </w:r>
      <w:r w:rsidR="00B93C42" w:rsidRPr="00062F7E">
        <w:rPr>
          <w:i/>
          <w:color w:val="000000" w:themeColor="text1"/>
        </w:rPr>
        <w:t xml:space="preserve">Funcusvermis </w:t>
      </w:r>
      <w:r w:rsidR="006308AF">
        <w:rPr>
          <w:i/>
          <w:color w:val="000000" w:themeColor="text1"/>
        </w:rPr>
        <w:t xml:space="preserve">gilmorei </w:t>
      </w:r>
      <w:r w:rsidR="00B93C42" w:rsidRPr="00062F7E">
        <w:rPr>
          <w:iCs/>
          <w:color w:val="000000" w:themeColor="text1"/>
        </w:rPr>
        <w:t xml:space="preserve">bears similar adductor fossa morphology to these groups, suggesting it conserved the ancestral tetrapod jaw closure mechanism driven primarily by the </w:t>
      </w:r>
      <w:proofErr w:type="spellStart"/>
      <w:r w:rsidR="00993511">
        <w:rPr>
          <w:iCs/>
          <w:color w:val="000000" w:themeColor="text1"/>
        </w:rPr>
        <w:t>m</w:t>
      </w:r>
      <w:r w:rsidR="00B93C42" w:rsidRPr="00062F7E">
        <w:rPr>
          <w:iCs/>
          <w:color w:val="000000" w:themeColor="text1"/>
        </w:rPr>
        <w:t>AM</w:t>
      </w:r>
      <w:proofErr w:type="spellEnd"/>
      <w:r w:rsidR="00BD115F">
        <w:rPr>
          <w:iCs/>
          <w:color w:val="000000" w:themeColor="text1"/>
        </w:rPr>
        <w:t xml:space="preserve"> (</w:t>
      </w:r>
      <w:r w:rsidR="00D036C4">
        <w:rPr>
          <w:iCs/>
          <w:color w:val="000000" w:themeColor="text1"/>
        </w:rPr>
        <w:t>Nussbaum, 19</w:t>
      </w:r>
      <w:r w:rsidR="008A5A18">
        <w:rPr>
          <w:iCs/>
          <w:color w:val="000000" w:themeColor="text1"/>
        </w:rPr>
        <w:t>8</w:t>
      </w:r>
      <w:r w:rsidR="00D036C4">
        <w:rPr>
          <w:iCs/>
          <w:color w:val="000000" w:themeColor="text1"/>
        </w:rPr>
        <w:t xml:space="preserve">3; </w:t>
      </w:r>
      <w:proofErr w:type="spellStart"/>
      <w:r w:rsidR="00D036C4">
        <w:rPr>
          <w:color w:val="000000" w:themeColor="text1"/>
        </w:rPr>
        <w:t>Kleinteich</w:t>
      </w:r>
      <w:proofErr w:type="spellEnd"/>
      <w:r w:rsidR="00D036C4">
        <w:rPr>
          <w:color w:val="000000" w:themeColor="text1"/>
        </w:rPr>
        <w:t xml:space="preserve"> &amp; Haas, 2007; </w:t>
      </w:r>
      <w:r w:rsidR="00BD115F">
        <w:rPr>
          <w:iCs/>
          <w:color w:val="000000" w:themeColor="text1"/>
        </w:rPr>
        <w:t>Johnston, 2011)</w:t>
      </w:r>
      <w:r w:rsidR="00B93C42" w:rsidRPr="00062F7E">
        <w:rPr>
          <w:iCs/>
          <w:color w:val="000000" w:themeColor="text1"/>
        </w:rPr>
        <w:t xml:space="preserve">. </w:t>
      </w:r>
      <w:r w:rsidR="00B93C42" w:rsidRPr="00062F7E">
        <w:rPr>
          <w:i/>
          <w:color w:val="000000" w:themeColor="text1"/>
        </w:rPr>
        <w:t>Eocaecilia</w:t>
      </w:r>
      <w:r w:rsidR="006308AF">
        <w:rPr>
          <w:i/>
          <w:color w:val="000000" w:themeColor="text1"/>
        </w:rPr>
        <w:t xml:space="preserve"> micropodia</w:t>
      </w:r>
      <w:r w:rsidR="00B93C42" w:rsidRPr="00062F7E">
        <w:rPr>
          <w:iCs/>
          <w:color w:val="000000" w:themeColor="text1"/>
        </w:rPr>
        <w:t xml:space="preserve">, </w:t>
      </w:r>
      <w:r w:rsidR="00B93C42" w:rsidRPr="00062F7E">
        <w:rPr>
          <w:i/>
          <w:color w:val="000000" w:themeColor="text1"/>
        </w:rPr>
        <w:t>Rubricacaecilia</w:t>
      </w:r>
      <w:r w:rsidR="006308AF">
        <w:rPr>
          <w:i/>
          <w:color w:val="000000" w:themeColor="text1"/>
        </w:rPr>
        <w:t xml:space="preserve"> monbaroni</w:t>
      </w:r>
      <w:r w:rsidR="00B93C42" w:rsidRPr="00062F7E">
        <w:rPr>
          <w:iCs/>
          <w:color w:val="000000" w:themeColor="text1"/>
        </w:rPr>
        <w:t xml:space="preserve">, and gymnophionans exhibit a significantly reduced adductor fossa relative to </w:t>
      </w:r>
      <w:r w:rsidR="006308AF">
        <w:rPr>
          <w:i/>
          <w:color w:val="000000" w:themeColor="text1"/>
        </w:rPr>
        <w:t>F. gilmorei</w:t>
      </w:r>
      <w:r w:rsidR="00B93C42" w:rsidRPr="00062F7E">
        <w:rPr>
          <w:iCs/>
          <w:color w:val="000000" w:themeColor="text1"/>
        </w:rPr>
        <w:t xml:space="preserve">. </w:t>
      </w:r>
      <w:r w:rsidR="00B93C42" w:rsidRPr="00062F7E">
        <w:rPr>
          <w:color w:val="000000" w:themeColor="text1"/>
        </w:rPr>
        <w:t>The small adductor fossa</w:t>
      </w:r>
      <w:r w:rsidR="00D161BB">
        <w:rPr>
          <w:color w:val="000000" w:themeColor="text1"/>
        </w:rPr>
        <w:t xml:space="preserve"> </w:t>
      </w:r>
      <w:r w:rsidR="00687953">
        <w:rPr>
          <w:color w:val="000000" w:themeColor="text1"/>
        </w:rPr>
        <w:t>(&lt;</w:t>
      </w:r>
      <w:r w:rsidR="00211393">
        <w:rPr>
          <w:color w:val="000000" w:themeColor="text1"/>
        </w:rPr>
        <w:t xml:space="preserve"> </w:t>
      </w:r>
      <w:r w:rsidR="006529B2">
        <w:rPr>
          <w:color w:val="000000" w:themeColor="text1"/>
        </w:rPr>
        <w:t>2</w:t>
      </w:r>
      <w:r w:rsidR="00211393">
        <w:rPr>
          <w:color w:val="000000" w:themeColor="text1"/>
        </w:rPr>
        <w:t>0</w:t>
      </w:r>
      <w:r w:rsidR="00E912C5">
        <w:rPr>
          <w:color w:val="000000" w:themeColor="text1"/>
        </w:rPr>
        <w:t xml:space="preserve">% </w:t>
      </w:r>
      <w:r w:rsidR="003742AD">
        <w:rPr>
          <w:color w:val="000000" w:themeColor="text1"/>
        </w:rPr>
        <w:t>pseudoangular le</w:t>
      </w:r>
      <w:r w:rsidR="00B27A5C">
        <w:rPr>
          <w:color w:val="000000" w:themeColor="text1"/>
        </w:rPr>
        <w:t>ngth; Supp</w:t>
      </w:r>
      <w:r w:rsidR="007C3538">
        <w:rPr>
          <w:color w:val="000000" w:themeColor="text1"/>
        </w:rPr>
        <w:t>lementa</w:t>
      </w:r>
      <w:r w:rsidR="009E1C96">
        <w:rPr>
          <w:color w:val="000000" w:themeColor="text1"/>
        </w:rPr>
        <w:t xml:space="preserve">ry </w:t>
      </w:r>
      <w:r w:rsidR="007C3538">
        <w:rPr>
          <w:color w:val="000000" w:themeColor="text1"/>
        </w:rPr>
        <w:t xml:space="preserve">Table </w:t>
      </w:r>
      <w:r w:rsidR="002F1EA6">
        <w:rPr>
          <w:color w:val="000000" w:themeColor="text1"/>
        </w:rPr>
        <w:t>1</w:t>
      </w:r>
      <w:r w:rsidR="007C3538">
        <w:rPr>
          <w:color w:val="000000" w:themeColor="text1"/>
        </w:rPr>
        <w:t xml:space="preserve">) </w:t>
      </w:r>
      <w:r w:rsidR="00B93C42" w:rsidRPr="00062F7E">
        <w:rPr>
          <w:color w:val="000000" w:themeColor="text1"/>
        </w:rPr>
        <w:t>in living caecilians is associated with the derived caecilian-type</w:t>
      </w:r>
      <w:r w:rsidR="003771A7">
        <w:rPr>
          <w:color w:val="000000" w:themeColor="text1"/>
        </w:rPr>
        <w:t xml:space="preserve"> ‘</w:t>
      </w:r>
      <w:r w:rsidR="00B93C42" w:rsidRPr="00062F7E">
        <w:rPr>
          <w:color w:val="000000" w:themeColor="text1"/>
        </w:rPr>
        <w:t>dual-jaw closure mechanism</w:t>
      </w:r>
      <w:r w:rsidR="003771A7">
        <w:rPr>
          <w:color w:val="000000" w:themeColor="text1"/>
        </w:rPr>
        <w:t>’</w:t>
      </w:r>
      <w:r w:rsidR="00B93C42" w:rsidRPr="00062F7E">
        <w:rPr>
          <w:color w:val="000000" w:themeColor="text1"/>
        </w:rPr>
        <w:t xml:space="preserve"> (sensu Nussbaum, 1983)</w:t>
      </w:r>
      <w:r w:rsidR="00790DD6" w:rsidRPr="00062F7E">
        <w:rPr>
          <w:color w:val="000000" w:themeColor="text1"/>
        </w:rPr>
        <w:t>, which is driven by two muscular systems, including</w:t>
      </w:r>
      <w:r w:rsidR="00B93C42" w:rsidRPr="00062F7E">
        <w:rPr>
          <w:color w:val="000000" w:themeColor="text1"/>
        </w:rPr>
        <w:t xml:space="preserve">: </w:t>
      </w:r>
      <w:r w:rsidR="00790DD6" w:rsidRPr="00062F7E">
        <w:rPr>
          <w:color w:val="000000" w:themeColor="text1"/>
        </w:rPr>
        <w:t xml:space="preserve">[1] </w:t>
      </w:r>
      <w:r w:rsidR="00B93C42" w:rsidRPr="00062F7E">
        <w:rPr>
          <w:color w:val="000000" w:themeColor="text1"/>
        </w:rPr>
        <w:t xml:space="preserve">the </w:t>
      </w:r>
      <w:r w:rsidR="00993511" w:rsidRPr="00662B68">
        <w:rPr>
          <w:i/>
          <w:iCs/>
          <w:color w:val="000000" w:themeColor="text1"/>
        </w:rPr>
        <w:t>m</w:t>
      </w:r>
      <w:r w:rsidR="00B93C42" w:rsidRPr="00662B68">
        <w:rPr>
          <w:i/>
          <w:iCs/>
          <w:color w:val="000000" w:themeColor="text1"/>
        </w:rPr>
        <w:t>. adductor mandibulae</w:t>
      </w:r>
      <w:r w:rsidR="00B93C42" w:rsidRPr="00062F7E">
        <w:rPr>
          <w:color w:val="000000" w:themeColor="text1"/>
        </w:rPr>
        <w:t xml:space="preserve"> (</w:t>
      </w:r>
      <w:proofErr w:type="spellStart"/>
      <w:r w:rsidR="00993511">
        <w:rPr>
          <w:color w:val="000000" w:themeColor="text1"/>
        </w:rPr>
        <w:t>m</w:t>
      </w:r>
      <w:r w:rsidR="00B93C42" w:rsidRPr="00062F7E">
        <w:rPr>
          <w:color w:val="000000" w:themeColor="text1"/>
        </w:rPr>
        <w:t>AM</w:t>
      </w:r>
      <w:proofErr w:type="spellEnd"/>
      <w:r w:rsidR="00B93C42" w:rsidRPr="00062F7E">
        <w:rPr>
          <w:color w:val="000000" w:themeColor="text1"/>
        </w:rPr>
        <w:t>) complex</w:t>
      </w:r>
      <w:r w:rsidR="00D96F0A">
        <w:rPr>
          <w:color w:val="000000" w:themeColor="text1"/>
        </w:rPr>
        <w:t>,</w:t>
      </w:r>
      <w:r w:rsidR="00B93C42" w:rsidRPr="00062F7E">
        <w:rPr>
          <w:color w:val="000000" w:themeColor="text1"/>
        </w:rPr>
        <w:t xml:space="preserve"> </w:t>
      </w:r>
      <w:r w:rsidR="00790DD6" w:rsidRPr="00062F7E">
        <w:rPr>
          <w:color w:val="000000" w:themeColor="text1"/>
        </w:rPr>
        <w:t xml:space="preserve">which </w:t>
      </w:r>
      <w:r w:rsidR="00B93C42" w:rsidRPr="00062F7E">
        <w:rPr>
          <w:color w:val="000000" w:themeColor="text1"/>
        </w:rPr>
        <w:t xml:space="preserve">extends from the temporal region of the cranium to its insertion in the mandibular fossa and dorsal surface of the pseudoangular just anterior to the jaw joint, acting as a third-order lever pulling up on the lower jaw (Nussbaum, 1983; Bemis et al., 1983; </w:t>
      </w:r>
      <w:proofErr w:type="spellStart"/>
      <w:r w:rsidR="00B93C42" w:rsidRPr="00062F7E">
        <w:rPr>
          <w:color w:val="000000" w:themeColor="text1"/>
        </w:rPr>
        <w:t>Kleinteich</w:t>
      </w:r>
      <w:proofErr w:type="spellEnd"/>
      <w:r w:rsidR="00B93C42" w:rsidRPr="00062F7E">
        <w:rPr>
          <w:color w:val="000000" w:themeColor="text1"/>
        </w:rPr>
        <w:t xml:space="preserve"> et al., 2008); and,</w:t>
      </w:r>
      <w:r w:rsidR="00790DD6" w:rsidRPr="00062F7E">
        <w:rPr>
          <w:color w:val="000000" w:themeColor="text1"/>
        </w:rPr>
        <w:t xml:space="preserve"> [2]</w:t>
      </w:r>
      <w:r w:rsidR="00B93C42" w:rsidRPr="00062F7E">
        <w:rPr>
          <w:color w:val="000000" w:themeColor="text1"/>
        </w:rPr>
        <w:t xml:space="preserve"> a derived component of the hyobranchial muscle </w:t>
      </w:r>
      <w:r w:rsidR="00993511" w:rsidRPr="00662B68">
        <w:rPr>
          <w:i/>
          <w:iCs/>
          <w:color w:val="000000" w:themeColor="text1"/>
        </w:rPr>
        <w:t>m</w:t>
      </w:r>
      <w:r w:rsidR="00B93C42" w:rsidRPr="00662B68">
        <w:rPr>
          <w:i/>
          <w:iCs/>
          <w:color w:val="000000" w:themeColor="text1"/>
        </w:rPr>
        <w:t xml:space="preserve">. </w:t>
      </w:r>
      <w:proofErr w:type="spellStart"/>
      <w:r w:rsidR="00B93C42" w:rsidRPr="00662B68">
        <w:rPr>
          <w:i/>
          <w:iCs/>
          <w:color w:val="000000" w:themeColor="text1"/>
        </w:rPr>
        <w:t>interhyoidus</w:t>
      </w:r>
      <w:proofErr w:type="spellEnd"/>
      <w:r w:rsidR="00B93C42" w:rsidRPr="00662B68">
        <w:rPr>
          <w:i/>
          <w:iCs/>
          <w:color w:val="000000" w:themeColor="text1"/>
        </w:rPr>
        <w:t xml:space="preserve"> posterior</w:t>
      </w:r>
      <w:r w:rsidR="00B93C42" w:rsidRPr="00062F7E">
        <w:rPr>
          <w:color w:val="000000" w:themeColor="text1"/>
        </w:rPr>
        <w:t xml:space="preserve"> (</w:t>
      </w:r>
      <w:proofErr w:type="spellStart"/>
      <w:r w:rsidR="00993511">
        <w:rPr>
          <w:color w:val="000000" w:themeColor="text1"/>
        </w:rPr>
        <w:t>m</w:t>
      </w:r>
      <w:r w:rsidR="00B93C42" w:rsidRPr="00062F7E">
        <w:rPr>
          <w:color w:val="000000" w:themeColor="text1"/>
        </w:rPr>
        <w:t>IHP</w:t>
      </w:r>
      <w:proofErr w:type="spellEnd"/>
      <w:r w:rsidR="00B93C42" w:rsidRPr="00062F7E">
        <w:rPr>
          <w:color w:val="000000" w:themeColor="text1"/>
        </w:rPr>
        <w:t>)</w:t>
      </w:r>
      <w:r w:rsidR="00D96F0A">
        <w:rPr>
          <w:color w:val="000000" w:themeColor="text1"/>
        </w:rPr>
        <w:t>,</w:t>
      </w:r>
      <w:r w:rsidR="00B93C42" w:rsidRPr="00062F7E">
        <w:rPr>
          <w:color w:val="000000" w:themeColor="text1"/>
        </w:rPr>
        <w:t xml:space="preserve"> </w:t>
      </w:r>
      <w:r w:rsidR="00790DD6" w:rsidRPr="00062F7E">
        <w:rPr>
          <w:color w:val="000000" w:themeColor="text1"/>
        </w:rPr>
        <w:t xml:space="preserve">which </w:t>
      </w:r>
      <w:r w:rsidR="00B93C42" w:rsidRPr="00062F7E">
        <w:rPr>
          <w:color w:val="000000" w:themeColor="text1"/>
        </w:rPr>
        <w:t>inserts on the ventral side of the retroarticular process and extends posteroventrally, acting as a first-order lever pulling posteroventrally, causing the anterior component of the lower jaw to pivot upwards with respect to the quadrate (Nussbaum, 198</w:t>
      </w:r>
      <w:r w:rsidR="00BD5FD2">
        <w:rPr>
          <w:color w:val="000000" w:themeColor="text1"/>
        </w:rPr>
        <w:t>3</w:t>
      </w:r>
      <w:r w:rsidR="00B93C42" w:rsidRPr="00062F7E">
        <w:rPr>
          <w:color w:val="000000" w:themeColor="text1"/>
        </w:rPr>
        <w:t xml:space="preserve">; Bemis et al., 1983; Summers </w:t>
      </w:r>
      <w:r w:rsidR="00805DE7">
        <w:rPr>
          <w:color w:val="000000" w:themeColor="text1"/>
        </w:rPr>
        <w:t>&amp;</w:t>
      </w:r>
      <w:r w:rsidR="00B93C42" w:rsidRPr="00062F7E">
        <w:rPr>
          <w:color w:val="000000" w:themeColor="text1"/>
        </w:rPr>
        <w:t xml:space="preserve"> Wake, 2005; </w:t>
      </w:r>
      <w:proofErr w:type="spellStart"/>
      <w:r w:rsidR="00B93C42" w:rsidRPr="00062F7E">
        <w:rPr>
          <w:color w:val="000000" w:themeColor="text1"/>
        </w:rPr>
        <w:t>Kleinteich</w:t>
      </w:r>
      <w:proofErr w:type="spellEnd"/>
      <w:r w:rsidR="00B93C42" w:rsidRPr="00062F7E">
        <w:rPr>
          <w:color w:val="000000" w:themeColor="text1"/>
        </w:rPr>
        <w:t xml:space="preserve"> et al., 2008). In the caecilian type dual jaw closure </w:t>
      </w:r>
      <w:r w:rsidR="003771A7" w:rsidRPr="00062F7E">
        <w:rPr>
          <w:color w:val="000000" w:themeColor="text1"/>
        </w:rPr>
        <w:t>mechanism,</w:t>
      </w:r>
      <w:r w:rsidR="00B93C42" w:rsidRPr="00062F7E">
        <w:rPr>
          <w:color w:val="000000" w:themeColor="text1"/>
        </w:rPr>
        <w:t xml:space="preserve"> the </w:t>
      </w:r>
      <w:proofErr w:type="spellStart"/>
      <w:r w:rsidR="00993511">
        <w:rPr>
          <w:color w:val="000000" w:themeColor="text1"/>
        </w:rPr>
        <w:t>m</w:t>
      </w:r>
      <w:r w:rsidR="00B93C42" w:rsidRPr="00062F7E">
        <w:rPr>
          <w:color w:val="000000" w:themeColor="text1"/>
        </w:rPr>
        <w:t>IHP</w:t>
      </w:r>
      <w:proofErr w:type="spellEnd"/>
      <w:r w:rsidR="00B93C42" w:rsidRPr="00062F7E">
        <w:rPr>
          <w:color w:val="000000" w:themeColor="text1"/>
        </w:rPr>
        <w:t xml:space="preserve"> acts as the primary jaw closure musculature, while the reduced </w:t>
      </w:r>
      <w:proofErr w:type="spellStart"/>
      <w:r w:rsidR="00993511">
        <w:rPr>
          <w:color w:val="000000" w:themeColor="text1"/>
        </w:rPr>
        <w:t>m</w:t>
      </w:r>
      <w:r w:rsidR="00993511" w:rsidRPr="00062F7E">
        <w:rPr>
          <w:color w:val="000000" w:themeColor="text1"/>
        </w:rPr>
        <w:t>AM</w:t>
      </w:r>
      <w:proofErr w:type="spellEnd"/>
      <w:r w:rsidR="00993511" w:rsidRPr="00062F7E">
        <w:rPr>
          <w:color w:val="000000" w:themeColor="text1"/>
        </w:rPr>
        <w:t xml:space="preserve"> </w:t>
      </w:r>
      <w:r w:rsidR="00B93C42" w:rsidRPr="00062F7E">
        <w:rPr>
          <w:color w:val="000000" w:themeColor="text1"/>
        </w:rPr>
        <w:t xml:space="preserve">plays a minor role. This derived muscle arrangement is hypothesized to be an adaptation for fossoriality (Nussbaum, 1983); in this scenario, compaction of the temporal region and enlargement of the squamosal limited and reduced the size of the </w:t>
      </w:r>
      <w:proofErr w:type="spellStart"/>
      <w:r w:rsidR="00993511">
        <w:rPr>
          <w:color w:val="000000" w:themeColor="text1"/>
        </w:rPr>
        <w:t>m</w:t>
      </w:r>
      <w:r w:rsidR="00993511" w:rsidRPr="00062F7E">
        <w:rPr>
          <w:color w:val="000000" w:themeColor="text1"/>
        </w:rPr>
        <w:t>AM</w:t>
      </w:r>
      <w:proofErr w:type="spellEnd"/>
      <w:r w:rsidR="00B93C42" w:rsidRPr="00062F7E">
        <w:rPr>
          <w:color w:val="000000" w:themeColor="text1"/>
        </w:rPr>
        <w:t xml:space="preserve">, necessitating use of the </w:t>
      </w:r>
      <w:proofErr w:type="spellStart"/>
      <w:r w:rsidR="00993511">
        <w:rPr>
          <w:color w:val="000000" w:themeColor="text1"/>
        </w:rPr>
        <w:t>m</w:t>
      </w:r>
      <w:r w:rsidR="00B93C42" w:rsidRPr="00062F7E">
        <w:rPr>
          <w:color w:val="000000" w:themeColor="text1"/>
        </w:rPr>
        <w:t>IHP</w:t>
      </w:r>
      <w:proofErr w:type="spellEnd"/>
      <w:r w:rsidR="00B93C42" w:rsidRPr="00062F7E">
        <w:rPr>
          <w:color w:val="000000" w:themeColor="text1"/>
        </w:rPr>
        <w:t xml:space="preserve"> as an additional jaw-closing muscle to compensate for loss of bite force through reduction of the </w:t>
      </w:r>
      <w:proofErr w:type="spellStart"/>
      <w:r w:rsidR="00993511">
        <w:rPr>
          <w:color w:val="000000" w:themeColor="text1"/>
        </w:rPr>
        <w:t>m</w:t>
      </w:r>
      <w:r w:rsidR="00993511" w:rsidRPr="00062F7E">
        <w:rPr>
          <w:color w:val="000000" w:themeColor="text1"/>
        </w:rPr>
        <w:t>AM</w:t>
      </w:r>
      <w:proofErr w:type="spellEnd"/>
      <w:r w:rsidR="00993511" w:rsidRPr="00062F7E">
        <w:rPr>
          <w:color w:val="000000" w:themeColor="text1"/>
        </w:rPr>
        <w:t xml:space="preserve"> </w:t>
      </w:r>
      <w:r w:rsidR="00B93C42" w:rsidRPr="00062F7E">
        <w:rPr>
          <w:color w:val="000000" w:themeColor="text1"/>
        </w:rPr>
        <w:t>(Nussbaum, 1983). This dual-jaw closure apparatus is present in all living gymnophionans, but its condition in rhinatrematids differs from that of all other gymnophionans. In rhinatrematids the</w:t>
      </w:r>
      <w:r w:rsidR="0049211E">
        <w:rPr>
          <w:color w:val="000000" w:themeColor="text1"/>
        </w:rPr>
        <w:t xml:space="preserve"> adductor fossa is both unroofed and larger than in all other gymnophionans (Wake, 1993), and the</w:t>
      </w:r>
      <w:r w:rsidR="00B93C42" w:rsidRPr="00062F7E">
        <w:rPr>
          <w:color w:val="000000" w:themeColor="text1"/>
        </w:rPr>
        <w:t xml:space="preserve"> </w:t>
      </w:r>
      <w:proofErr w:type="spellStart"/>
      <w:r w:rsidR="00993511">
        <w:rPr>
          <w:color w:val="000000" w:themeColor="text1"/>
        </w:rPr>
        <w:t>m</w:t>
      </w:r>
      <w:r w:rsidR="00993511" w:rsidRPr="00062F7E">
        <w:rPr>
          <w:color w:val="000000" w:themeColor="text1"/>
        </w:rPr>
        <w:t>AM</w:t>
      </w:r>
      <w:proofErr w:type="spellEnd"/>
      <w:r w:rsidR="00993511" w:rsidRPr="00062F7E">
        <w:rPr>
          <w:color w:val="000000" w:themeColor="text1"/>
        </w:rPr>
        <w:t xml:space="preserve"> </w:t>
      </w:r>
      <w:r w:rsidR="00B93C42" w:rsidRPr="00062F7E">
        <w:rPr>
          <w:color w:val="000000" w:themeColor="text1"/>
        </w:rPr>
        <w:t xml:space="preserve">is larger while the </w:t>
      </w:r>
      <w:proofErr w:type="spellStart"/>
      <w:r w:rsidR="00993511">
        <w:rPr>
          <w:color w:val="000000" w:themeColor="text1"/>
        </w:rPr>
        <w:t>m</w:t>
      </w:r>
      <w:r w:rsidR="00B93C42" w:rsidRPr="00062F7E">
        <w:rPr>
          <w:color w:val="000000" w:themeColor="text1"/>
        </w:rPr>
        <w:t>IHP</w:t>
      </w:r>
      <w:proofErr w:type="spellEnd"/>
      <w:r w:rsidR="00B93C42" w:rsidRPr="00062F7E">
        <w:rPr>
          <w:color w:val="000000" w:themeColor="text1"/>
        </w:rPr>
        <w:t xml:space="preserve"> is smaller than in other </w:t>
      </w:r>
      <w:proofErr w:type="spellStart"/>
      <w:r w:rsidR="00B93C42" w:rsidRPr="00062F7E">
        <w:rPr>
          <w:color w:val="000000" w:themeColor="text1"/>
        </w:rPr>
        <w:t>gymnoph</w:t>
      </w:r>
      <w:r w:rsidR="00AD1E1B">
        <w:rPr>
          <w:color w:val="000000" w:themeColor="text1"/>
        </w:rPr>
        <w:t>i</w:t>
      </w:r>
      <w:r w:rsidR="00B93C42" w:rsidRPr="00062F7E">
        <w:rPr>
          <w:color w:val="000000" w:themeColor="text1"/>
        </w:rPr>
        <w:t>onans</w:t>
      </w:r>
      <w:proofErr w:type="spellEnd"/>
      <w:r w:rsidR="00B93C42" w:rsidRPr="00062F7E">
        <w:rPr>
          <w:color w:val="000000" w:themeColor="text1"/>
        </w:rPr>
        <w:t xml:space="preserve">, allowing the </w:t>
      </w:r>
      <w:proofErr w:type="spellStart"/>
      <w:r w:rsidR="00993511">
        <w:rPr>
          <w:color w:val="000000" w:themeColor="text1"/>
        </w:rPr>
        <w:t>m</w:t>
      </w:r>
      <w:r w:rsidR="00993511" w:rsidRPr="00062F7E">
        <w:rPr>
          <w:color w:val="000000" w:themeColor="text1"/>
        </w:rPr>
        <w:t>AM</w:t>
      </w:r>
      <w:proofErr w:type="spellEnd"/>
      <w:r w:rsidR="00993511" w:rsidRPr="00062F7E">
        <w:rPr>
          <w:color w:val="000000" w:themeColor="text1"/>
        </w:rPr>
        <w:t xml:space="preserve"> </w:t>
      </w:r>
      <w:r w:rsidR="00B93C42" w:rsidRPr="00062F7E">
        <w:rPr>
          <w:color w:val="000000" w:themeColor="text1"/>
        </w:rPr>
        <w:t>muscle to contribute more to bite force</w:t>
      </w:r>
      <w:r w:rsidR="0049211E">
        <w:rPr>
          <w:color w:val="000000" w:themeColor="text1"/>
        </w:rPr>
        <w:t xml:space="preserve"> (Nussbaum, 1983)</w:t>
      </w:r>
      <w:r w:rsidR="00B93C42" w:rsidRPr="00062F7E">
        <w:rPr>
          <w:color w:val="000000" w:themeColor="text1"/>
        </w:rPr>
        <w:t xml:space="preserve">. The open temporal fossae of zygokrotaphic rhinatrematids accommodates the cranial attachment of the </w:t>
      </w:r>
      <w:proofErr w:type="spellStart"/>
      <w:r w:rsidR="00993511">
        <w:rPr>
          <w:color w:val="000000" w:themeColor="text1"/>
        </w:rPr>
        <w:t>m</w:t>
      </w:r>
      <w:r w:rsidR="00993511" w:rsidRPr="00062F7E">
        <w:rPr>
          <w:color w:val="000000" w:themeColor="text1"/>
        </w:rPr>
        <w:t>AM</w:t>
      </w:r>
      <w:proofErr w:type="spellEnd"/>
      <w:r w:rsidR="00B93C42" w:rsidRPr="00062F7E">
        <w:rPr>
          <w:color w:val="000000" w:themeColor="text1"/>
        </w:rPr>
        <w:t xml:space="preserve">, differing from the condition of all other gymnophionans (including both zygokrotaphic and stegokrotaphic forms) where the reduced </w:t>
      </w:r>
      <w:proofErr w:type="spellStart"/>
      <w:r w:rsidR="00993511">
        <w:rPr>
          <w:color w:val="000000" w:themeColor="text1"/>
        </w:rPr>
        <w:t>m</w:t>
      </w:r>
      <w:r w:rsidR="00993511" w:rsidRPr="00062F7E">
        <w:rPr>
          <w:color w:val="000000" w:themeColor="text1"/>
        </w:rPr>
        <w:t>AM</w:t>
      </w:r>
      <w:proofErr w:type="spellEnd"/>
      <w:r w:rsidR="00993511" w:rsidRPr="00062F7E">
        <w:rPr>
          <w:color w:val="000000" w:themeColor="text1"/>
        </w:rPr>
        <w:t xml:space="preserve"> </w:t>
      </w:r>
      <w:r w:rsidR="00B93C42" w:rsidRPr="00062F7E">
        <w:rPr>
          <w:color w:val="000000" w:themeColor="text1"/>
        </w:rPr>
        <w:t>attaches to bones on the ventral surface of the closed skull roof (Nussbaum, 1983). Given the early-branching position of rhinatrematids (sister</w:t>
      </w:r>
      <w:r w:rsidR="001A0C7D">
        <w:rPr>
          <w:color w:val="000000" w:themeColor="text1"/>
        </w:rPr>
        <w:t xml:space="preserve"> group</w:t>
      </w:r>
      <w:r w:rsidR="00B93C42" w:rsidRPr="00062F7E">
        <w:rPr>
          <w:color w:val="000000" w:themeColor="text1"/>
        </w:rPr>
        <w:t xml:space="preserve"> to all other gymnophionans), their jaw-closing mechanism has been hypothesized to represent the ancestral condition for gymnophionans (Nussbaum, 1983): in this scenario the less-reduced </w:t>
      </w:r>
      <w:proofErr w:type="spellStart"/>
      <w:r w:rsidR="00993511">
        <w:rPr>
          <w:color w:val="000000" w:themeColor="text1"/>
        </w:rPr>
        <w:t>m</w:t>
      </w:r>
      <w:r w:rsidR="00993511" w:rsidRPr="00062F7E">
        <w:rPr>
          <w:color w:val="000000" w:themeColor="text1"/>
        </w:rPr>
        <w:t>AM</w:t>
      </w:r>
      <w:proofErr w:type="spellEnd"/>
      <w:r w:rsidR="00993511" w:rsidRPr="00062F7E">
        <w:rPr>
          <w:color w:val="000000" w:themeColor="text1"/>
        </w:rPr>
        <w:t xml:space="preserve"> </w:t>
      </w:r>
      <w:r w:rsidR="00B93C42" w:rsidRPr="00062F7E">
        <w:rPr>
          <w:color w:val="000000" w:themeColor="text1"/>
        </w:rPr>
        <w:t xml:space="preserve">of rhinatrematids is a conservation of the ancestral tetrapod condition, and the common ancestor of </w:t>
      </w:r>
      <w:r w:rsidR="00B93C42" w:rsidRPr="00062F7E">
        <w:rPr>
          <w:color w:val="000000" w:themeColor="text1"/>
        </w:rPr>
        <w:lastRenderedPageBreak/>
        <w:t xml:space="preserve">non-rhinatrematid </w:t>
      </w:r>
      <w:proofErr w:type="spellStart"/>
      <w:r w:rsidR="00B93C42" w:rsidRPr="00062F7E">
        <w:rPr>
          <w:color w:val="000000" w:themeColor="text1"/>
        </w:rPr>
        <w:t>gymnophionans</w:t>
      </w:r>
      <w:proofErr w:type="spellEnd"/>
      <w:r w:rsidR="00B93C42" w:rsidRPr="00062F7E">
        <w:rPr>
          <w:color w:val="000000" w:themeColor="text1"/>
        </w:rPr>
        <w:t xml:space="preserve"> (</w:t>
      </w:r>
      <w:proofErr w:type="spellStart"/>
      <w:r w:rsidR="003D7D29">
        <w:rPr>
          <w:color w:val="000000" w:themeColor="text1"/>
        </w:rPr>
        <w:t>s</w:t>
      </w:r>
      <w:r w:rsidR="001A69F4">
        <w:rPr>
          <w:color w:val="000000" w:themeColor="text1"/>
        </w:rPr>
        <w:t>tegokrotaphians</w:t>
      </w:r>
      <w:proofErr w:type="spellEnd"/>
      <w:r w:rsidR="00B93C42" w:rsidRPr="00062F7E">
        <w:rPr>
          <w:color w:val="000000" w:themeColor="text1"/>
        </w:rPr>
        <w:t xml:space="preserve">) acquired a derived condition where the </w:t>
      </w:r>
      <w:proofErr w:type="spellStart"/>
      <w:r w:rsidR="00993511">
        <w:rPr>
          <w:color w:val="000000" w:themeColor="text1"/>
        </w:rPr>
        <w:t>m</w:t>
      </w:r>
      <w:r w:rsidR="00B93C42" w:rsidRPr="00062F7E">
        <w:rPr>
          <w:color w:val="000000" w:themeColor="text1"/>
        </w:rPr>
        <w:t>IHP</w:t>
      </w:r>
      <w:proofErr w:type="spellEnd"/>
      <w:r w:rsidR="00B93C42" w:rsidRPr="00062F7E">
        <w:rPr>
          <w:color w:val="000000" w:themeColor="text1"/>
        </w:rPr>
        <w:t xml:space="preserve"> is enlarged and is the dominant jaw-closing muscle, while the </w:t>
      </w:r>
      <w:proofErr w:type="spellStart"/>
      <w:r w:rsidR="00993511">
        <w:rPr>
          <w:color w:val="000000" w:themeColor="text1"/>
        </w:rPr>
        <w:t>m</w:t>
      </w:r>
      <w:r w:rsidR="00993511" w:rsidRPr="00062F7E">
        <w:rPr>
          <w:color w:val="000000" w:themeColor="text1"/>
        </w:rPr>
        <w:t>AM</w:t>
      </w:r>
      <w:proofErr w:type="spellEnd"/>
      <w:r w:rsidR="00993511" w:rsidRPr="00062F7E">
        <w:rPr>
          <w:color w:val="000000" w:themeColor="text1"/>
        </w:rPr>
        <w:t xml:space="preserve"> </w:t>
      </w:r>
      <w:r w:rsidR="00B93C42" w:rsidRPr="00062F7E">
        <w:rPr>
          <w:color w:val="000000" w:themeColor="text1"/>
        </w:rPr>
        <w:t xml:space="preserve">is reduced (and its attachment to the skull roof accommodated by the temporal fenestra is lost). Nussbaum (1983) predicted that the ancestral </w:t>
      </w:r>
      <w:proofErr w:type="spellStart"/>
      <w:r w:rsidR="00993511">
        <w:rPr>
          <w:color w:val="000000" w:themeColor="text1"/>
        </w:rPr>
        <w:t>m</w:t>
      </w:r>
      <w:r w:rsidR="00993511" w:rsidRPr="00062F7E">
        <w:rPr>
          <w:color w:val="000000" w:themeColor="text1"/>
        </w:rPr>
        <w:t>AM</w:t>
      </w:r>
      <w:proofErr w:type="spellEnd"/>
      <w:r w:rsidR="00993511" w:rsidRPr="00062F7E">
        <w:rPr>
          <w:color w:val="000000" w:themeColor="text1"/>
        </w:rPr>
        <w:t xml:space="preserve"> </w:t>
      </w:r>
      <w:r w:rsidR="00B93C42" w:rsidRPr="00062F7E">
        <w:rPr>
          <w:color w:val="000000" w:themeColor="text1"/>
        </w:rPr>
        <w:t>in</w:t>
      </w:r>
      <w:r w:rsidR="003771A7">
        <w:rPr>
          <w:color w:val="000000" w:themeColor="text1"/>
        </w:rPr>
        <w:t xml:space="preserve"> ‘</w:t>
      </w:r>
      <w:proofErr w:type="spellStart"/>
      <w:r w:rsidR="00B93C42" w:rsidRPr="00062F7E">
        <w:rPr>
          <w:color w:val="000000" w:themeColor="text1"/>
        </w:rPr>
        <w:t>protocaecilians</w:t>
      </w:r>
      <w:proofErr w:type="spellEnd"/>
      <w:r w:rsidR="00993511">
        <w:rPr>
          <w:color w:val="000000" w:themeColor="text1"/>
        </w:rPr>
        <w:t>’</w:t>
      </w:r>
      <w:r w:rsidR="00993511" w:rsidRPr="00062F7E">
        <w:rPr>
          <w:color w:val="000000" w:themeColor="text1"/>
        </w:rPr>
        <w:t xml:space="preserve"> </w:t>
      </w:r>
      <w:r w:rsidR="00B93C42" w:rsidRPr="00062F7E">
        <w:rPr>
          <w:color w:val="000000" w:themeColor="text1"/>
        </w:rPr>
        <w:t xml:space="preserve">would have been even larger than in rhinatrematids and would likely have been accommodated by open temporal fossae. The adductor fossa of </w:t>
      </w:r>
      <w:r w:rsidR="006308AF">
        <w:rPr>
          <w:i/>
          <w:iCs/>
          <w:color w:val="000000" w:themeColor="text1"/>
        </w:rPr>
        <w:t>F. gilmorei</w:t>
      </w:r>
      <w:r w:rsidR="006308AF" w:rsidRPr="00062F7E">
        <w:rPr>
          <w:color w:val="000000" w:themeColor="text1"/>
        </w:rPr>
        <w:t xml:space="preserve"> </w:t>
      </w:r>
      <w:r w:rsidR="00B93C42" w:rsidRPr="00062F7E">
        <w:rPr>
          <w:color w:val="000000" w:themeColor="text1"/>
        </w:rPr>
        <w:t>is significantly larger than that of rhinatrematids</w:t>
      </w:r>
      <w:r w:rsidR="00790DD6" w:rsidRPr="00062F7E">
        <w:rPr>
          <w:color w:val="000000" w:themeColor="text1"/>
        </w:rPr>
        <w:t xml:space="preserve"> and </w:t>
      </w:r>
      <w:r w:rsidR="006308AF">
        <w:rPr>
          <w:i/>
          <w:iCs/>
          <w:color w:val="000000" w:themeColor="text1"/>
        </w:rPr>
        <w:t xml:space="preserve">E. micropodia </w:t>
      </w:r>
      <w:r w:rsidR="00AB7B4C">
        <w:rPr>
          <w:color w:val="000000" w:themeColor="text1"/>
        </w:rPr>
        <w:t>(</w:t>
      </w:r>
      <w:r w:rsidR="00FF19FB">
        <w:rPr>
          <w:color w:val="000000" w:themeColor="text1"/>
        </w:rPr>
        <w:t>Supplement</w:t>
      </w:r>
      <w:r w:rsidR="00416E4A">
        <w:rPr>
          <w:color w:val="000000" w:themeColor="text1"/>
        </w:rPr>
        <w:t>a</w:t>
      </w:r>
      <w:r w:rsidR="009E1C96">
        <w:rPr>
          <w:color w:val="000000" w:themeColor="text1"/>
        </w:rPr>
        <w:t xml:space="preserve">ry </w:t>
      </w:r>
      <w:r w:rsidR="00416E4A">
        <w:rPr>
          <w:color w:val="000000" w:themeColor="text1"/>
        </w:rPr>
        <w:t xml:space="preserve">Table </w:t>
      </w:r>
      <w:r w:rsidR="002F1EA6">
        <w:rPr>
          <w:color w:val="000000" w:themeColor="text1"/>
        </w:rPr>
        <w:t>1</w:t>
      </w:r>
      <w:r w:rsidR="005214F9">
        <w:rPr>
          <w:color w:val="000000" w:themeColor="text1"/>
        </w:rPr>
        <w:t>)</w:t>
      </w:r>
      <w:r w:rsidR="00844DDE">
        <w:rPr>
          <w:i/>
          <w:iCs/>
          <w:color w:val="000000" w:themeColor="text1"/>
        </w:rPr>
        <w:t xml:space="preserve">, </w:t>
      </w:r>
      <w:r w:rsidR="00D415AB">
        <w:rPr>
          <w:color w:val="000000" w:themeColor="text1"/>
        </w:rPr>
        <w:t xml:space="preserve">seemingly </w:t>
      </w:r>
      <w:r w:rsidR="00B93C42" w:rsidRPr="00062F7E">
        <w:rPr>
          <w:color w:val="000000" w:themeColor="text1"/>
        </w:rPr>
        <w:t xml:space="preserve">confirming this prediction. </w:t>
      </w:r>
      <w:r w:rsidR="00FC0082">
        <w:rPr>
          <w:color w:val="000000" w:themeColor="text1"/>
        </w:rPr>
        <w:t xml:space="preserve">Furthermore, this suggests </w:t>
      </w:r>
      <w:proofErr w:type="spellStart"/>
      <w:r w:rsidR="00FC0082">
        <w:rPr>
          <w:color w:val="000000" w:themeColor="text1"/>
        </w:rPr>
        <w:t>mIHP</w:t>
      </w:r>
      <w:proofErr w:type="spellEnd"/>
      <w:r w:rsidR="00FC0082">
        <w:rPr>
          <w:color w:val="000000" w:themeColor="text1"/>
        </w:rPr>
        <w:t xml:space="preserve"> component of the gymnophionan jaw closure mechanism was absent in the common ancestor of Lissamphibia, confirming hypothesis A of </w:t>
      </w:r>
      <w:proofErr w:type="spellStart"/>
      <w:r w:rsidR="00FC0082">
        <w:rPr>
          <w:color w:val="000000" w:themeColor="text1"/>
        </w:rPr>
        <w:t>Kleinteich</w:t>
      </w:r>
      <w:proofErr w:type="spellEnd"/>
      <w:r w:rsidR="00FC0082">
        <w:rPr>
          <w:color w:val="000000" w:themeColor="text1"/>
        </w:rPr>
        <w:t xml:space="preserve"> &amp; Haas (2007:fig. 9). </w:t>
      </w:r>
      <w:r w:rsidR="00B93C42" w:rsidRPr="00062F7E">
        <w:rPr>
          <w:color w:val="000000" w:themeColor="text1"/>
        </w:rPr>
        <w:t xml:space="preserve">Although the skull roof of </w:t>
      </w:r>
      <w:r w:rsidR="006308AF">
        <w:rPr>
          <w:i/>
          <w:iCs/>
          <w:color w:val="000000" w:themeColor="text1"/>
        </w:rPr>
        <w:t>F. gilmorei</w:t>
      </w:r>
      <w:r w:rsidR="006308AF" w:rsidRPr="00062F7E">
        <w:rPr>
          <w:color w:val="000000" w:themeColor="text1"/>
        </w:rPr>
        <w:t xml:space="preserve"> </w:t>
      </w:r>
      <w:r w:rsidR="00B93C42" w:rsidRPr="00062F7E">
        <w:rPr>
          <w:color w:val="000000" w:themeColor="text1"/>
        </w:rPr>
        <w:t xml:space="preserve">is unknown, it likely possessed larger accommodation space for attachment of the </w:t>
      </w:r>
      <w:proofErr w:type="spellStart"/>
      <w:r w:rsidR="00993511">
        <w:rPr>
          <w:color w:val="000000" w:themeColor="text1"/>
        </w:rPr>
        <w:t>m</w:t>
      </w:r>
      <w:r w:rsidR="00993511" w:rsidRPr="00062F7E">
        <w:rPr>
          <w:color w:val="000000" w:themeColor="text1"/>
        </w:rPr>
        <w:t>AM</w:t>
      </w:r>
      <w:proofErr w:type="spellEnd"/>
      <w:r w:rsidR="00993511" w:rsidRPr="00062F7E">
        <w:rPr>
          <w:color w:val="000000" w:themeColor="text1"/>
        </w:rPr>
        <w:t xml:space="preserve"> </w:t>
      </w:r>
      <w:r w:rsidR="00B93C42" w:rsidRPr="00062F7E">
        <w:rPr>
          <w:color w:val="000000" w:themeColor="text1"/>
        </w:rPr>
        <w:t xml:space="preserve">than in all other gymnophionomorphs, suggesting it may have either conserved the skull roofing condition of dissorophoids, or acquired open temporal fossae homologous with those in zygokrotaphic rhinatrematids. The zygokrotaphic skull roof of </w:t>
      </w:r>
      <w:r w:rsidR="006308AF">
        <w:rPr>
          <w:i/>
          <w:iCs/>
          <w:color w:val="000000" w:themeColor="text1"/>
        </w:rPr>
        <w:t>E. micropodia</w:t>
      </w:r>
      <w:r w:rsidR="00B93C42" w:rsidRPr="00062F7E">
        <w:rPr>
          <w:color w:val="000000" w:themeColor="text1"/>
        </w:rPr>
        <w:t xml:space="preserve">, which retains many dermal bones of the temporal region present ancestrally in dissorophoids like </w:t>
      </w:r>
      <w:r w:rsidR="00B93C42" w:rsidRPr="00062F7E">
        <w:rPr>
          <w:i/>
          <w:iCs/>
          <w:color w:val="000000" w:themeColor="text1"/>
        </w:rPr>
        <w:t>Doleserpeton</w:t>
      </w:r>
      <w:r w:rsidR="006308AF">
        <w:rPr>
          <w:i/>
          <w:iCs/>
          <w:color w:val="000000" w:themeColor="text1"/>
        </w:rPr>
        <w:t xml:space="preserve"> annectens</w:t>
      </w:r>
      <w:r w:rsidR="00B93C42" w:rsidRPr="00062F7E">
        <w:rPr>
          <w:color w:val="000000" w:themeColor="text1"/>
        </w:rPr>
        <w:t xml:space="preserve"> (and absent in gymnophionans), </w:t>
      </w:r>
      <w:r w:rsidR="00790DD6" w:rsidRPr="00062F7E">
        <w:rPr>
          <w:color w:val="000000" w:themeColor="text1"/>
        </w:rPr>
        <w:t xml:space="preserve">may represent: [1] </w:t>
      </w:r>
      <w:r w:rsidR="00B93C42" w:rsidRPr="00062F7E">
        <w:rPr>
          <w:color w:val="000000" w:themeColor="text1"/>
        </w:rPr>
        <w:t xml:space="preserve">a modified form of the closed skull roof of dissorophoids (suggesting </w:t>
      </w:r>
      <w:r w:rsidR="006308AF">
        <w:rPr>
          <w:i/>
          <w:iCs/>
          <w:color w:val="000000" w:themeColor="text1"/>
        </w:rPr>
        <w:t>F. gilmorei</w:t>
      </w:r>
      <w:r w:rsidR="006308AF" w:rsidRPr="00062F7E">
        <w:rPr>
          <w:color w:val="000000" w:themeColor="text1"/>
        </w:rPr>
        <w:t xml:space="preserve"> </w:t>
      </w:r>
      <w:r w:rsidR="00B93C42" w:rsidRPr="00062F7E">
        <w:rPr>
          <w:color w:val="000000" w:themeColor="text1"/>
        </w:rPr>
        <w:t>may have shared this morphology)</w:t>
      </w:r>
      <w:r w:rsidR="00790DD6" w:rsidRPr="00062F7E">
        <w:rPr>
          <w:color w:val="000000" w:themeColor="text1"/>
        </w:rPr>
        <w:t>;</w:t>
      </w:r>
      <w:r w:rsidR="00B93C42" w:rsidRPr="00062F7E">
        <w:rPr>
          <w:color w:val="000000" w:themeColor="text1"/>
        </w:rPr>
        <w:t xml:space="preserve"> or, </w:t>
      </w:r>
      <w:r w:rsidR="00790DD6" w:rsidRPr="00062F7E">
        <w:rPr>
          <w:color w:val="000000" w:themeColor="text1"/>
        </w:rPr>
        <w:t xml:space="preserve">[2] </w:t>
      </w:r>
      <w:r w:rsidR="00B93C42" w:rsidRPr="00062F7E">
        <w:rPr>
          <w:color w:val="000000" w:themeColor="text1"/>
        </w:rPr>
        <w:t xml:space="preserve">an autapomorphic reversal to </w:t>
      </w:r>
      <w:proofErr w:type="spellStart"/>
      <w:r w:rsidR="00B93C42" w:rsidRPr="00062F7E">
        <w:rPr>
          <w:color w:val="000000" w:themeColor="text1"/>
        </w:rPr>
        <w:t>stegokrotaphy</w:t>
      </w:r>
      <w:proofErr w:type="spellEnd"/>
      <w:r w:rsidR="00B93C42" w:rsidRPr="00062F7E">
        <w:rPr>
          <w:color w:val="000000" w:themeColor="text1"/>
        </w:rPr>
        <w:t xml:space="preserve"> (</w:t>
      </w:r>
      <w:r w:rsidR="00790DD6" w:rsidRPr="00062F7E">
        <w:rPr>
          <w:color w:val="000000" w:themeColor="text1"/>
        </w:rPr>
        <w:t xml:space="preserve">if </w:t>
      </w:r>
      <w:r w:rsidR="006308AF">
        <w:rPr>
          <w:i/>
          <w:iCs/>
          <w:color w:val="000000" w:themeColor="text1"/>
        </w:rPr>
        <w:t>F. gilmorei</w:t>
      </w:r>
      <w:r w:rsidR="006308AF" w:rsidRPr="00062F7E">
        <w:rPr>
          <w:color w:val="000000" w:themeColor="text1"/>
        </w:rPr>
        <w:t xml:space="preserve"> </w:t>
      </w:r>
      <w:r w:rsidR="00B93C42" w:rsidRPr="00062F7E">
        <w:rPr>
          <w:color w:val="000000" w:themeColor="text1"/>
        </w:rPr>
        <w:t>had temporal fossae homologous to those of rhinatrematids) (</w:t>
      </w:r>
      <w:r w:rsidR="00824344">
        <w:rPr>
          <w:color w:val="000000" w:themeColor="text1"/>
        </w:rPr>
        <w:t xml:space="preserve">Carroll &amp; Homes, 1980; </w:t>
      </w:r>
      <w:r w:rsidR="00B93C42" w:rsidRPr="00062F7E">
        <w:rPr>
          <w:color w:val="000000" w:themeColor="text1"/>
        </w:rPr>
        <w:t xml:space="preserve">Maddin et al., 2012). </w:t>
      </w:r>
    </w:p>
    <w:p w14:paraId="05DAE1F4" w14:textId="6E8A2D01" w:rsidR="001F6DF7" w:rsidRPr="00062F7E" w:rsidRDefault="00395018" w:rsidP="00662B68">
      <w:pPr>
        <w:ind w:firstLine="720"/>
        <w:rPr>
          <w:color w:val="000000" w:themeColor="text1"/>
        </w:rPr>
      </w:pPr>
      <w:r w:rsidRPr="00062F7E">
        <w:rPr>
          <w:color w:val="000000" w:themeColor="text1"/>
        </w:rPr>
        <w:t>The medial margin of the adductor fossa is framed by a dorsally-oriented lamina bearing two dorsally directed processes, including: [1] the p</w:t>
      </w:r>
      <w:r w:rsidR="000544FE" w:rsidRPr="00062F7E">
        <w:rPr>
          <w:color w:val="000000" w:themeColor="text1"/>
        </w:rPr>
        <w:t>re</w:t>
      </w:r>
      <w:r w:rsidRPr="00062F7E">
        <w:rPr>
          <w:color w:val="000000" w:themeColor="text1"/>
        </w:rPr>
        <w:t xml:space="preserve">glenoid </w:t>
      </w:r>
      <w:r w:rsidR="000544FE" w:rsidRPr="00062F7E">
        <w:rPr>
          <w:color w:val="000000" w:themeColor="text1"/>
        </w:rPr>
        <w:t>process</w:t>
      </w:r>
      <w:r w:rsidRPr="00062F7E">
        <w:rPr>
          <w:color w:val="000000" w:themeColor="text1"/>
        </w:rPr>
        <w:t xml:space="preserve"> (p</w:t>
      </w:r>
      <w:r w:rsidR="000544FE" w:rsidRPr="00062F7E">
        <w:rPr>
          <w:color w:val="000000" w:themeColor="text1"/>
        </w:rPr>
        <w:t>re</w:t>
      </w:r>
      <w:r w:rsidRPr="00062F7E">
        <w:rPr>
          <w:color w:val="000000" w:themeColor="text1"/>
        </w:rPr>
        <w:t>glenoid positioned just anterior to the jaw articulation surface</w:t>
      </w:r>
      <w:r w:rsidR="00993511">
        <w:rPr>
          <w:color w:val="000000" w:themeColor="text1"/>
        </w:rPr>
        <w:t>)</w:t>
      </w:r>
      <w:r w:rsidRPr="00062F7E">
        <w:rPr>
          <w:color w:val="000000" w:themeColor="text1"/>
        </w:rPr>
        <w:t>; and, [2] the hamate process positioned anterior to a low saddle separating it from the p</w:t>
      </w:r>
      <w:r w:rsidR="000544FE" w:rsidRPr="00062F7E">
        <w:rPr>
          <w:color w:val="000000" w:themeColor="text1"/>
        </w:rPr>
        <w:t>reglenoid process</w:t>
      </w:r>
      <w:r w:rsidR="00492DB4">
        <w:rPr>
          <w:color w:val="000000" w:themeColor="text1"/>
        </w:rPr>
        <w:t xml:space="preserve"> (Fig. 1, Extended Data Fig. 3)</w:t>
      </w:r>
      <w:r w:rsidRPr="00062F7E">
        <w:rPr>
          <w:color w:val="000000" w:themeColor="text1"/>
        </w:rPr>
        <w:t>.</w:t>
      </w:r>
      <w:r w:rsidR="00956E74" w:rsidRPr="00062F7E">
        <w:rPr>
          <w:color w:val="000000" w:themeColor="text1"/>
        </w:rPr>
        <w:t xml:space="preserve"> An internal process similar to that of all gymnophionans is absent in </w:t>
      </w:r>
      <w:r w:rsidR="006308AF">
        <w:rPr>
          <w:i/>
          <w:iCs/>
          <w:color w:val="000000" w:themeColor="text1"/>
        </w:rPr>
        <w:t>Funcusvermis gilmorei</w:t>
      </w:r>
      <w:r w:rsidR="00956E74" w:rsidRPr="00062F7E">
        <w:rPr>
          <w:color w:val="000000" w:themeColor="text1"/>
        </w:rPr>
        <w:t xml:space="preserve">, however it is possible either the </w:t>
      </w:r>
      <w:r w:rsidR="006648DE" w:rsidRPr="00062F7E">
        <w:rPr>
          <w:color w:val="000000" w:themeColor="text1"/>
        </w:rPr>
        <w:t>preglenoid</w:t>
      </w:r>
      <w:r w:rsidR="00956E74" w:rsidRPr="00062F7E">
        <w:rPr>
          <w:color w:val="000000" w:themeColor="text1"/>
        </w:rPr>
        <w:t xml:space="preserve"> ridge or hamate process is homologous to the internal process, requiring medial elongation of one of these processes in the common ancestor of </w:t>
      </w:r>
      <w:r w:rsidR="00956E74" w:rsidRPr="00062F7E">
        <w:rPr>
          <w:i/>
          <w:iCs/>
          <w:color w:val="000000" w:themeColor="text1"/>
        </w:rPr>
        <w:t>Eocaecilia</w:t>
      </w:r>
      <w:r w:rsidR="006308AF">
        <w:rPr>
          <w:i/>
          <w:iCs/>
          <w:color w:val="000000" w:themeColor="text1"/>
        </w:rPr>
        <w:t xml:space="preserve"> micropodia</w:t>
      </w:r>
      <w:r w:rsidR="00956E74" w:rsidRPr="00062F7E">
        <w:rPr>
          <w:color w:val="000000" w:themeColor="text1"/>
        </w:rPr>
        <w:t xml:space="preserve"> and Gymnophiona. </w:t>
      </w:r>
      <w:r w:rsidR="00F56158" w:rsidRPr="00062F7E">
        <w:rPr>
          <w:color w:val="000000" w:themeColor="text1"/>
        </w:rPr>
        <w:t xml:space="preserve">Anterior to the hamate process the </w:t>
      </w:r>
      <w:r w:rsidR="00C91700" w:rsidRPr="00062F7E">
        <w:rPr>
          <w:color w:val="000000" w:themeColor="text1"/>
        </w:rPr>
        <w:t xml:space="preserve">medial margin of </w:t>
      </w:r>
      <w:r w:rsidR="00F56158" w:rsidRPr="00062F7E">
        <w:rPr>
          <w:color w:val="000000" w:themeColor="text1"/>
        </w:rPr>
        <w:t xml:space="preserve">the adductor fossa </w:t>
      </w:r>
      <w:r w:rsidRPr="00062F7E">
        <w:rPr>
          <w:color w:val="000000" w:themeColor="text1"/>
        </w:rPr>
        <w:t>sweeps laterally forming a low ridge that frames the anteromedial margin of the adductor fossa. This ridge meets the coronoid process on the lateral margin of the pseudoangular, causing the anteriorly tapering adductor fossa to terminate acutely at this junction. The coronoid process</w:t>
      </w:r>
      <w:r w:rsidR="00F56158" w:rsidRPr="00062F7E">
        <w:rPr>
          <w:color w:val="000000" w:themeColor="text1"/>
        </w:rPr>
        <w:t xml:space="preserve"> is </w:t>
      </w:r>
      <w:r w:rsidR="00C91700" w:rsidRPr="00062F7E">
        <w:rPr>
          <w:color w:val="000000" w:themeColor="text1"/>
        </w:rPr>
        <w:t xml:space="preserve">anteroposteriorly </w:t>
      </w:r>
      <w:r w:rsidR="00F56158" w:rsidRPr="00062F7E">
        <w:rPr>
          <w:color w:val="000000" w:themeColor="text1"/>
        </w:rPr>
        <w:t>elongate</w:t>
      </w:r>
      <w:r w:rsidR="00C91700" w:rsidRPr="00062F7E">
        <w:rPr>
          <w:color w:val="000000" w:themeColor="text1"/>
        </w:rPr>
        <w:t>,</w:t>
      </w:r>
      <w:r w:rsidRPr="00062F7E">
        <w:rPr>
          <w:color w:val="000000" w:themeColor="text1"/>
        </w:rPr>
        <w:t xml:space="preserve"> ris</w:t>
      </w:r>
      <w:r w:rsidR="00F56158" w:rsidRPr="00062F7E">
        <w:rPr>
          <w:color w:val="000000" w:themeColor="text1"/>
        </w:rPr>
        <w:t>ing</w:t>
      </w:r>
      <w:r w:rsidRPr="00062F7E">
        <w:rPr>
          <w:color w:val="000000" w:themeColor="text1"/>
        </w:rPr>
        <w:t xml:space="preserve"> </w:t>
      </w:r>
      <w:r w:rsidR="00C91700" w:rsidRPr="00062F7E">
        <w:rPr>
          <w:color w:val="000000" w:themeColor="text1"/>
        </w:rPr>
        <w:t>in dorsal height in the anterior direction</w:t>
      </w:r>
      <w:r w:rsidRPr="00062F7E">
        <w:rPr>
          <w:color w:val="000000" w:themeColor="text1"/>
        </w:rPr>
        <w:t xml:space="preserve"> from the adductor fossa to its dorsal apex near the anterior terminus of the adductor fossa, forming the lateral margin of the adductor fossa.</w:t>
      </w:r>
      <w:r w:rsidR="00956E74" w:rsidRPr="00062F7E">
        <w:rPr>
          <w:color w:val="000000" w:themeColor="text1"/>
        </w:rPr>
        <w:t xml:space="preserve"> The coronoid process of </w:t>
      </w:r>
      <w:r w:rsidR="006308AF">
        <w:rPr>
          <w:i/>
          <w:iCs/>
          <w:color w:val="000000" w:themeColor="text1"/>
        </w:rPr>
        <w:t>F. gilmorei</w:t>
      </w:r>
      <w:r w:rsidR="006308AF" w:rsidRPr="00062F7E">
        <w:rPr>
          <w:color w:val="000000" w:themeColor="text1"/>
        </w:rPr>
        <w:t xml:space="preserve"> </w:t>
      </w:r>
      <w:r w:rsidR="00956E74" w:rsidRPr="00062F7E">
        <w:rPr>
          <w:color w:val="000000" w:themeColor="text1"/>
        </w:rPr>
        <w:t>is similar to the</w:t>
      </w:r>
      <w:r w:rsidR="00F56158" w:rsidRPr="00062F7E">
        <w:rPr>
          <w:color w:val="000000" w:themeColor="text1"/>
        </w:rPr>
        <w:t xml:space="preserve"> elongate</w:t>
      </w:r>
      <w:r w:rsidR="00956E74" w:rsidRPr="00062F7E">
        <w:rPr>
          <w:color w:val="000000" w:themeColor="text1"/>
        </w:rPr>
        <w:t xml:space="preserve"> coronoid process </w:t>
      </w:r>
      <w:r w:rsidR="00F56158" w:rsidRPr="00062F7E">
        <w:rPr>
          <w:color w:val="000000" w:themeColor="text1"/>
        </w:rPr>
        <w:t>derived in</w:t>
      </w:r>
      <w:r w:rsidR="00956E74" w:rsidRPr="00062F7E">
        <w:rPr>
          <w:color w:val="000000" w:themeColor="text1"/>
        </w:rPr>
        <w:t xml:space="preserve"> dissorophoids</w:t>
      </w:r>
      <w:r w:rsidR="00F56158" w:rsidRPr="00062F7E">
        <w:rPr>
          <w:color w:val="000000" w:themeColor="text1"/>
        </w:rPr>
        <w:t>, where it is formed by coronoid 3</w:t>
      </w:r>
      <w:r w:rsidR="00956E74" w:rsidRPr="00062F7E">
        <w:rPr>
          <w:color w:val="000000" w:themeColor="text1"/>
        </w:rPr>
        <w:t xml:space="preserve"> (</w:t>
      </w:r>
      <w:r w:rsidR="005D6724">
        <w:rPr>
          <w:color w:val="000000" w:themeColor="text1"/>
        </w:rPr>
        <w:t xml:space="preserve">e.g., </w:t>
      </w:r>
      <w:r w:rsidR="00F56158" w:rsidRPr="00062F7E">
        <w:rPr>
          <w:color w:val="000000" w:themeColor="text1"/>
        </w:rPr>
        <w:t xml:space="preserve">Schoch </w:t>
      </w:r>
      <w:r w:rsidR="00696B58">
        <w:rPr>
          <w:color w:val="000000" w:themeColor="text1"/>
        </w:rPr>
        <w:t>&amp;</w:t>
      </w:r>
      <w:r w:rsidR="00F56158" w:rsidRPr="00062F7E">
        <w:rPr>
          <w:color w:val="000000" w:themeColor="text1"/>
        </w:rPr>
        <w:t xml:space="preserve"> Rubidge, 2005</w:t>
      </w:r>
      <w:r w:rsidR="00956E74" w:rsidRPr="00062F7E">
        <w:rPr>
          <w:color w:val="000000" w:themeColor="text1"/>
        </w:rPr>
        <w:t>)</w:t>
      </w:r>
      <w:r w:rsidR="00F56158" w:rsidRPr="00062F7E">
        <w:rPr>
          <w:color w:val="000000" w:themeColor="text1"/>
        </w:rPr>
        <w:t xml:space="preserve">, </w:t>
      </w:r>
      <w:r w:rsidR="00956E74" w:rsidRPr="00062F7E">
        <w:rPr>
          <w:color w:val="000000" w:themeColor="text1"/>
        </w:rPr>
        <w:t>suggesting</w:t>
      </w:r>
      <w:r w:rsidR="00C91700" w:rsidRPr="00062F7E">
        <w:rPr>
          <w:color w:val="000000" w:themeColor="text1"/>
        </w:rPr>
        <w:t xml:space="preserve"> </w:t>
      </w:r>
      <w:r w:rsidR="006308AF">
        <w:rPr>
          <w:i/>
          <w:iCs/>
          <w:color w:val="000000" w:themeColor="text1"/>
        </w:rPr>
        <w:t>F. gilmorei</w:t>
      </w:r>
      <w:r w:rsidR="006308AF" w:rsidRPr="00062F7E">
        <w:rPr>
          <w:color w:val="000000" w:themeColor="text1"/>
        </w:rPr>
        <w:t xml:space="preserve"> </w:t>
      </w:r>
      <w:r w:rsidR="00C91700" w:rsidRPr="00062F7E">
        <w:rPr>
          <w:color w:val="000000" w:themeColor="text1"/>
        </w:rPr>
        <w:t xml:space="preserve">conserves this </w:t>
      </w:r>
      <w:r w:rsidR="00956E74" w:rsidRPr="00062F7E">
        <w:rPr>
          <w:color w:val="000000" w:themeColor="text1"/>
        </w:rPr>
        <w:t xml:space="preserve">dissorophoid condition. A dorsally expanded eminence is present at the same location </w:t>
      </w:r>
      <w:r w:rsidR="00C91700" w:rsidRPr="00062F7E">
        <w:rPr>
          <w:color w:val="000000" w:themeColor="text1"/>
        </w:rPr>
        <w:t>as</w:t>
      </w:r>
      <w:r w:rsidR="00D415AB">
        <w:rPr>
          <w:color w:val="000000" w:themeColor="text1"/>
        </w:rPr>
        <w:t xml:space="preserve"> the coronoid process of</w:t>
      </w:r>
      <w:r w:rsidR="00C91700" w:rsidRPr="00062F7E">
        <w:rPr>
          <w:color w:val="000000" w:themeColor="text1"/>
        </w:rPr>
        <w:t xml:space="preserve"> </w:t>
      </w:r>
      <w:r w:rsidR="006308AF">
        <w:rPr>
          <w:i/>
          <w:iCs/>
          <w:color w:val="000000" w:themeColor="text1"/>
        </w:rPr>
        <w:t>F. gilmorei</w:t>
      </w:r>
      <w:r w:rsidR="006308AF" w:rsidRPr="00062F7E">
        <w:rPr>
          <w:color w:val="000000" w:themeColor="text1"/>
        </w:rPr>
        <w:t xml:space="preserve"> </w:t>
      </w:r>
      <w:r w:rsidR="00D415AB">
        <w:rPr>
          <w:color w:val="000000" w:themeColor="text1"/>
        </w:rPr>
        <w:t>in</w:t>
      </w:r>
      <w:r w:rsidR="00956E74" w:rsidRPr="00062F7E">
        <w:rPr>
          <w:color w:val="000000" w:themeColor="text1"/>
        </w:rPr>
        <w:t xml:space="preserve"> </w:t>
      </w:r>
      <w:r w:rsidR="006308AF">
        <w:rPr>
          <w:i/>
          <w:iCs/>
          <w:color w:val="000000" w:themeColor="text1"/>
        </w:rPr>
        <w:t>E. micropodia</w:t>
      </w:r>
      <w:r w:rsidR="00956E74" w:rsidRPr="00062F7E">
        <w:rPr>
          <w:color w:val="000000" w:themeColor="text1"/>
        </w:rPr>
        <w:t xml:space="preserve">, </w:t>
      </w:r>
      <w:r w:rsidR="00956E74" w:rsidRPr="00062F7E">
        <w:rPr>
          <w:i/>
          <w:iCs/>
          <w:color w:val="000000" w:themeColor="text1"/>
        </w:rPr>
        <w:t>Rubricacaecilia</w:t>
      </w:r>
      <w:r w:rsidR="006308AF">
        <w:rPr>
          <w:i/>
          <w:iCs/>
          <w:color w:val="000000" w:themeColor="text1"/>
        </w:rPr>
        <w:t xml:space="preserve"> monbaroni</w:t>
      </w:r>
      <w:r w:rsidR="00956E74" w:rsidRPr="00062F7E">
        <w:rPr>
          <w:color w:val="000000" w:themeColor="text1"/>
        </w:rPr>
        <w:t xml:space="preserve">, and gymnophionans, indicating conservation of this </w:t>
      </w:r>
      <w:r w:rsidR="00D96674">
        <w:rPr>
          <w:color w:val="000000" w:themeColor="text1"/>
        </w:rPr>
        <w:t>morphology</w:t>
      </w:r>
      <w:r w:rsidR="00D96674" w:rsidRPr="00062F7E">
        <w:rPr>
          <w:color w:val="000000" w:themeColor="text1"/>
        </w:rPr>
        <w:t xml:space="preserve"> </w:t>
      </w:r>
      <w:r w:rsidR="00956E74" w:rsidRPr="00062F7E">
        <w:rPr>
          <w:color w:val="000000" w:themeColor="text1"/>
        </w:rPr>
        <w:t xml:space="preserve">in all gymnophionomorphs. </w:t>
      </w:r>
    </w:p>
    <w:p w14:paraId="5707EB31" w14:textId="5E82FD43" w:rsidR="00E03BDD" w:rsidRPr="00062F7E" w:rsidRDefault="0076371E" w:rsidP="00662B68">
      <w:pPr>
        <w:ind w:firstLine="720"/>
        <w:rPr>
          <w:color w:val="000000" w:themeColor="text1"/>
        </w:rPr>
      </w:pPr>
      <w:r w:rsidRPr="00062F7E">
        <w:rPr>
          <w:color w:val="000000" w:themeColor="text1"/>
        </w:rPr>
        <w:t>Th</w:t>
      </w:r>
      <w:r w:rsidR="00C91700" w:rsidRPr="00062F7E">
        <w:rPr>
          <w:color w:val="000000" w:themeColor="text1"/>
        </w:rPr>
        <w:t>r</w:t>
      </w:r>
      <w:r w:rsidRPr="00062F7E">
        <w:rPr>
          <w:color w:val="000000" w:themeColor="text1"/>
        </w:rPr>
        <w:t xml:space="preserve">ee foramina </w:t>
      </w:r>
      <w:r w:rsidR="00D415AB">
        <w:rPr>
          <w:color w:val="000000" w:themeColor="text1"/>
        </w:rPr>
        <w:t>pierce the</w:t>
      </w:r>
      <w:r w:rsidR="00D415AB" w:rsidRPr="00062F7E">
        <w:rPr>
          <w:color w:val="000000" w:themeColor="text1"/>
        </w:rPr>
        <w:t xml:space="preserve"> </w:t>
      </w:r>
      <w:r w:rsidR="00D415AB">
        <w:rPr>
          <w:color w:val="000000" w:themeColor="text1"/>
        </w:rPr>
        <w:t>adductor fossa in</w:t>
      </w:r>
      <w:r w:rsidRPr="00062F7E">
        <w:rPr>
          <w:color w:val="000000" w:themeColor="text1"/>
        </w:rPr>
        <w:t xml:space="preserve"> </w:t>
      </w:r>
      <w:r w:rsidR="00993511" w:rsidRPr="00662B68">
        <w:rPr>
          <w:i/>
          <w:iCs/>
          <w:color w:val="000000" w:themeColor="text1"/>
        </w:rPr>
        <w:t>Funcusvermis</w:t>
      </w:r>
      <w:r w:rsidR="006308AF">
        <w:rPr>
          <w:i/>
          <w:iCs/>
          <w:color w:val="000000" w:themeColor="text1"/>
        </w:rPr>
        <w:t xml:space="preserve"> gilmorei</w:t>
      </w:r>
      <w:r w:rsidRPr="00062F7E">
        <w:rPr>
          <w:color w:val="000000" w:themeColor="text1"/>
        </w:rPr>
        <w:t xml:space="preserve">, representing insertions for branches of neurovasculature associated with the mandibular branch of </w:t>
      </w:r>
      <w:r w:rsidR="009F0E35">
        <w:rPr>
          <w:color w:val="000000" w:themeColor="text1"/>
        </w:rPr>
        <w:t>CN</w:t>
      </w:r>
      <w:r w:rsidRPr="00062F7E">
        <w:rPr>
          <w:color w:val="000000" w:themeColor="text1"/>
        </w:rPr>
        <w:t xml:space="preserve"> V, including</w:t>
      </w:r>
      <w:r w:rsidR="00492DB4">
        <w:rPr>
          <w:color w:val="000000" w:themeColor="text1"/>
        </w:rPr>
        <w:t xml:space="preserve"> (Fig. 1, Extended Data Fig. 3)</w:t>
      </w:r>
      <w:r w:rsidRPr="00062F7E">
        <w:rPr>
          <w:color w:val="000000" w:themeColor="text1"/>
        </w:rPr>
        <w:t xml:space="preserve">: [1] </w:t>
      </w:r>
      <w:r w:rsidR="005A20A3" w:rsidRPr="00062F7E">
        <w:rPr>
          <w:color w:val="000000" w:themeColor="text1"/>
        </w:rPr>
        <w:t xml:space="preserve">A small </w:t>
      </w:r>
      <w:r w:rsidR="00993511" w:rsidRPr="00062F7E">
        <w:rPr>
          <w:color w:val="000000" w:themeColor="text1"/>
        </w:rPr>
        <w:t>dorsally placed</w:t>
      </w:r>
      <w:r w:rsidR="005A20A3" w:rsidRPr="00062F7E">
        <w:rPr>
          <w:color w:val="000000" w:themeColor="text1"/>
        </w:rPr>
        <w:t xml:space="preserve"> foram</w:t>
      </w:r>
      <w:r w:rsidR="00211318" w:rsidRPr="00062F7E">
        <w:rPr>
          <w:color w:val="000000" w:themeColor="text1"/>
        </w:rPr>
        <w:t>en</w:t>
      </w:r>
      <w:r w:rsidR="005A20A3" w:rsidRPr="00062F7E">
        <w:rPr>
          <w:color w:val="000000" w:themeColor="text1"/>
        </w:rPr>
        <w:t xml:space="preserve"> l</w:t>
      </w:r>
      <w:r w:rsidR="009348E5" w:rsidRPr="00062F7E">
        <w:rPr>
          <w:color w:val="000000" w:themeColor="text1"/>
        </w:rPr>
        <w:t>o</w:t>
      </w:r>
      <w:r w:rsidR="005A20A3" w:rsidRPr="00062F7E">
        <w:rPr>
          <w:color w:val="000000" w:themeColor="text1"/>
        </w:rPr>
        <w:t>cated</w:t>
      </w:r>
      <w:r w:rsidR="009348E5" w:rsidRPr="00062F7E">
        <w:rPr>
          <w:color w:val="000000" w:themeColor="text1"/>
        </w:rPr>
        <w:t xml:space="preserve"> </w:t>
      </w:r>
      <w:r w:rsidR="00D415AB">
        <w:rPr>
          <w:color w:val="000000" w:themeColor="text1"/>
        </w:rPr>
        <w:t>at the posteriormost end of</w:t>
      </w:r>
      <w:r w:rsidR="009348E5" w:rsidRPr="00062F7E">
        <w:rPr>
          <w:color w:val="000000" w:themeColor="text1"/>
        </w:rPr>
        <w:t xml:space="preserve"> the adductor fossa</w:t>
      </w:r>
      <w:r w:rsidRPr="00062F7E">
        <w:rPr>
          <w:color w:val="000000" w:themeColor="text1"/>
        </w:rPr>
        <w:t>; [2] a large foramen located on the floor of the adductor fossa</w:t>
      </w:r>
      <w:r w:rsidR="00211318" w:rsidRPr="00062F7E">
        <w:rPr>
          <w:color w:val="000000" w:themeColor="text1"/>
        </w:rPr>
        <w:t>;</w:t>
      </w:r>
      <w:r w:rsidRPr="00062F7E">
        <w:rPr>
          <w:color w:val="000000" w:themeColor="text1"/>
        </w:rPr>
        <w:t xml:space="preserve"> </w:t>
      </w:r>
      <w:r w:rsidR="00A547AE" w:rsidRPr="00062F7E">
        <w:rPr>
          <w:color w:val="000000" w:themeColor="text1"/>
        </w:rPr>
        <w:t>and</w:t>
      </w:r>
      <w:r w:rsidRPr="00062F7E">
        <w:rPr>
          <w:color w:val="000000" w:themeColor="text1"/>
        </w:rPr>
        <w:t xml:space="preserve"> [3] a small foramen located on the raised surface of the adductor fossa anterior</w:t>
      </w:r>
      <w:r w:rsidR="00D415AB">
        <w:rPr>
          <w:color w:val="000000" w:themeColor="text1"/>
        </w:rPr>
        <w:t xml:space="preserve"> between the coronoid and hamate processes</w:t>
      </w:r>
      <w:r w:rsidRPr="00062F7E">
        <w:rPr>
          <w:color w:val="000000" w:themeColor="text1"/>
        </w:rPr>
        <w:t xml:space="preserve">. </w:t>
      </w:r>
      <w:r w:rsidR="00177092" w:rsidRPr="00062F7E">
        <w:rPr>
          <w:color w:val="000000" w:themeColor="text1"/>
        </w:rPr>
        <w:t xml:space="preserve">A foramen is present on the ventral surface of the posterior end </w:t>
      </w:r>
      <w:r w:rsidR="00010988" w:rsidRPr="00062F7E">
        <w:rPr>
          <w:color w:val="000000" w:themeColor="text1"/>
        </w:rPr>
        <w:t>of the pseudoangular opposite the jaw articulation surface</w:t>
      </w:r>
      <w:r w:rsidR="00177092" w:rsidRPr="00062F7E">
        <w:rPr>
          <w:color w:val="000000" w:themeColor="text1"/>
        </w:rPr>
        <w:t xml:space="preserve">, </w:t>
      </w:r>
      <w:r w:rsidR="00C25DBB" w:rsidRPr="00062F7E">
        <w:rPr>
          <w:color w:val="000000" w:themeColor="text1"/>
        </w:rPr>
        <w:t>likely</w:t>
      </w:r>
      <w:r w:rsidR="00177092" w:rsidRPr="00062F7E">
        <w:rPr>
          <w:color w:val="000000" w:themeColor="text1"/>
        </w:rPr>
        <w:t xml:space="preserve"> the insertion point of </w:t>
      </w:r>
      <w:r w:rsidRPr="00062F7E">
        <w:rPr>
          <w:color w:val="000000" w:themeColor="text1"/>
        </w:rPr>
        <w:t>neurovasculature associated with</w:t>
      </w:r>
      <w:r w:rsidR="00177092" w:rsidRPr="00062F7E">
        <w:rPr>
          <w:color w:val="000000" w:themeColor="text1"/>
        </w:rPr>
        <w:t xml:space="preserve"> </w:t>
      </w:r>
      <w:r w:rsidR="003B07C3">
        <w:rPr>
          <w:color w:val="000000" w:themeColor="text1"/>
        </w:rPr>
        <w:t>CN</w:t>
      </w:r>
      <w:r w:rsidR="00211318" w:rsidRPr="00062F7E">
        <w:rPr>
          <w:color w:val="000000" w:themeColor="text1"/>
        </w:rPr>
        <w:t xml:space="preserve"> VII</w:t>
      </w:r>
      <w:r w:rsidR="00177092" w:rsidRPr="00062F7E">
        <w:rPr>
          <w:color w:val="000000" w:themeColor="text1"/>
        </w:rPr>
        <w:t>.</w:t>
      </w:r>
      <w:r w:rsidRPr="00062F7E">
        <w:rPr>
          <w:color w:val="000000" w:themeColor="text1"/>
        </w:rPr>
        <w:t xml:space="preserve"> </w:t>
      </w:r>
      <w:r w:rsidR="00577F6C" w:rsidRPr="00062F7E">
        <w:rPr>
          <w:color w:val="000000" w:themeColor="text1"/>
        </w:rPr>
        <w:t xml:space="preserve">The </w:t>
      </w:r>
      <w:proofErr w:type="spellStart"/>
      <w:r w:rsidR="00577F6C" w:rsidRPr="00062F7E">
        <w:rPr>
          <w:color w:val="000000" w:themeColor="text1"/>
        </w:rPr>
        <w:t>intramandibular</w:t>
      </w:r>
      <w:proofErr w:type="spellEnd"/>
      <w:r w:rsidR="00577F6C" w:rsidRPr="00062F7E">
        <w:rPr>
          <w:color w:val="000000" w:themeColor="text1"/>
        </w:rPr>
        <w:t xml:space="preserve"> foramen </w:t>
      </w:r>
      <w:r w:rsidR="00010988" w:rsidRPr="00062F7E">
        <w:rPr>
          <w:color w:val="000000" w:themeColor="text1"/>
        </w:rPr>
        <w:t>forms a</w:t>
      </w:r>
      <w:r w:rsidRPr="00062F7E">
        <w:rPr>
          <w:color w:val="000000" w:themeColor="text1"/>
        </w:rPr>
        <w:t xml:space="preserve"> large</w:t>
      </w:r>
      <w:r w:rsidR="00010988" w:rsidRPr="00062F7E">
        <w:rPr>
          <w:color w:val="000000" w:themeColor="text1"/>
        </w:rPr>
        <w:t xml:space="preserve"> </w:t>
      </w:r>
      <w:r w:rsidR="00211318" w:rsidRPr="00062F7E">
        <w:rPr>
          <w:color w:val="000000" w:themeColor="text1"/>
        </w:rPr>
        <w:lastRenderedPageBreak/>
        <w:t xml:space="preserve">anteroposteriorly </w:t>
      </w:r>
      <w:r w:rsidR="00577F6C" w:rsidRPr="00062F7E">
        <w:rPr>
          <w:color w:val="000000" w:themeColor="text1"/>
        </w:rPr>
        <w:t xml:space="preserve">oblong foramen on the medial surface of the element, serving as the exit for </w:t>
      </w:r>
      <w:r w:rsidRPr="00062F7E">
        <w:rPr>
          <w:color w:val="000000" w:themeColor="text1"/>
        </w:rPr>
        <w:t xml:space="preserve">neurovasculature associated with </w:t>
      </w:r>
      <w:r w:rsidR="00577F6C" w:rsidRPr="00062F7E">
        <w:rPr>
          <w:color w:val="000000" w:themeColor="text1"/>
        </w:rPr>
        <w:t xml:space="preserve">ramus </w:t>
      </w:r>
      <w:proofErr w:type="spellStart"/>
      <w:r w:rsidR="00577F6C" w:rsidRPr="00062F7E">
        <w:rPr>
          <w:color w:val="000000" w:themeColor="text1"/>
        </w:rPr>
        <w:t>intramandibularis</w:t>
      </w:r>
      <w:proofErr w:type="spellEnd"/>
      <w:r w:rsidR="00577F6C" w:rsidRPr="00062F7E">
        <w:rPr>
          <w:color w:val="000000" w:themeColor="text1"/>
        </w:rPr>
        <w:t xml:space="preserve"> of </w:t>
      </w:r>
      <w:r w:rsidR="003B07C3">
        <w:rPr>
          <w:color w:val="000000" w:themeColor="text1"/>
        </w:rPr>
        <w:t>CN</w:t>
      </w:r>
      <w:r w:rsidR="00C25DBB" w:rsidRPr="00062F7E">
        <w:rPr>
          <w:color w:val="000000" w:themeColor="text1"/>
        </w:rPr>
        <w:t xml:space="preserve"> V</w:t>
      </w:r>
      <w:r w:rsidR="00577F6C" w:rsidRPr="00062F7E">
        <w:rPr>
          <w:color w:val="000000" w:themeColor="text1"/>
        </w:rPr>
        <w:t>.</w:t>
      </w:r>
      <w:r w:rsidRPr="00062F7E">
        <w:rPr>
          <w:color w:val="000000" w:themeColor="text1"/>
        </w:rPr>
        <w:t xml:space="preserve"> The neurovascular arrangement in the </w:t>
      </w:r>
      <w:r w:rsidR="00D96674">
        <w:rPr>
          <w:color w:val="000000" w:themeColor="text1"/>
        </w:rPr>
        <w:t>p</w:t>
      </w:r>
      <w:r w:rsidR="00D415AB">
        <w:rPr>
          <w:color w:val="000000" w:themeColor="text1"/>
        </w:rPr>
        <w:t>seudoangular</w:t>
      </w:r>
      <w:r w:rsidRPr="00062F7E">
        <w:rPr>
          <w:color w:val="000000" w:themeColor="text1"/>
        </w:rPr>
        <w:t xml:space="preserve"> of </w:t>
      </w:r>
      <w:r w:rsidR="006308AF">
        <w:rPr>
          <w:i/>
          <w:iCs/>
          <w:color w:val="000000" w:themeColor="text1"/>
        </w:rPr>
        <w:t>F. gilmorei</w:t>
      </w:r>
      <w:r w:rsidR="006308AF" w:rsidRPr="00062F7E">
        <w:rPr>
          <w:i/>
          <w:iCs/>
          <w:color w:val="000000" w:themeColor="text1"/>
        </w:rPr>
        <w:t xml:space="preserve"> </w:t>
      </w:r>
      <w:r w:rsidRPr="00062F7E">
        <w:rPr>
          <w:color w:val="000000" w:themeColor="text1"/>
        </w:rPr>
        <w:t xml:space="preserve">is largely similar to that of </w:t>
      </w:r>
      <w:r w:rsidRPr="00062F7E">
        <w:rPr>
          <w:i/>
          <w:iCs/>
          <w:color w:val="000000" w:themeColor="text1"/>
        </w:rPr>
        <w:t>Eocaecilia</w:t>
      </w:r>
      <w:r w:rsidR="006308AF">
        <w:rPr>
          <w:i/>
          <w:iCs/>
          <w:color w:val="000000" w:themeColor="text1"/>
        </w:rPr>
        <w:t xml:space="preserve"> micropodia</w:t>
      </w:r>
      <w:r w:rsidRPr="00062F7E">
        <w:rPr>
          <w:color w:val="000000" w:themeColor="text1"/>
        </w:rPr>
        <w:t xml:space="preserve">, </w:t>
      </w:r>
      <w:r w:rsidRPr="00062F7E">
        <w:rPr>
          <w:i/>
          <w:iCs/>
          <w:color w:val="000000" w:themeColor="text1"/>
        </w:rPr>
        <w:t>Rubricacaecilia</w:t>
      </w:r>
      <w:r w:rsidR="006308AF">
        <w:rPr>
          <w:i/>
          <w:iCs/>
          <w:color w:val="000000" w:themeColor="text1"/>
        </w:rPr>
        <w:t xml:space="preserve"> monbaroni</w:t>
      </w:r>
      <w:r w:rsidRPr="00062F7E">
        <w:rPr>
          <w:color w:val="000000" w:themeColor="text1"/>
        </w:rPr>
        <w:t xml:space="preserve">, and gymnophionans, including the following: insertion of the mandibular branches of </w:t>
      </w:r>
      <w:r w:rsidR="003B07C3">
        <w:rPr>
          <w:color w:val="000000" w:themeColor="text1"/>
        </w:rPr>
        <w:t>CN</w:t>
      </w:r>
      <w:r w:rsidRPr="00062F7E">
        <w:rPr>
          <w:color w:val="000000" w:themeColor="text1"/>
        </w:rPr>
        <w:t xml:space="preserve"> V into the lower jaw via a foramen in the floor of the adductor fossa; a large </w:t>
      </w:r>
      <w:proofErr w:type="spellStart"/>
      <w:r w:rsidRPr="00062F7E">
        <w:rPr>
          <w:color w:val="000000" w:themeColor="text1"/>
        </w:rPr>
        <w:t>intramandibular</w:t>
      </w:r>
      <w:proofErr w:type="spellEnd"/>
      <w:r w:rsidRPr="00062F7E">
        <w:rPr>
          <w:color w:val="000000" w:themeColor="text1"/>
        </w:rPr>
        <w:t xml:space="preserve"> foramen on the medial surface of the pseudoangular for exit of the</w:t>
      </w:r>
      <w:r w:rsidR="00A547AE">
        <w:rPr>
          <w:color w:val="000000" w:themeColor="text1"/>
        </w:rPr>
        <w:t xml:space="preserve"> </w:t>
      </w:r>
      <w:proofErr w:type="spellStart"/>
      <w:r w:rsidR="00A547AE">
        <w:rPr>
          <w:color w:val="000000" w:themeColor="text1"/>
        </w:rPr>
        <w:t>intramandibular</w:t>
      </w:r>
      <w:proofErr w:type="spellEnd"/>
      <w:r w:rsidR="00A547AE">
        <w:rPr>
          <w:color w:val="000000" w:themeColor="text1"/>
        </w:rPr>
        <w:t xml:space="preserve"> branch</w:t>
      </w:r>
      <w:r w:rsidRPr="00062F7E">
        <w:rPr>
          <w:color w:val="000000" w:themeColor="text1"/>
        </w:rPr>
        <w:t xml:space="preserve"> of </w:t>
      </w:r>
      <w:r w:rsidR="003B07C3">
        <w:rPr>
          <w:color w:val="000000" w:themeColor="text1"/>
        </w:rPr>
        <w:t>CN</w:t>
      </w:r>
      <w:r w:rsidRPr="00062F7E">
        <w:rPr>
          <w:color w:val="000000" w:themeColor="text1"/>
        </w:rPr>
        <w:t xml:space="preserve"> V; insertion of the</w:t>
      </w:r>
      <w:r w:rsidR="00D415AB">
        <w:rPr>
          <w:color w:val="000000" w:themeColor="text1"/>
        </w:rPr>
        <w:t xml:space="preserve"> alveolar branch</w:t>
      </w:r>
      <w:r w:rsidRPr="00062F7E">
        <w:rPr>
          <w:color w:val="000000" w:themeColor="text1"/>
        </w:rPr>
        <w:t xml:space="preserve"> of </w:t>
      </w:r>
      <w:r w:rsidR="003B07C3">
        <w:rPr>
          <w:color w:val="000000" w:themeColor="text1"/>
        </w:rPr>
        <w:t>CN</w:t>
      </w:r>
      <w:r w:rsidRPr="00062F7E">
        <w:rPr>
          <w:color w:val="000000" w:themeColor="text1"/>
        </w:rPr>
        <w:t xml:space="preserve"> VII on the ventral or medial surface of the pseudoangular ventral to the jaw </w:t>
      </w:r>
      <w:r w:rsidR="00C91700" w:rsidRPr="00062F7E">
        <w:rPr>
          <w:color w:val="000000" w:themeColor="text1"/>
        </w:rPr>
        <w:t>articulation surface</w:t>
      </w:r>
      <w:r w:rsidRPr="00062F7E">
        <w:rPr>
          <w:color w:val="000000" w:themeColor="text1"/>
        </w:rPr>
        <w:t xml:space="preserve">. The presence of more than </w:t>
      </w:r>
      <w:r w:rsidR="00306AF4">
        <w:rPr>
          <w:color w:val="000000" w:themeColor="text1"/>
        </w:rPr>
        <w:t>three</w:t>
      </w:r>
      <w:r w:rsidR="00306AF4" w:rsidRPr="00062F7E">
        <w:rPr>
          <w:color w:val="000000" w:themeColor="text1"/>
        </w:rPr>
        <w:t xml:space="preserve"> </w:t>
      </w:r>
      <w:r w:rsidRPr="00062F7E">
        <w:rPr>
          <w:color w:val="000000" w:themeColor="text1"/>
        </w:rPr>
        <w:t>foram</w:t>
      </w:r>
      <w:r w:rsidR="00306AF4">
        <w:rPr>
          <w:color w:val="000000" w:themeColor="text1"/>
        </w:rPr>
        <w:t>ina</w:t>
      </w:r>
      <w:r w:rsidRPr="00062F7E">
        <w:rPr>
          <w:color w:val="000000" w:themeColor="text1"/>
        </w:rPr>
        <w:t xml:space="preserve"> for insertion of the mandibular branch of </w:t>
      </w:r>
      <w:r w:rsidR="003B07C3">
        <w:rPr>
          <w:color w:val="000000" w:themeColor="text1"/>
        </w:rPr>
        <w:t>CN</w:t>
      </w:r>
      <w:r w:rsidRPr="00062F7E">
        <w:rPr>
          <w:color w:val="000000" w:themeColor="text1"/>
        </w:rPr>
        <w:t xml:space="preserve"> V in the floor of the adductor fossa</w:t>
      </w:r>
      <w:r w:rsidR="00306AF4">
        <w:rPr>
          <w:color w:val="000000" w:themeColor="text1"/>
        </w:rPr>
        <w:t xml:space="preserve"> </w:t>
      </w:r>
      <w:r w:rsidRPr="00062F7E">
        <w:rPr>
          <w:color w:val="000000" w:themeColor="text1"/>
        </w:rPr>
        <w:t>differ</w:t>
      </w:r>
      <w:r w:rsidR="00306AF4">
        <w:rPr>
          <w:color w:val="000000" w:themeColor="text1"/>
        </w:rPr>
        <w:t>s</w:t>
      </w:r>
      <w:r w:rsidRPr="00062F7E">
        <w:rPr>
          <w:color w:val="000000" w:themeColor="text1"/>
        </w:rPr>
        <w:t xml:space="preserve"> from the condition </w:t>
      </w:r>
      <w:r w:rsidR="00394B4B" w:rsidRPr="00062F7E">
        <w:rPr>
          <w:color w:val="000000" w:themeColor="text1"/>
        </w:rPr>
        <w:t>in</w:t>
      </w:r>
      <w:r w:rsidR="00306AF4">
        <w:rPr>
          <w:color w:val="000000" w:themeColor="text1"/>
        </w:rPr>
        <w:t xml:space="preserve"> all other gymnophionomorphs</w:t>
      </w:r>
      <w:r w:rsidRPr="00062F7E">
        <w:rPr>
          <w:color w:val="000000" w:themeColor="text1"/>
        </w:rPr>
        <w:t xml:space="preserve"> where a single </w:t>
      </w:r>
      <w:r w:rsidR="00306AF4">
        <w:rPr>
          <w:color w:val="000000" w:themeColor="text1"/>
        </w:rPr>
        <w:t>insertion</w:t>
      </w:r>
      <w:r w:rsidR="00306AF4" w:rsidRPr="00062F7E">
        <w:rPr>
          <w:color w:val="000000" w:themeColor="text1"/>
        </w:rPr>
        <w:t xml:space="preserve"> </w:t>
      </w:r>
      <w:r w:rsidRPr="00062F7E">
        <w:rPr>
          <w:color w:val="000000" w:themeColor="text1"/>
        </w:rPr>
        <w:t xml:space="preserve">is present. </w:t>
      </w:r>
    </w:p>
    <w:p w14:paraId="61F1386F" w14:textId="537A3434" w:rsidR="00242B57" w:rsidRPr="00062F7E" w:rsidRDefault="00394B4B" w:rsidP="00662B68">
      <w:pPr>
        <w:ind w:firstLine="720"/>
        <w:rPr>
          <w:color w:val="000000" w:themeColor="text1"/>
        </w:rPr>
      </w:pPr>
      <w:r w:rsidRPr="00062F7E">
        <w:rPr>
          <w:color w:val="000000" w:themeColor="text1"/>
        </w:rPr>
        <w:t xml:space="preserve">In </w:t>
      </w:r>
      <w:r w:rsidRPr="00062F7E">
        <w:rPr>
          <w:i/>
          <w:iCs/>
          <w:color w:val="000000" w:themeColor="text1"/>
        </w:rPr>
        <w:t>Funcusvermis</w:t>
      </w:r>
      <w:r w:rsidR="006308AF">
        <w:rPr>
          <w:i/>
          <w:iCs/>
          <w:color w:val="000000" w:themeColor="text1"/>
        </w:rPr>
        <w:t xml:space="preserve"> gilmorei</w:t>
      </w:r>
      <w:r w:rsidRPr="00062F7E">
        <w:rPr>
          <w:color w:val="000000" w:themeColor="text1"/>
        </w:rPr>
        <w:t xml:space="preserve">, </w:t>
      </w:r>
      <w:r w:rsidR="003B07C3">
        <w:rPr>
          <w:color w:val="000000" w:themeColor="text1"/>
        </w:rPr>
        <w:t>t</w:t>
      </w:r>
      <w:r w:rsidR="00C25DBB" w:rsidRPr="00062F7E">
        <w:rPr>
          <w:color w:val="000000" w:themeColor="text1"/>
        </w:rPr>
        <w:t xml:space="preserve">he </w:t>
      </w:r>
      <w:r w:rsidR="00211318" w:rsidRPr="00062F7E">
        <w:rPr>
          <w:color w:val="000000" w:themeColor="text1"/>
        </w:rPr>
        <w:t>lateral articulation surface</w:t>
      </w:r>
      <w:r w:rsidR="00010988" w:rsidRPr="00062F7E">
        <w:rPr>
          <w:color w:val="000000" w:themeColor="text1"/>
        </w:rPr>
        <w:t xml:space="preserve"> of the pseudoangular</w:t>
      </w:r>
      <w:r w:rsidR="00211318" w:rsidRPr="00062F7E">
        <w:rPr>
          <w:color w:val="000000" w:themeColor="text1"/>
        </w:rPr>
        <w:t xml:space="preserve"> </w:t>
      </w:r>
      <w:r w:rsidR="00010988" w:rsidRPr="00062F7E">
        <w:rPr>
          <w:color w:val="000000" w:themeColor="text1"/>
        </w:rPr>
        <w:t xml:space="preserve">for attachment </w:t>
      </w:r>
      <w:r w:rsidR="00211318" w:rsidRPr="00062F7E">
        <w:rPr>
          <w:color w:val="000000" w:themeColor="text1"/>
        </w:rPr>
        <w:t xml:space="preserve">to </w:t>
      </w:r>
      <w:r w:rsidR="00C25DBB" w:rsidRPr="00062F7E">
        <w:rPr>
          <w:color w:val="000000" w:themeColor="text1"/>
        </w:rPr>
        <w:t>the medial side of</w:t>
      </w:r>
      <w:r w:rsidR="00211318" w:rsidRPr="00062F7E">
        <w:rPr>
          <w:color w:val="000000" w:themeColor="text1"/>
        </w:rPr>
        <w:t xml:space="preserve"> the</w:t>
      </w:r>
      <w:r w:rsidR="00C25DBB" w:rsidRPr="00062F7E">
        <w:rPr>
          <w:color w:val="000000" w:themeColor="text1"/>
        </w:rPr>
        <w:t xml:space="preserve"> pseudodentary is formed by a vertically oriented and laterally facing </w:t>
      </w:r>
      <w:r w:rsidR="00150262" w:rsidRPr="00062F7E">
        <w:rPr>
          <w:color w:val="000000" w:themeColor="text1"/>
        </w:rPr>
        <w:t>inset f</w:t>
      </w:r>
      <w:r w:rsidR="00682C4F" w:rsidRPr="00062F7E">
        <w:rPr>
          <w:color w:val="000000" w:themeColor="text1"/>
        </w:rPr>
        <w:t xml:space="preserve">ossa occupying </w:t>
      </w:r>
      <w:r w:rsidR="00C25DBB" w:rsidRPr="00062F7E">
        <w:rPr>
          <w:color w:val="000000" w:themeColor="text1"/>
        </w:rPr>
        <w:t xml:space="preserve">the lateral side of the </w:t>
      </w:r>
      <w:r w:rsidR="00211318" w:rsidRPr="00062F7E">
        <w:rPr>
          <w:color w:val="000000" w:themeColor="text1"/>
        </w:rPr>
        <w:t xml:space="preserve">pseudoangular </w:t>
      </w:r>
      <w:r w:rsidR="00577F6C" w:rsidRPr="00062F7E">
        <w:rPr>
          <w:color w:val="000000" w:themeColor="text1"/>
        </w:rPr>
        <w:t>from its anterior end to a position ventral to the anterior end of the jaw articulation surface</w:t>
      </w:r>
      <w:r w:rsidR="00492DB4">
        <w:rPr>
          <w:color w:val="000000" w:themeColor="text1"/>
        </w:rPr>
        <w:t xml:space="preserve"> (Extended Data Fig. 3)</w:t>
      </w:r>
      <w:r w:rsidR="00577F6C" w:rsidRPr="00062F7E">
        <w:rPr>
          <w:color w:val="000000" w:themeColor="text1"/>
        </w:rPr>
        <w:t xml:space="preserve">. </w:t>
      </w:r>
      <w:r w:rsidR="00742BCF" w:rsidRPr="00062F7E">
        <w:rPr>
          <w:color w:val="000000" w:themeColor="text1"/>
        </w:rPr>
        <w:t>Two longitudinally oriented facets are present on the dorsal and ventral margins of the pseudodentary articulation surface</w:t>
      </w:r>
      <w:r w:rsidR="00C13746">
        <w:rPr>
          <w:color w:val="000000" w:themeColor="text1"/>
        </w:rPr>
        <w:t xml:space="preserve"> of the pseudoangular</w:t>
      </w:r>
      <w:r w:rsidR="00395018" w:rsidRPr="00062F7E">
        <w:rPr>
          <w:color w:val="000000" w:themeColor="text1"/>
        </w:rPr>
        <w:t>, and these facets</w:t>
      </w:r>
      <w:r w:rsidR="00742BCF" w:rsidRPr="00062F7E">
        <w:rPr>
          <w:color w:val="000000" w:themeColor="text1"/>
        </w:rPr>
        <w:t xml:space="preserve"> match partner facets on the medial surface of the pseudodentary</w:t>
      </w:r>
      <w:r w:rsidR="00306AF4">
        <w:rPr>
          <w:color w:val="000000" w:themeColor="text1"/>
        </w:rPr>
        <w:t xml:space="preserve"> (Extended Data Fig. </w:t>
      </w:r>
      <w:r w:rsidR="008A5D11">
        <w:rPr>
          <w:color w:val="000000" w:themeColor="text1"/>
        </w:rPr>
        <w:t>3</w:t>
      </w:r>
      <w:r w:rsidR="00306AF4">
        <w:rPr>
          <w:color w:val="000000" w:themeColor="text1"/>
        </w:rPr>
        <w:t>)</w:t>
      </w:r>
      <w:r w:rsidR="00742BCF" w:rsidRPr="00062F7E">
        <w:rPr>
          <w:color w:val="000000" w:themeColor="text1"/>
        </w:rPr>
        <w:t>.</w:t>
      </w:r>
      <w:r w:rsidRPr="00062F7E">
        <w:rPr>
          <w:color w:val="000000" w:themeColor="text1"/>
        </w:rPr>
        <w:t xml:space="preserve"> </w:t>
      </w:r>
      <w:r w:rsidR="00682C4F" w:rsidRPr="00062F7E">
        <w:rPr>
          <w:color w:val="000000" w:themeColor="text1"/>
        </w:rPr>
        <w:t>An anteriorly directed foramen emerges midway along th</w:t>
      </w:r>
      <w:r w:rsidR="00742BCF" w:rsidRPr="00062F7E">
        <w:rPr>
          <w:color w:val="000000" w:themeColor="text1"/>
        </w:rPr>
        <w:t>e pseudodentary attachment surface</w:t>
      </w:r>
      <w:r w:rsidR="00395018" w:rsidRPr="00062F7E">
        <w:rPr>
          <w:color w:val="000000" w:themeColor="text1"/>
        </w:rPr>
        <w:t xml:space="preserve"> of the pseudoangular</w:t>
      </w:r>
      <w:r w:rsidR="00682C4F" w:rsidRPr="00062F7E">
        <w:rPr>
          <w:color w:val="000000" w:themeColor="text1"/>
        </w:rPr>
        <w:t xml:space="preserve">, </w:t>
      </w:r>
      <w:r w:rsidR="00742BCF" w:rsidRPr="00062F7E">
        <w:rPr>
          <w:color w:val="000000" w:themeColor="text1"/>
        </w:rPr>
        <w:t xml:space="preserve">representing the medial exit of neurovasculature associated with </w:t>
      </w:r>
      <w:r w:rsidR="003B07C3">
        <w:rPr>
          <w:color w:val="000000" w:themeColor="text1"/>
        </w:rPr>
        <w:t>CN</w:t>
      </w:r>
      <w:r w:rsidR="00742BCF" w:rsidRPr="00062F7E">
        <w:rPr>
          <w:color w:val="000000" w:themeColor="text1"/>
        </w:rPr>
        <w:t xml:space="preserve"> V, </w:t>
      </w:r>
      <w:r w:rsidR="00682C4F" w:rsidRPr="00062F7E">
        <w:rPr>
          <w:color w:val="000000" w:themeColor="text1"/>
        </w:rPr>
        <w:t>confluent with a longitudinally oriented</w:t>
      </w:r>
      <w:r w:rsidR="00742BCF" w:rsidRPr="00062F7E">
        <w:rPr>
          <w:color w:val="000000" w:themeColor="text1"/>
        </w:rPr>
        <w:t xml:space="preserve"> fossa that extends through the anterior end of the element. This fossa forms a closed canal when the pseudodentary and pseudoangular are in articulation, carrying </w:t>
      </w:r>
      <w:r w:rsidR="003B07C3">
        <w:rPr>
          <w:color w:val="000000" w:themeColor="text1"/>
        </w:rPr>
        <w:t>CN</w:t>
      </w:r>
      <w:r w:rsidR="00742BCF" w:rsidRPr="00062F7E">
        <w:rPr>
          <w:color w:val="000000" w:themeColor="text1"/>
        </w:rPr>
        <w:t xml:space="preserve"> V neurovasculature anteriorly along the mandibular ramus</w:t>
      </w:r>
      <w:r w:rsidR="00395018" w:rsidRPr="00062F7E">
        <w:rPr>
          <w:color w:val="000000" w:themeColor="text1"/>
        </w:rPr>
        <w:t xml:space="preserve"> into the pseudodentary</w:t>
      </w:r>
      <w:r w:rsidR="00306AF4">
        <w:rPr>
          <w:color w:val="000000" w:themeColor="text1"/>
        </w:rPr>
        <w:t xml:space="preserve"> (Extended Data Fig. </w:t>
      </w:r>
      <w:r w:rsidR="008A5D11">
        <w:rPr>
          <w:color w:val="000000" w:themeColor="text1"/>
        </w:rPr>
        <w:t>3</w:t>
      </w:r>
      <w:r w:rsidR="00306AF4">
        <w:rPr>
          <w:color w:val="000000" w:themeColor="text1"/>
        </w:rPr>
        <w:t>)</w:t>
      </w:r>
      <w:r w:rsidR="00742BCF" w:rsidRPr="00062F7E">
        <w:rPr>
          <w:color w:val="000000" w:themeColor="text1"/>
        </w:rPr>
        <w:t>.</w:t>
      </w:r>
      <w:r w:rsidR="00682C4F" w:rsidRPr="00062F7E">
        <w:rPr>
          <w:color w:val="000000" w:themeColor="text1"/>
        </w:rPr>
        <w:t xml:space="preserve"> </w:t>
      </w:r>
      <w:r w:rsidR="00742BCF" w:rsidRPr="00062F7E">
        <w:rPr>
          <w:color w:val="000000" w:themeColor="text1"/>
        </w:rPr>
        <w:t>T</w:t>
      </w:r>
      <w:r w:rsidR="00E665CF" w:rsidRPr="00062F7E">
        <w:rPr>
          <w:color w:val="000000" w:themeColor="text1"/>
        </w:rPr>
        <w:t>he anteriorly tapering dorsal and ventral margins of the anterior third of t</w:t>
      </w:r>
      <w:r w:rsidR="00742BCF" w:rsidRPr="00062F7E">
        <w:rPr>
          <w:color w:val="000000" w:themeColor="text1"/>
        </w:rPr>
        <w:t xml:space="preserve">he pseudodentary </w:t>
      </w:r>
      <w:r w:rsidR="00D67BCB" w:rsidRPr="00062F7E">
        <w:rPr>
          <w:color w:val="000000" w:themeColor="text1"/>
        </w:rPr>
        <w:t>attachment</w:t>
      </w:r>
      <w:r w:rsidR="00742BCF" w:rsidRPr="00062F7E">
        <w:rPr>
          <w:color w:val="000000" w:themeColor="text1"/>
        </w:rPr>
        <w:t xml:space="preserve"> surface </w:t>
      </w:r>
      <w:r w:rsidR="00395018" w:rsidRPr="00062F7E">
        <w:rPr>
          <w:color w:val="000000" w:themeColor="text1"/>
        </w:rPr>
        <w:t xml:space="preserve">of the pseudoangular </w:t>
      </w:r>
      <w:r w:rsidR="00E665CF" w:rsidRPr="00062F7E">
        <w:rPr>
          <w:color w:val="000000" w:themeColor="text1"/>
        </w:rPr>
        <w:t>form</w:t>
      </w:r>
      <w:r w:rsidR="00395018" w:rsidRPr="00062F7E">
        <w:rPr>
          <w:color w:val="000000" w:themeColor="text1"/>
        </w:rPr>
        <w:t>s</w:t>
      </w:r>
      <w:r w:rsidR="00211318" w:rsidRPr="00062F7E">
        <w:rPr>
          <w:color w:val="000000" w:themeColor="text1"/>
        </w:rPr>
        <w:t xml:space="preserve"> </w:t>
      </w:r>
      <w:r w:rsidR="00E665CF" w:rsidRPr="00062F7E">
        <w:rPr>
          <w:color w:val="000000" w:themeColor="text1"/>
        </w:rPr>
        <w:t xml:space="preserve">a wedge that fits </w:t>
      </w:r>
      <w:r w:rsidR="00EB3CA9" w:rsidRPr="00062F7E">
        <w:rPr>
          <w:color w:val="000000" w:themeColor="text1"/>
        </w:rPr>
        <w:t>into the</w:t>
      </w:r>
      <w:r w:rsidR="00395018" w:rsidRPr="00062F7E">
        <w:rPr>
          <w:color w:val="000000" w:themeColor="text1"/>
        </w:rPr>
        <w:t xml:space="preserve"> matching</w:t>
      </w:r>
      <w:r w:rsidR="00EB3CA9" w:rsidRPr="00062F7E">
        <w:rPr>
          <w:color w:val="000000" w:themeColor="text1"/>
        </w:rPr>
        <w:t xml:space="preserve"> anteriorly tapering fossa on the medial surface of the pseudodentary</w:t>
      </w:r>
      <w:r w:rsidR="00306AF4">
        <w:rPr>
          <w:color w:val="000000" w:themeColor="text1"/>
        </w:rPr>
        <w:t xml:space="preserve"> (Extended Data Fig. </w:t>
      </w:r>
      <w:r w:rsidR="008A5D11">
        <w:rPr>
          <w:color w:val="000000" w:themeColor="text1"/>
        </w:rPr>
        <w:t>3</w:t>
      </w:r>
      <w:r w:rsidR="00306AF4">
        <w:rPr>
          <w:color w:val="000000" w:themeColor="text1"/>
        </w:rPr>
        <w:t>)</w:t>
      </w:r>
      <w:r w:rsidR="00EB3CA9" w:rsidRPr="00062F7E">
        <w:rPr>
          <w:color w:val="000000" w:themeColor="text1"/>
        </w:rPr>
        <w:t xml:space="preserve">. </w:t>
      </w:r>
      <w:r w:rsidRPr="00062F7E">
        <w:rPr>
          <w:color w:val="000000" w:themeColor="text1"/>
        </w:rPr>
        <w:t xml:space="preserve">The pseudoangular-pseudodentary attachment morphology of </w:t>
      </w:r>
      <w:r w:rsidR="006308AF">
        <w:rPr>
          <w:i/>
          <w:iCs/>
          <w:color w:val="000000" w:themeColor="text1"/>
        </w:rPr>
        <w:t>F. gilmorei</w:t>
      </w:r>
      <w:r w:rsidR="006308AF" w:rsidRPr="00062F7E">
        <w:rPr>
          <w:color w:val="000000" w:themeColor="text1"/>
        </w:rPr>
        <w:t xml:space="preserve"> </w:t>
      </w:r>
      <w:r w:rsidRPr="00062F7E">
        <w:rPr>
          <w:color w:val="000000" w:themeColor="text1"/>
        </w:rPr>
        <w:t>is shared with all other gymnophionomorphs, ind</w:t>
      </w:r>
      <w:r w:rsidR="00956E74" w:rsidRPr="00062F7E">
        <w:rPr>
          <w:color w:val="000000" w:themeColor="text1"/>
        </w:rPr>
        <w:t xml:space="preserve">icating this morphology was present ancestrally in </w:t>
      </w:r>
      <w:r w:rsidR="005D6724">
        <w:rPr>
          <w:color w:val="000000" w:themeColor="text1"/>
        </w:rPr>
        <w:t>G</w:t>
      </w:r>
      <w:r w:rsidR="00956E74" w:rsidRPr="00062F7E">
        <w:rPr>
          <w:color w:val="000000" w:themeColor="text1"/>
        </w:rPr>
        <w:t>ymnophionomorpha</w:t>
      </w:r>
      <w:r w:rsidR="00C91700" w:rsidRPr="00062F7E">
        <w:rPr>
          <w:color w:val="000000" w:themeColor="text1"/>
        </w:rPr>
        <w:t>.</w:t>
      </w:r>
      <w:r w:rsidRPr="00062F7E">
        <w:rPr>
          <w:color w:val="000000" w:themeColor="text1"/>
        </w:rPr>
        <w:t xml:space="preserve"> </w:t>
      </w:r>
      <w:r w:rsidR="005622F4" w:rsidRPr="00062F7E">
        <w:rPr>
          <w:color w:val="000000" w:themeColor="text1"/>
        </w:rPr>
        <w:t xml:space="preserve"> </w:t>
      </w:r>
    </w:p>
    <w:p w14:paraId="3640965A" w14:textId="0709C17C" w:rsidR="00D54CFB" w:rsidRPr="00062F7E" w:rsidRDefault="00D54CFB" w:rsidP="00662B68">
      <w:pPr>
        <w:rPr>
          <w:color w:val="000000" w:themeColor="text1"/>
        </w:rPr>
      </w:pPr>
    </w:p>
    <w:p w14:paraId="4A5BA15C" w14:textId="29AD46E3" w:rsidR="00363DA3" w:rsidRDefault="00C220A1" w:rsidP="00662B68">
      <w:pPr>
        <w:rPr>
          <w:color w:val="000000" w:themeColor="text1"/>
        </w:rPr>
      </w:pPr>
      <w:bookmarkStart w:id="8" w:name="_Hlk83550843"/>
      <w:r w:rsidRPr="00662B68">
        <w:rPr>
          <w:b/>
          <w:bCs/>
          <w:color w:val="000000" w:themeColor="text1"/>
        </w:rPr>
        <w:t>Pedicellate d</w:t>
      </w:r>
      <w:r w:rsidR="00331FC1" w:rsidRPr="00662B68">
        <w:rPr>
          <w:b/>
          <w:bCs/>
          <w:color w:val="000000" w:themeColor="text1"/>
        </w:rPr>
        <w:t>entition.</w:t>
      </w:r>
      <w:r w:rsidR="00D714DC" w:rsidRPr="00062F7E">
        <w:rPr>
          <w:color w:val="000000" w:themeColor="text1"/>
        </w:rPr>
        <w:t xml:space="preserve"> The maxillopalatine and pseudodentary are the only </w:t>
      </w:r>
      <w:r w:rsidR="00BF7DCF" w:rsidRPr="00062F7E">
        <w:rPr>
          <w:color w:val="000000" w:themeColor="text1"/>
        </w:rPr>
        <w:t>dentigerous</w:t>
      </w:r>
      <w:r w:rsidR="00D714DC" w:rsidRPr="00062F7E">
        <w:rPr>
          <w:color w:val="000000" w:themeColor="text1"/>
        </w:rPr>
        <w:t xml:space="preserve"> elements known from </w:t>
      </w:r>
      <w:r w:rsidR="00D714DC" w:rsidRPr="00062F7E">
        <w:rPr>
          <w:i/>
          <w:iCs/>
          <w:color w:val="000000" w:themeColor="text1"/>
        </w:rPr>
        <w:t>Funcusvermis</w:t>
      </w:r>
      <w:r w:rsidR="006308AF">
        <w:rPr>
          <w:i/>
          <w:iCs/>
          <w:color w:val="000000" w:themeColor="text1"/>
        </w:rPr>
        <w:t xml:space="preserve"> gilmorei</w:t>
      </w:r>
      <w:r w:rsidR="008E650B">
        <w:rPr>
          <w:color w:val="000000" w:themeColor="text1"/>
        </w:rPr>
        <w:t xml:space="preserve"> (Fig. 1, Extended Data Figs 3</w:t>
      </w:r>
      <w:r w:rsidR="008E650B" w:rsidRPr="004A0AFE">
        <w:rPr>
          <w:rFonts w:hint="eastAsia"/>
          <w:color w:val="222222"/>
        </w:rPr>
        <w:t>–</w:t>
      </w:r>
      <w:r w:rsidR="008E650B">
        <w:rPr>
          <w:color w:val="000000" w:themeColor="text1"/>
        </w:rPr>
        <w:t>4)</w:t>
      </w:r>
      <w:r w:rsidR="001007A2" w:rsidRPr="00062F7E">
        <w:rPr>
          <w:color w:val="000000" w:themeColor="text1"/>
        </w:rPr>
        <w:t>. The</w:t>
      </w:r>
      <w:r w:rsidR="00A81058">
        <w:rPr>
          <w:color w:val="000000" w:themeColor="text1"/>
        </w:rPr>
        <w:t xml:space="preserve"> basal</w:t>
      </w:r>
      <w:r w:rsidR="001007A2" w:rsidRPr="00062F7E">
        <w:rPr>
          <w:color w:val="000000" w:themeColor="text1"/>
        </w:rPr>
        <w:t xml:space="preserve"> tooth structure is consistent with the pedicellate </w:t>
      </w:r>
      <w:r w:rsidR="00975FAB" w:rsidRPr="00062F7E">
        <w:rPr>
          <w:color w:val="000000" w:themeColor="text1"/>
        </w:rPr>
        <w:t xml:space="preserve">dentition </w:t>
      </w:r>
      <w:r w:rsidR="001007A2" w:rsidRPr="00062F7E">
        <w:rPr>
          <w:color w:val="000000" w:themeColor="text1"/>
        </w:rPr>
        <w:t xml:space="preserve">seen in other gymnophionomorphs and </w:t>
      </w:r>
      <w:r w:rsidR="00975FAB" w:rsidRPr="00062F7E">
        <w:rPr>
          <w:color w:val="000000" w:themeColor="text1"/>
        </w:rPr>
        <w:t xml:space="preserve">many </w:t>
      </w:r>
      <w:r w:rsidR="001007A2" w:rsidRPr="00062F7E">
        <w:rPr>
          <w:color w:val="000000" w:themeColor="text1"/>
        </w:rPr>
        <w:t>lissamphibians, where each tooth is bipartite</w:t>
      </w:r>
      <w:r w:rsidR="004B7D28" w:rsidRPr="00062F7E">
        <w:rPr>
          <w:color w:val="000000" w:themeColor="text1"/>
        </w:rPr>
        <w:t xml:space="preserve"> and consists </w:t>
      </w:r>
      <w:r w:rsidR="001007A2" w:rsidRPr="00062F7E">
        <w:rPr>
          <w:color w:val="000000" w:themeColor="text1"/>
        </w:rPr>
        <w:t>of a basal dentine cylinder</w:t>
      </w:r>
      <w:r w:rsidR="00062F7E">
        <w:rPr>
          <w:color w:val="000000" w:themeColor="text1"/>
        </w:rPr>
        <w:t xml:space="preserve"> </w:t>
      </w:r>
      <w:r w:rsidR="001007A2" w:rsidRPr="00062F7E">
        <w:rPr>
          <w:color w:val="000000" w:themeColor="text1"/>
        </w:rPr>
        <w:t>and apical crown separated by an unmineralized dividing zone of fibrous tissue</w:t>
      </w:r>
      <w:r w:rsidR="00E51A3B">
        <w:rPr>
          <w:color w:val="000000" w:themeColor="text1"/>
        </w:rPr>
        <w:t xml:space="preserve"> (</w:t>
      </w:r>
      <w:r w:rsidR="0050171B">
        <w:rPr>
          <w:color w:val="000000" w:themeColor="text1"/>
        </w:rPr>
        <w:t xml:space="preserve">Parker &amp; Dunn, 1956; Parsons and Williams, </w:t>
      </w:r>
      <w:r w:rsidR="00C73AF8">
        <w:rPr>
          <w:color w:val="000000" w:themeColor="text1"/>
        </w:rPr>
        <w:t xml:space="preserve">1962, </w:t>
      </w:r>
      <w:r w:rsidR="0050171B">
        <w:rPr>
          <w:color w:val="000000" w:themeColor="text1"/>
        </w:rPr>
        <w:t>1963; Lawson, 1965</w:t>
      </w:r>
      <w:r w:rsidR="00A13FB1">
        <w:rPr>
          <w:color w:val="000000" w:themeColor="text1"/>
        </w:rPr>
        <w:t>a,b</w:t>
      </w:r>
      <w:r w:rsidR="0050171B">
        <w:rPr>
          <w:color w:val="000000" w:themeColor="text1"/>
        </w:rPr>
        <w:t xml:space="preserve">; </w:t>
      </w:r>
      <w:r w:rsidR="00E51A3B" w:rsidRPr="00E51A3B">
        <w:rPr>
          <w:color w:val="000000" w:themeColor="text1"/>
        </w:rPr>
        <w:t>Davit‐</w:t>
      </w:r>
      <w:proofErr w:type="spellStart"/>
      <w:r w:rsidR="00E51A3B" w:rsidRPr="00E51A3B">
        <w:rPr>
          <w:color w:val="000000" w:themeColor="text1"/>
        </w:rPr>
        <w:t>Béal</w:t>
      </w:r>
      <w:proofErr w:type="spellEnd"/>
      <w:r w:rsidR="00E51A3B">
        <w:rPr>
          <w:color w:val="000000" w:themeColor="text1"/>
        </w:rPr>
        <w:t xml:space="preserve"> et al., 2007</w:t>
      </w:r>
      <w:r w:rsidR="00C73AF8">
        <w:rPr>
          <w:color w:val="000000" w:themeColor="text1"/>
        </w:rPr>
        <w:t xml:space="preserve">; </w:t>
      </w:r>
      <w:proofErr w:type="spellStart"/>
      <w:r w:rsidR="00C73AF8">
        <w:rPr>
          <w:color w:val="000000" w:themeColor="text1"/>
        </w:rPr>
        <w:t>Chuliver</w:t>
      </w:r>
      <w:proofErr w:type="spellEnd"/>
      <w:r w:rsidR="00C73AF8">
        <w:rPr>
          <w:color w:val="000000" w:themeColor="text1"/>
        </w:rPr>
        <w:t xml:space="preserve"> &amp; </w:t>
      </w:r>
      <w:proofErr w:type="spellStart"/>
      <w:r w:rsidR="00C73AF8">
        <w:rPr>
          <w:color w:val="000000" w:themeColor="text1"/>
        </w:rPr>
        <w:t>Scanferla</w:t>
      </w:r>
      <w:proofErr w:type="spellEnd"/>
      <w:r w:rsidR="00C73AF8">
        <w:rPr>
          <w:color w:val="000000" w:themeColor="text1"/>
        </w:rPr>
        <w:t>, 2019</w:t>
      </w:r>
      <w:r w:rsidR="00E51A3B">
        <w:rPr>
          <w:color w:val="000000" w:themeColor="text1"/>
        </w:rPr>
        <w:t>)</w:t>
      </w:r>
      <w:r w:rsidR="001007A2" w:rsidRPr="00062F7E">
        <w:rPr>
          <w:color w:val="000000" w:themeColor="text1"/>
        </w:rPr>
        <w:t xml:space="preserve">. The absence of tooth crowns in </w:t>
      </w:r>
      <w:r w:rsidR="006308AF">
        <w:rPr>
          <w:i/>
          <w:iCs/>
          <w:color w:val="000000" w:themeColor="text1"/>
        </w:rPr>
        <w:t>F. gilmorei</w:t>
      </w:r>
      <w:r w:rsidR="006308AF" w:rsidRPr="00062F7E">
        <w:rPr>
          <w:color w:val="000000" w:themeColor="text1"/>
        </w:rPr>
        <w:t xml:space="preserve"> </w:t>
      </w:r>
      <w:r w:rsidR="001007A2" w:rsidRPr="00062F7E">
        <w:rPr>
          <w:color w:val="000000" w:themeColor="text1"/>
        </w:rPr>
        <w:t>is due to separation of the crown from the pedicel along the weak un</w:t>
      </w:r>
      <w:r w:rsidR="00502705" w:rsidRPr="00062F7E">
        <w:rPr>
          <w:color w:val="000000" w:themeColor="text1"/>
        </w:rPr>
        <w:t>mineralized</w:t>
      </w:r>
      <w:r w:rsidR="001007A2" w:rsidRPr="00062F7E">
        <w:rPr>
          <w:color w:val="000000" w:themeColor="text1"/>
        </w:rPr>
        <w:t xml:space="preserve"> dividing zone prior to fossilization</w:t>
      </w:r>
      <w:r w:rsidR="00502705" w:rsidRPr="00062F7E">
        <w:rPr>
          <w:color w:val="000000" w:themeColor="text1"/>
        </w:rPr>
        <w:t xml:space="preserve">, and the uniformity of </w:t>
      </w:r>
      <w:r w:rsidR="00975FAB" w:rsidRPr="00062F7E">
        <w:rPr>
          <w:color w:val="000000" w:themeColor="text1"/>
        </w:rPr>
        <w:t xml:space="preserve">the dividing zone in each </w:t>
      </w:r>
      <w:r w:rsidR="00502705" w:rsidRPr="00062F7E">
        <w:rPr>
          <w:color w:val="000000" w:themeColor="text1"/>
        </w:rPr>
        <w:t>pedicel ap</w:t>
      </w:r>
      <w:r w:rsidR="00975FAB" w:rsidRPr="00062F7E">
        <w:rPr>
          <w:color w:val="000000" w:themeColor="text1"/>
        </w:rPr>
        <w:t xml:space="preserve">ex </w:t>
      </w:r>
      <w:r w:rsidR="00502705" w:rsidRPr="00062F7E">
        <w:rPr>
          <w:color w:val="000000" w:themeColor="text1"/>
        </w:rPr>
        <w:t>suggests this dividing zone was well</w:t>
      </w:r>
      <w:r w:rsidR="00363DA3">
        <w:rPr>
          <w:color w:val="000000" w:themeColor="text1"/>
        </w:rPr>
        <w:t>-</w:t>
      </w:r>
      <w:r w:rsidR="00502705" w:rsidRPr="00062F7E">
        <w:rPr>
          <w:color w:val="000000" w:themeColor="text1"/>
        </w:rPr>
        <w:t xml:space="preserve">developed in </w:t>
      </w:r>
      <w:r w:rsidR="006308AF">
        <w:rPr>
          <w:i/>
          <w:iCs/>
          <w:color w:val="000000" w:themeColor="text1"/>
        </w:rPr>
        <w:t>F. gilmorei</w:t>
      </w:r>
      <w:r w:rsidR="00D018D1">
        <w:rPr>
          <w:i/>
          <w:iCs/>
          <w:color w:val="000000" w:themeColor="text1"/>
        </w:rPr>
        <w:t xml:space="preserve"> </w:t>
      </w:r>
      <w:r w:rsidR="00D018D1">
        <w:rPr>
          <w:color w:val="000000" w:themeColor="text1"/>
        </w:rPr>
        <w:t xml:space="preserve">(e.g., </w:t>
      </w:r>
      <w:r w:rsidR="00C73AF8">
        <w:rPr>
          <w:color w:val="000000" w:themeColor="text1"/>
        </w:rPr>
        <w:t xml:space="preserve">Parsons and Williams, 1962; </w:t>
      </w:r>
      <w:r w:rsidR="00D018D1">
        <w:rPr>
          <w:color w:val="000000" w:themeColor="text1"/>
        </w:rPr>
        <w:t xml:space="preserve">Lawson, 1965; </w:t>
      </w:r>
      <w:r w:rsidR="00D018D1" w:rsidRPr="00E51A3B">
        <w:rPr>
          <w:color w:val="000000" w:themeColor="text1"/>
        </w:rPr>
        <w:t>Davit‐</w:t>
      </w:r>
      <w:proofErr w:type="spellStart"/>
      <w:r w:rsidR="00D018D1" w:rsidRPr="00E51A3B">
        <w:rPr>
          <w:color w:val="000000" w:themeColor="text1"/>
        </w:rPr>
        <w:t>Béal</w:t>
      </w:r>
      <w:proofErr w:type="spellEnd"/>
      <w:r w:rsidR="00D018D1">
        <w:rPr>
          <w:color w:val="000000" w:themeColor="text1"/>
        </w:rPr>
        <w:t xml:space="preserve"> et al., 2007</w:t>
      </w:r>
      <w:r w:rsidR="00C73AF8">
        <w:rPr>
          <w:color w:val="000000" w:themeColor="text1"/>
        </w:rPr>
        <w:t xml:space="preserve">; </w:t>
      </w:r>
      <w:proofErr w:type="spellStart"/>
      <w:r w:rsidR="00C73AF8">
        <w:rPr>
          <w:color w:val="000000" w:themeColor="text1"/>
        </w:rPr>
        <w:t>Chuliver</w:t>
      </w:r>
      <w:proofErr w:type="spellEnd"/>
      <w:r w:rsidR="00C73AF8">
        <w:rPr>
          <w:color w:val="000000" w:themeColor="text1"/>
        </w:rPr>
        <w:t xml:space="preserve"> &amp; </w:t>
      </w:r>
      <w:proofErr w:type="spellStart"/>
      <w:r w:rsidR="00C73AF8">
        <w:rPr>
          <w:color w:val="000000" w:themeColor="text1"/>
        </w:rPr>
        <w:t>Scanferla</w:t>
      </w:r>
      <w:proofErr w:type="spellEnd"/>
      <w:r w:rsidR="00C73AF8">
        <w:rPr>
          <w:color w:val="000000" w:themeColor="text1"/>
        </w:rPr>
        <w:t>, 2019</w:t>
      </w:r>
      <w:r w:rsidR="00D018D1">
        <w:rPr>
          <w:color w:val="000000" w:themeColor="text1"/>
        </w:rPr>
        <w:t>)</w:t>
      </w:r>
      <w:r w:rsidR="001007A2" w:rsidRPr="00062F7E">
        <w:rPr>
          <w:color w:val="000000" w:themeColor="text1"/>
        </w:rPr>
        <w:t>.</w:t>
      </w:r>
      <w:r w:rsidR="00BC1373" w:rsidRPr="00062F7E">
        <w:rPr>
          <w:color w:val="000000" w:themeColor="text1"/>
        </w:rPr>
        <w:t xml:space="preserve"> </w:t>
      </w:r>
      <w:r w:rsidR="00A81058">
        <w:rPr>
          <w:color w:val="000000" w:themeColor="text1"/>
        </w:rPr>
        <w:t xml:space="preserve">Isolated tooth crowns consistent in morphology to </w:t>
      </w:r>
      <w:r w:rsidR="00A81058" w:rsidRPr="00962EB4">
        <w:rPr>
          <w:i/>
          <w:iCs/>
          <w:color w:val="000000" w:themeColor="text1"/>
        </w:rPr>
        <w:t>Eocaecilia m</w:t>
      </w:r>
      <w:r w:rsidR="00D1581A">
        <w:rPr>
          <w:i/>
          <w:iCs/>
          <w:color w:val="000000" w:themeColor="text1"/>
        </w:rPr>
        <w:t>i</w:t>
      </w:r>
      <w:r w:rsidR="00A81058" w:rsidRPr="00962EB4">
        <w:rPr>
          <w:i/>
          <w:iCs/>
          <w:color w:val="000000" w:themeColor="text1"/>
        </w:rPr>
        <w:t>cropod</w:t>
      </w:r>
      <w:r w:rsidR="00D1581A">
        <w:rPr>
          <w:i/>
          <w:iCs/>
          <w:color w:val="000000" w:themeColor="text1"/>
        </w:rPr>
        <w:t>i</w:t>
      </w:r>
      <w:r w:rsidR="00A81058" w:rsidRPr="00962EB4">
        <w:rPr>
          <w:i/>
          <w:iCs/>
          <w:color w:val="000000" w:themeColor="text1"/>
        </w:rPr>
        <w:t>a</w:t>
      </w:r>
      <w:r w:rsidR="00A81058">
        <w:rPr>
          <w:color w:val="000000" w:themeColor="text1"/>
        </w:rPr>
        <w:t xml:space="preserve"> have not been found from several hundred kilograms of even the finest fractions of washed</w:t>
      </w:r>
      <w:r w:rsidR="000B2402">
        <w:rPr>
          <w:color w:val="000000" w:themeColor="text1"/>
        </w:rPr>
        <w:t xml:space="preserve"> and picked</w:t>
      </w:r>
      <w:r w:rsidR="00A81058">
        <w:rPr>
          <w:color w:val="000000" w:themeColor="text1"/>
        </w:rPr>
        <w:t xml:space="preserve"> </w:t>
      </w:r>
      <w:r w:rsidR="000B2402">
        <w:rPr>
          <w:color w:val="000000" w:themeColor="text1"/>
        </w:rPr>
        <w:t>concentrate from PFV 456</w:t>
      </w:r>
      <w:r w:rsidR="00A81058">
        <w:rPr>
          <w:color w:val="000000" w:themeColor="text1"/>
        </w:rPr>
        <w:t xml:space="preserve">. </w:t>
      </w:r>
    </w:p>
    <w:p w14:paraId="69BD512C" w14:textId="62E9AAB8" w:rsidR="00975FAB" w:rsidRPr="00062F7E" w:rsidRDefault="00CF1F30" w:rsidP="00363DA3">
      <w:pPr>
        <w:ind w:firstLine="720"/>
        <w:rPr>
          <w:color w:val="000000" w:themeColor="text1"/>
        </w:rPr>
      </w:pPr>
      <w:r w:rsidRPr="00062F7E">
        <w:rPr>
          <w:color w:val="000000" w:themeColor="text1"/>
        </w:rPr>
        <w:t xml:space="preserve">Each pedicel </w:t>
      </w:r>
      <w:r w:rsidR="00690779">
        <w:rPr>
          <w:color w:val="000000" w:themeColor="text1"/>
        </w:rPr>
        <w:t xml:space="preserve">of </w:t>
      </w:r>
      <w:r w:rsidR="00690779" w:rsidRPr="00062F7E">
        <w:rPr>
          <w:i/>
          <w:iCs/>
          <w:color w:val="000000" w:themeColor="text1"/>
        </w:rPr>
        <w:t>Funcusvermis</w:t>
      </w:r>
      <w:r w:rsidR="00690779">
        <w:rPr>
          <w:i/>
          <w:iCs/>
          <w:color w:val="000000" w:themeColor="text1"/>
        </w:rPr>
        <w:t xml:space="preserve"> gilmorei</w:t>
      </w:r>
      <w:r w:rsidR="00690779" w:rsidRPr="00062F7E">
        <w:rPr>
          <w:color w:val="000000" w:themeColor="text1"/>
        </w:rPr>
        <w:t xml:space="preserve"> </w:t>
      </w:r>
      <w:r w:rsidRPr="00062F7E">
        <w:rPr>
          <w:color w:val="000000" w:themeColor="text1"/>
        </w:rPr>
        <w:t>forms a hollow cylinder attached to tissue of the dentary on its labial side, and free on its lingual side</w:t>
      </w:r>
      <w:r w:rsidR="008E650B">
        <w:rPr>
          <w:color w:val="000000" w:themeColor="text1"/>
        </w:rPr>
        <w:t xml:space="preserve"> (Fig. 1, Extended Data Fig. 4)</w:t>
      </w:r>
      <w:r w:rsidRPr="00062F7E">
        <w:rPr>
          <w:color w:val="000000" w:themeColor="text1"/>
        </w:rPr>
        <w:t xml:space="preserve">. </w:t>
      </w:r>
      <w:r w:rsidR="0082143F" w:rsidRPr="00062F7E">
        <w:rPr>
          <w:color w:val="000000" w:themeColor="text1"/>
        </w:rPr>
        <w:t>M</w:t>
      </w:r>
      <w:r w:rsidR="008E650B">
        <w:rPr>
          <w:color w:val="000000" w:themeColor="text1"/>
        </w:rPr>
        <w:t>any</w:t>
      </w:r>
      <w:r w:rsidRPr="00062F7E">
        <w:rPr>
          <w:color w:val="000000" w:themeColor="text1"/>
        </w:rPr>
        <w:t xml:space="preserve"> pedicel</w:t>
      </w:r>
      <w:r w:rsidR="0082143F" w:rsidRPr="00062F7E">
        <w:rPr>
          <w:color w:val="000000" w:themeColor="text1"/>
        </w:rPr>
        <w:t>s</w:t>
      </w:r>
      <w:r w:rsidRPr="00062F7E">
        <w:rPr>
          <w:color w:val="000000" w:themeColor="text1"/>
        </w:rPr>
        <w:t xml:space="preserve"> </w:t>
      </w:r>
      <w:r w:rsidR="0082143F" w:rsidRPr="00062F7E">
        <w:rPr>
          <w:color w:val="000000" w:themeColor="text1"/>
        </w:rPr>
        <w:t>are</w:t>
      </w:r>
      <w:r w:rsidRPr="00062F7E">
        <w:rPr>
          <w:color w:val="000000" w:themeColor="text1"/>
        </w:rPr>
        <w:t xml:space="preserve"> open lingually at </w:t>
      </w:r>
      <w:r w:rsidR="0082143F" w:rsidRPr="00062F7E">
        <w:rPr>
          <w:color w:val="000000" w:themeColor="text1"/>
        </w:rPr>
        <w:t>their</w:t>
      </w:r>
      <w:r w:rsidRPr="00062F7E">
        <w:rPr>
          <w:color w:val="000000" w:themeColor="text1"/>
        </w:rPr>
        <w:t xml:space="preserve"> base</w:t>
      </w:r>
      <w:r w:rsidR="0082143F" w:rsidRPr="00062F7E">
        <w:rPr>
          <w:color w:val="000000" w:themeColor="text1"/>
        </w:rPr>
        <w:t>s</w:t>
      </w:r>
      <w:r w:rsidRPr="00062F7E">
        <w:rPr>
          <w:color w:val="000000" w:themeColor="text1"/>
        </w:rPr>
        <w:t xml:space="preserve">, serving as an opening for neurovasculature to innervate </w:t>
      </w:r>
      <w:r w:rsidRPr="00062F7E">
        <w:rPr>
          <w:color w:val="000000" w:themeColor="text1"/>
        </w:rPr>
        <w:lastRenderedPageBreak/>
        <w:t>the pulp cavit</w:t>
      </w:r>
      <w:r w:rsidR="00062F7E">
        <w:rPr>
          <w:color w:val="000000" w:themeColor="text1"/>
        </w:rPr>
        <w:t>y</w:t>
      </w:r>
      <w:r w:rsidR="00A13FB1">
        <w:rPr>
          <w:color w:val="000000" w:themeColor="text1"/>
        </w:rPr>
        <w:t xml:space="preserve"> (Casey &amp; Lawson, 1981)</w:t>
      </w:r>
      <w:r w:rsidRPr="00062F7E">
        <w:rPr>
          <w:color w:val="000000" w:themeColor="text1"/>
        </w:rPr>
        <w:t xml:space="preserve">. Struts of attachment tissue frame the basal </w:t>
      </w:r>
      <w:r w:rsidR="007941F5" w:rsidRPr="00062F7E">
        <w:rPr>
          <w:color w:val="000000" w:themeColor="text1"/>
        </w:rPr>
        <w:t>pore and</w:t>
      </w:r>
      <w:r w:rsidRPr="00062F7E">
        <w:rPr>
          <w:color w:val="000000" w:themeColor="text1"/>
        </w:rPr>
        <w:t xml:space="preserve"> </w:t>
      </w:r>
      <w:r w:rsidR="009E00A0" w:rsidRPr="00062F7E">
        <w:rPr>
          <w:color w:val="000000" w:themeColor="text1"/>
        </w:rPr>
        <w:t>attach the bases of the mesial and distal pedicel walls to the underlying dentary bone</w:t>
      </w:r>
      <w:r w:rsidR="0050171B">
        <w:rPr>
          <w:color w:val="000000" w:themeColor="text1"/>
        </w:rPr>
        <w:t xml:space="preserve"> (Lawson, 1954</w:t>
      </w:r>
      <w:r w:rsidR="00C73AF8">
        <w:rPr>
          <w:color w:val="000000" w:themeColor="text1"/>
        </w:rPr>
        <w:t>a, b</w:t>
      </w:r>
      <w:r w:rsidR="0050171B">
        <w:rPr>
          <w:color w:val="000000" w:themeColor="text1"/>
        </w:rPr>
        <w:t>; Casey &amp; Lawson, 1981</w:t>
      </w:r>
      <w:r w:rsidR="00C73AF8">
        <w:rPr>
          <w:color w:val="000000" w:themeColor="text1"/>
        </w:rPr>
        <w:t xml:space="preserve">; </w:t>
      </w:r>
      <w:proofErr w:type="spellStart"/>
      <w:r w:rsidR="00C73AF8">
        <w:rPr>
          <w:color w:val="000000" w:themeColor="text1"/>
        </w:rPr>
        <w:t>Chuliver</w:t>
      </w:r>
      <w:proofErr w:type="spellEnd"/>
      <w:r w:rsidR="00C73AF8">
        <w:rPr>
          <w:color w:val="000000" w:themeColor="text1"/>
        </w:rPr>
        <w:t xml:space="preserve"> &amp; </w:t>
      </w:r>
      <w:proofErr w:type="spellStart"/>
      <w:r w:rsidR="00C73AF8">
        <w:rPr>
          <w:color w:val="000000" w:themeColor="text1"/>
        </w:rPr>
        <w:t>Scanferla</w:t>
      </w:r>
      <w:proofErr w:type="spellEnd"/>
      <w:r w:rsidR="00C73AF8">
        <w:rPr>
          <w:color w:val="000000" w:themeColor="text1"/>
        </w:rPr>
        <w:t>, 2019</w:t>
      </w:r>
      <w:r w:rsidR="0050171B">
        <w:rPr>
          <w:color w:val="000000" w:themeColor="text1"/>
        </w:rPr>
        <w:t>)</w:t>
      </w:r>
      <w:r w:rsidR="009E00A0" w:rsidRPr="00062F7E">
        <w:rPr>
          <w:color w:val="000000" w:themeColor="text1"/>
        </w:rPr>
        <w:t>.</w:t>
      </w:r>
      <w:r w:rsidRPr="00062F7E">
        <w:rPr>
          <w:color w:val="000000" w:themeColor="text1"/>
        </w:rPr>
        <w:t xml:space="preserve"> The basal pore varies in size, suggesting sta</w:t>
      </w:r>
      <w:r w:rsidR="009E00A0" w:rsidRPr="00062F7E">
        <w:rPr>
          <w:color w:val="000000" w:themeColor="text1"/>
        </w:rPr>
        <w:t>ges</w:t>
      </w:r>
      <w:r w:rsidRPr="00062F7E">
        <w:rPr>
          <w:color w:val="000000" w:themeColor="text1"/>
        </w:rPr>
        <w:t xml:space="preserve"> </w:t>
      </w:r>
      <w:r w:rsidR="009E00A0" w:rsidRPr="00062F7E">
        <w:rPr>
          <w:color w:val="000000" w:themeColor="text1"/>
        </w:rPr>
        <w:t>in the process of</w:t>
      </w:r>
      <w:r w:rsidRPr="00062F7E">
        <w:rPr>
          <w:color w:val="000000" w:themeColor="text1"/>
        </w:rPr>
        <w:t xml:space="preserve"> pedicel resorption</w:t>
      </w:r>
      <w:r w:rsidR="009E00A0" w:rsidRPr="00062F7E">
        <w:rPr>
          <w:color w:val="000000" w:themeColor="text1"/>
        </w:rPr>
        <w:t xml:space="preserve"> as the basal pore expands, eventually resorbing the entire lingual wall and leaving only the labial wall intact (</w:t>
      </w:r>
      <w:r w:rsidR="00A13FB1">
        <w:rPr>
          <w:color w:val="000000" w:themeColor="text1"/>
        </w:rPr>
        <w:t xml:space="preserve">Lawson, 1965b; </w:t>
      </w:r>
      <w:r w:rsidR="009E00A0" w:rsidRPr="00062F7E">
        <w:rPr>
          <w:color w:val="000000" w:themeColor="text1"/>
        </w:rPr>
        <w:t xml:space="preserve">Casey </w:t>
      </w:r>
      <w:r w:rsidR="00805256">
        <w:rPr>
          <w:color w:val="000000" w:themeColor="text1"/>
        </w:rPr>
        <w:t>&amp;</w:t>
      </w:r>
      <w:r w:rsidR="009E00A0" w:rsidRPr="00062F7E">
        <w:rPr>
          <w:color w:val="000000" w:themeColor="text1"/>
        </w:rPr>
        <w:t xml:space="preserve"> Lawson, 1981). Resorbed tooth loci </w:t>
      </w:r>
      <w:r w:rsidR="00D96F0A">
        <w:rPr>
          <w:color w:val="000000" w:themeColor="text1"/>
        </w:rPr>
        <w:t>that</w:t>
      </w:r>
      <w:r w:rsidR="00D96F0A" w:rsidRPr="00062F7E">
        <w:rPr>
          <w:color w:val="000000" w:themeColor="text1"/>
        </w:rPr>
        <w:t xml:space="preserve"> </w:t>
      </w:r>
      <w:r w:rsidR="009E00A0" w:rsidRPr="00062F7E">
        <w:rPr>
          <w:color w:val="000000" w:themeColor="text1"/>
        </w:rPr>
        <w:t>retai</w:t>
      </w:r>
      <w:r w:rsidR="00975FAB" w:rsidRPr="00062F7E">
        <w:rPr>
          <w:color w:val="000000" w:themeColor="text1"/>
        </w:rPr>
        <w:t>n</w:t>
      </w:r>
      <w:r w:rsidR="009E00A0" w:rsidRPr="00062F7E">
        <w:rPr>
          <w:color w:val="000000" w:themeColor="text1"/>
        </w:rPr>
        <w:t xml:space="preserve"> only the crescent-shaped lingual pedicel wall can be observed in most </w:t>
      </w:r>
      <w:proofErr w:type="spellStart"/>
      <w:r w:rsidR="009E00A0" w:rsidRPr="00062F7E">
        <w:rPr>
          <w:color w:val="000000" w:themeColor="text1"/>
        </w:rPr>
        <w:t>pseudodentaries</w:t>
      </w:r>
      <w:proofErr w:type="spellEnd"/>
      <w:r w:rsidR="004B7D28" w:rsidRPr="00062F7E">
        <w:rPr>
          <w:color w:val="000000" w:themeColor="text1"/>
        </w:rPr>
        <w:t xml:space="preserve"> of </w:t>
      </w:r>
      <w:proofErr w:type="spellStart"/>
      <w:r w:rsidR="004B7D28" w:rsidRPr="00062F7E">
        <w:rPr>
          <w:i/>
          <w:iCs/>
          <w:color w:val="000000" w:themeColor="text1"/>
        </w:rPr>
        <w:t>Funcusvermis</w:t>
      </w:r>
      <w:proofErr w:type="spellEnd"/>
      <w:r w:rsidR="006308AF">
        <w:rPr>
          <w:i/>
          <w:iCs/>
          <w:color w:val="000000" w:themeColor="text1"/>
        </w:rPr>
        <w:t xml:space="preserve"> </w:t>
      </w:r>
      <w:proofErr w:type="spellStart"/>
      <w:r w:rsidR="006308AF">
        <w:rPr>
          <w:i/>
          <w:iCs/>
          <w:color w:val="000000" w:themeColor="text1"/>
        </w:rPr>
        <w:t>gilmorei</w:t>
      </w:r>
      <w:proofErr w:type="spellEnd"/>
      <w:r w:rsidR="008E650B">
        <w:rPr>
          <w:i/>
          <w:iCs/>
          <w:color w:val="000000" w:themeColor="text1"/>
        </w:rPr>
        <w:t xml:space="preserve"> </w:t>
      </w:r>
      <w:r w:rsidR="008E650B">
        <w:rPr>
          <w:color w:val="000000" w:themeColor="text1"/>
        </w:rPr>
        <w:t>(Fig. 1)</w:t>
      </w:r>
      <w:r w:rsidR="009E00A0" w:rsidRPr="00062F7E">
        <w:rPr>
          <w:color w:val="000000" w:themeColor="text1"/>
        </w:rPr>
        <w:t>.</w:t>
      </w:r>
      <w:r w:rsidR="00975FAB" w:rsidRPr="00062F7E">
        <w:rPr>
          <w:color w:val="000000" w:themeColor="text1"/>
        </w:rPr>
        <w:t xml:space="preserve"> </w:t>
      </w:r>
      <w:r w:rsidR="009E00A0" w:rsidRPr="00062F7E">
        <w:rPr>
          <w:color w:val="000000" w:themeColor="text1"/>
        </w:rPr>
        <w:t xml:space="preserve">Tooth pedicels are of approximately uniform diameter </w:t>
      </w:r>
      <w:r w:rsidR="00D1003C" w:rsidRPr="00062F7E">
        <w:rPr>
          <w:color w:val="000000" w:themeColor="text1"/>
        </w:rPr>
        <w:t xml:space="preserve">in both labial and lingual tooth rows of each pseudodentary. </w:t>
      </w:r>
      <w:r w:rsidR="00690779">
        <w:rPr>
          <w:color w:val="000000" w:themeColor="text1"/>
        </w:rPr>
        <w:t>Pedicles among</w:t>
      </w:r>
      <w:r w:rsidR="00690779" w:rsidRPr="00062F7E">
        <w:rPr>
          <w:color w:val="000000" w:themeColor="text1"/>
        </w:rPr>
        <w:t xml:space="preserve"> </w:t>
      </w:r>
      <w:r w:rsidR="0034493E" w:rsidRPr="00062F7E">
        <w:rPr>
          <w:color w:val="000000" w:themeColor="text1"/>
        </w:rPr>
        <w:t>pseudodentary specimens</w:t>
      </w:r>
      <w:r w:rsidR="00D1003C" w:rsidRPr="00062F7E">
        <w:rPr>
          <w:color w:val="000000" w:themeColor="text1"/>
        </w:rPr>
        <w:t xml:space="preserve"> range in </w:t>
      </w:r>
      <w:r w:rsidR="00FA5A80" w:rsidRPr="00062F7E">
        <w:rPr>
          <w:color w:val="000000" w:themeColor="text1"/>
        </w:rPr>
        <w:t xml:space="preserve">labiolingual </w:t>
      </w:r>
      <w:r w:rsidR="00D1003C" w:rsidRPr="00062F7E">
        <w:rPr>
          <w:color w:val="000000" w:themeColor="text1"/>
        </w:rPr>
        <w:t>diameter</w:t>
      </w:r>
      <w:r w:rsidR="0034493E" w:rsidRPr="00062F7E">
        <w:rPr>
          <w:color w:val="000000" w:themeColor="text1"/>
        </w:rPr>
        <w:t xml:space="preserve"> at the pedicel apex</w:t>
      </w:r>
      <w:r w:rsidR="00D1003C" w:rsidRPr="00062F7E">
        <w:rPr>
          <w:color w:val="000000" w:themeColor="text1"/>
        </w:rPr>
        <w:t xml:space="preserve"> from a minimum of </w:t>
      </w:r>
      <w:r w:rsidR="00187E8A">
        <w:rPr>
          <w:color w:val="000000" w:themeColor="text1"/>
        </w:rPr>
        <w:t>0</w:t>
      </w:r>
      <w:r w:rsidR="00D1003C" w:rsidRPr="00062F7E">
        <w:rPr>
          <w:color w:val="000000" w:themeColor="text1"/>
        </w:rPr>
        <w:t xml:space="preserve">.07 mm (PEFO 47859) to a maximum of </w:t>
      </w:r>
      <w:r w:rsidR="00187E8A">
        <w:rPr>
          <w:color w:val="000000" w:themeColor="text1"/>
        </w:rPr>
        <w:t>0</w:t>
      </w:r>
      <w:r w:rsidR="00D1003C" w:rsidRPr="00062F7E">
        <w:rPr>
          <w:color w:val="000000" w:themeColor="text1"/>
        </w:rPr>
        <w:t xml:space="preserve">.09 mm (PEFO 45800). </w:t>
      </w:r>
      <w:r w:rsidR="00975FAB" w:rsidRPr="00062F7E">
        <w:rPr>
          <w:color w:val="000000" w:themeColor="text1"/>
        </w:rPr>
        <w:t xml:space="preserve">The morphology of the tooth pedicels in </w:t>
      </w:r>
      <w:r w:rsidR="006308AF">
        <w:rPr>
          <w:i/>
          <w:iCs/>
          <w:color w:val="000000" w:themeColor="text1"/>
        </w:rPr>
        <w:t>F. gilmorei</w:t>
      </w:r>
      <w:r w:rsidR="006308AF" w:rsidRPr="00062F7E">
        <w:rPr>
          <w:color w:val="000000" w:themeColor="text1"/>
        </w:rPr>
        <w:t xml:space="preserve"> </w:t>
      </w:r>
      <w:r w:rsidR="00975FAB" w:rsidRPr="00062F7E">
        <w:rPr>
          <w:color w:val="000000" w:themeColor="text1"/>
        </w:rPr>
        <w:t xml:space="preserve">closely resembles that of </w:t>
      </w:r>
      <w:r w:rsidR="00975FAB" w:rsidRPr="00062F7E">
        <w:rPr>
          <w:i/>
          <w:iCs/>
          <w:color w:val="000000" w:themeColor="text1"/>
        </w:rPr>
        <w:t>Doleserpeton</w:t>
      </w:r>
      <w:r w:rsidR="006308AF">
        <w:rPr>
          <w:i/>
          <w:iCs/>
          <w:color w:val="000000" w:themeColor="text1"/>
        </w:rPr>
        <w:t xml:space="preserve"> annectens</w:t>
      </w:r>
      <w:r w:rsidR="002E08C4">
        <w:rPr>
          <w:i/>
          <w:iCs/>
          <w:color w:val="000000" w:themeColor="text1"/>
        </w:rPr>
        <w:t xml:space="preserve"> </w:t>
      </w:r>
      <w:r w:rsidR="002E08C4">
        <w:rPr>
          <w:color w:val="000000" w:themeColor="text1"/>
        </w:rPr>
        <w:t>(Sigurdsen and Bolt, 2010)</w:t>
      </w:r>
      <w:r w:rsidR="00975FAB" w:rsidRPr="00062F7E">
        <w:rPr>
          <w:color w:val="000000" w:themeColor="text1"/>
        </w:rPr>
        <w:t xml:space="preserve">, </w:t>
      </w:r>
      <w:r w:rsidR="00975FAB" w:rsidRPr="00062F7E">
        <w:rPr>
          <w:i/>
          <w:iCs/>
          <w:color w:val="000000" w:themeColor="text1"/>
        </w:rPr>
        <w:t>Eocaecilia</w:t>
      </w:r>
      <w:r w:rsidR="006308AF">
        <w:rPr>
          <w:i/>
          <w:iCs/>
          <w:color w:val="000000" w:themeColor="text1"/>
        </w:rPr>
        <w:t xml:space="preserve"> micropodia</w:t>
      </w:r>
      <w:r w:rsidR="002E08C4">
        <w:rPr>
          <w:i/>
          <w:iCs/>
          <w:color w:val="000000" w:themeColor="text1"/>
        </w:rPr>
        <w:t xml:space="preserve"> </w:t>
      </w:r>
      <w:r w:rsidR="002E08C4" w:rsidRPr="00097DDE">
        <w:rPr>
          <w:color w:val="000000" w:themeColor="text1"/>
        </w:rPr>
        <w:t>(Jenkins et al., 2007)</w:t>
      </w:r>
      <w:r w:rsidR="00975FAB" w:rsidRPr="002E08C4">
        <w:rPr>
          <w:color w:val="000000" w:themeColor="text1"/>
        </w:rPr>
        <w:t>,</w:t>
      </w:r>
      <w:r w:rsidR="00975FAB" w:rsidRPr="00062F7E">
        <w:rPr>
          <w:color w:val="000000" w:themeColor="text1"/>
        </w:rPr>
        <w:t xml:space="preserve"> </w:t>
      </w:r>
      <w:proofErr w:type="spellStart"/>
      <w:r w:rsidR="00975FAB" w:rsidRPr="00062F7E">
        <w:rPr>
          <w:i/>
          <w:iCs/>
          <w:color w:val="000000" w:themeColor="text1"/>
        </w:rPr>
        <w:t>Rubricacaecilia</w:t>
      </w:r>
      <w:proofErr w:type="spellEnd"/>
      <w:r w:rsidR="006308AF">
        <w:rPr>
          <w:i/>
          <w:iCs/>
          <w:color w:val="000000" w:themeColor="text1"/>
        </w:rPr>
        <w:t xml:space="preserve"> </w:t>
      </w:r>
      <w:proofErr w:type="spellStart"/>
      <w:r w:rsidR="006308AF">
        <w:rPr>
          <w:i/>
          <w:iCs/>
          <w:color w:val="000000" w:themeColor="text1"/>
        </w:rPr>
        <w:t>monbaroni</w:t>
      </w:r>
      <w:proofErr w:type="spellEnd"/>
      <w:r w:rsidR="002E08C4">
        <w:rPr>
          <w:i/>
          <w:iCs/>
          <w:color w:val="000000" w:themeColor="text1"/>
        </w:rPr>
        <w:t xml:space="preserve"> </w:t>
      </w:r>
      <w:r w:rsidR="002E08C4" w:rsidRPr="00097DDE">
        <w:rPr>
          <w:color w:val="000000" w:themeColor="text1"/>
        </w:rPr>
        <w:t>(</w:t>
      </w:r>
      <w:r w:rsidR="002E08C4" w:rsidRPr="002E08C4">
        <w:rPr>
          <w:color w:val="000000" w:themeColor="text1"/>
        </w:rPr>
        <w:t>Evans</w:t>
      </w:r>
      <w:r w:rsidR="002E08C4" w:rsidRPr="00062F7E">
        <w:rPr>
          <w:color w:val="000000" w:themeColor="text1"/>
        </w:rPr>
        <w:t xml:space="preserve"> </w:t>
      </w:r>
      <w:r w:rsidR="002E08C4">
        <w:rPr>
          <w:color w:val="000000" w:themeColor="text1"/>
        </w:rPr>
        <w:t>&amp;</w:t>
      </w:r>
      <w:r w:rsidR="002E08C4" w:rsidRPr="00062F7E">
        <w:rPr>
          <w:color w:val="000000" w:themeColor="text1"/>
        </w:rPr>
        <w:t xml:space="preserve"> </w:t>
      </w:r>
      <w:proofErr w:type="spellStart"/>
      <w:r w:rsidR="002E08C4" w:rsidRPr="00062F7E">
        <w:rPr>
          <w:color w:val="000000" w:themeColor="text1"/>
        </w:rPr>
        <w:t>Sigogneau</w:t>
      </w:r>
      <w:proofErr w:type="spellEnd"/>
      <w:r w:rsidR="002E08C4" w:rsidRPr="00062F7E">
        <w:rPr>
          <w:color w:val="000000" w:themeColor="text1"/>
        </w:rPr>
        <w:t>-Russel, 2001)</w:t>
      </w:r>
      <w:r w:rsidR="00975FAB" w:rsidRPr="00062F7E">
        <w:rPr>
          <w:color w:val="000000" w:themeColor="text1"/>
        </w:rPr>
        <w:t>, an</w:t>
      </w:r>
      <w:r w:rsidR="00062F7E">
        <w:rPr>
          <w:color w:val="000000" w:themeColor="text1"/>
        </w:rPr>
        <w:t>d</w:t>
      </w:r>
      <w:r w:rsidR="00975FAB" w:rsidRPr="00062F7E">
        <w:rPr>
          <w:color w:val="000000" w:themeColor="text1"/>
        </w:rPr>
        <w:t xml:space="preserve"> </w:t>
      </w:r>
      <w:proofErr w:type="spellStart"/>
      <w:r w:rsidR="00975FAB" w:rsidRPr="00062F7E">
        <w:rPr>
          <w:color w:val="000000" w:themeColor="text1"/>
        </w:rPr>
        <w:t>gymnophionans</w:t>
      </w:r>
      <w:proofErr w:type="spellEnd"/>
      <w:r w:rsidR="002E08C4">
        <w:rPr>
          <w:color w:val="000000" w:themeColor="text1"/>
        </w:rPr>
        <w:t xml:space="preserve"> (e.g., Parker &amp; Dunn, 1956; Parsons and Williams, 1962, 1963; Lawson, 1965a,b; </w:t>
      </w:r>
      <w:r w:rsidR="002E08C4" w:rsidRPr="00E51A3B">
        <w:rPr>
          <w:color w:val="000000" w:themeColor="text1"/>
        </w:rPr>
        <w:t>Davit‐</w:t>
      </w:r>
      <w:proofErr w:type="spellStart"/>
      <w:r w:rsidR="002E08C4" w:rsidRPr="00E51A3B">
        <w:rPr>
          <w:color w:val="000000" w:themeColor="text1"/>
        </w:rPr>
        <w:t>Béal</w:t>
      </w:r>
      <w:proofErr w:type="spellEnd"/>
      <w:r w:rsidR="002E08C4">
        <w:rPr>
          <w:color w:val="000000" w:themeColor="text1"/>
        </w:rPr>
        <w:t xml:space="preserve"> et al., 2007; </w:t>
      </w:r>
      <w:proofErr w:type="spellStart"/>
      <w:r w:rsidR="002E08C4">
        <w:rPr>
          <w:color w:val="000000" w:themeColor="text1"/>
        </w:rPr>
        <w:t>Chuliver</w:t>
      </w:r>
      <w:proofErr w:type="spellEnd"/>
      <w:r w:rsidR="002E08C4">
        <w:rPr>
          <w:color w:val="000000" w:themeColor="text1"/>
        </w:rPr>
        <w:t xml:space="preserve"> &amp; </w:t>
      </w:r>
      <w:proofErr w:type="spellStart"/>
      <w:r w:rsidR="002E08C4">
        <w:rPr>
          <w:color w:val="000000" w:themeColor="text1"/>
        </w:rPr>
        <w:t>Scanferla</w:t>
      </w:r>
      <w:proofErr w:type="spellEnd"/>
      <w:r w:rsidR="002E08C4">
        <w:rPr>
          <w:color w:val="000000" w:themeColor="text1"/>
        </w:rPr>
        <w:t>, 2019)</w:t>
      </w:r>
      <w:r w:rsidR="00975FAB" w:rsidRPr="00062F7E">
        <w:rPr>
          <w:color w:val="000000" w:themeColor="text1"/>
        </w:rPr>
        <w:t xml:space="preserve">, which all exhibit cylindrical pedicels bearing uniform dividing zones, basal pores, basal attachment tissue, and resorbed tooth loci. The labiolingual diameter of tooth pedicels at the dividing zone in </w:t>
      </w:r>
      <w:r w:rsidR="006308AF">
        <w:rPr>
          <w:i/>
          <w:iCs/>
          <w:color w:val="000000" w:themeColor="text1"/>
        </w:rPr>
        <w:t>E. micropodia</w:t>
      </w:r>
      <w:r w:rsidR="006308AF" w:rsidRPr="00062F7E">
        <w:rPr>
          <w:color w:val="000000" w:themeColor="text1"/>
        </w:rPr>
        <w:t xml:space="preserve"> </w:t>
      </w:r>
      <w:r w:rsidR="00975FAB" w:rsidRPr="00062F7E">
        <w:rPr>
          <w:color w:val="000000" w:themeColor="text1"/>
        </w:rPr>
        <w:t>ranges from 0.09</w:t>
      </w:r>
      <w:r w:rsidR="00274413">
        <w:rPr>
          <w:color w:val="000000" w:themeColor="text1"/>
        </w:rPr>
        <w:t>–</w:t>
      </w:r>
      <w:r w:rsidR="00975FAB" w:rsidRPr="00062F7E">
        <w:rPr>
          <w:color w:val="000000" w:themeColor="text1"/>
        </w:rPr>
        <w:t xml:space="preserve">0.13 mm (Jenkins et al., 2007), and those at the anterior end of the dentary in </w:t>
      </w:r>
      <w:r w:rsidR="006308AF">
        <w:rPr>
          <w:i/>
          <w:iCs/>
          <w:color w:val="000000" w:themeColor="text1"/>
        </w:rPr>
        <w:t>D. annectens</w:t>
      </w:r>
      <w:r w:rsidR="006308AF" w:rsidRPr="00062F7E">
        <w:rPr>
          <w:color w:val="000000" w:themeColor="text1"/>
        </w:rPr>
        <w:t xml:space="preserve"> </w:t>
      </w:r>
      <w:r w:rsidR="00975FAB" w:rsidRPr="00062F7E">
        <w:rPr>
          <w:color w:val="000000" w:themeColor="text1"/>
        </w:rPr>
        <w:t xml:space="preserve">are approximately </w:t>
      </w:r>
      <w:r w:rsidR="000B2402">
        <w:rPr>
          <w:color w:val="000000" w:themeColor="text1"/>
        </w:rPr>
        <w:t>0</w:t>
      </w:r>
      <w:r w:rsidR="00975FAB" w:rsidRPr="00062F7E">
        <w:rPr>
          <w:color w:val="000000" w:themeColor="text1"/>
        </w:rPr>
        <w:t xml:space="preserve">.11 mm (Sigurdsen </w:t>
      </w:r>
      <w:r w:rsidR="00A547AE">
        <w:rPr>
          <w:color w:val="000000" w:themeColor="text1"/>
        </w:rPr>
        <w:t>&amp;</w:t>
      </w:r>
      <w:r w:rsidR="00A547AE" w:rsidRPr="00062F7E">
        <w:rPr>
          <w:color w:val="000000" w:themeColor="text1"/>
        </w:rPr>
        <w:t xml:space="preserve"> </w:t>
      </w:r>
      <w:r w:rsidR="00975FAB" w:rsidRPr="00062F7E">
        <w:rPr>
          <w:color w:val="000000" w:themeColor="text1"/>
        </w:rPr>
        <w:t xml:space="preserve">Bolt, 2010; Fig. 6). The labiolingual diameter of the tooth pedicels in </w:t>
      </w:r>
      <w:r w:rsidR="006308AF">
        <w:rPr>
          <w:i/>
          <w:iCs/>
          <w:color w:val="000000" w:themeColor="text1"/>
        </w:rPr>
        <w:t>D. annectens</w:t>
      </w:r>
      <w:r w:rsidR="001E6ACB">
        <w:rPr>
          <w:i/>
          <w:iCs/>
          <w:color w:val="000000" w:themeColor="text1"/>
        </w:rPr>
        <w:t>, E. micropodia</w:t>
      </w:r>
      <w:r w:rsidR="00975FAB" w:rsidRPr="00062F7E">
        <w:rPr>
          <w:color w:val="000000" w:themeColor="text1"/>
        </w:rPr>
        <w:t>,</w:t>
      </w:r>
      <w:r w:rsidR="001E6ACB">
        <w:rPr>
          <w:color w:val="000000" w:themeColor="text1"/>
        </w:rPr>
        <w:t xml:space="preserve"> and</w:t>
      </w:r>
      <w:r w:rsidR="00975FAB" w:rsidRPr="00062F7E">
        <w:rPr>
          <w:color w:val="000000" w:themeColor="text1"/>
        </w:rPr>
        <w:t xml:space="preserve"> </w:t>
      </w:r>
      <w:r w:rsidR="001E6ACB">
        <w:rPr>
          <w:i/>
          <w:iCs/>
          <w:color w:val="000000" w:themeColor="text1"/>
        </w:rPr>
        <w:t>F. gilmorei</w:t>
      </w:r>
      <w:r w:rsidR="001E6ACB">
        <w:rPr>
          <w:color w:val="000000" w:themeColor="text1"/>
        </w:rPr>
        <w:t xml:space="preserve"> </w:t>
      </w:r>
      <w:r w:rsidR="00975FAB" w:rsidRPr="00062F7E">
        <w:rPr>
          <w:color w:val="000000" w:themeColor="text1"/>
        </w:rPr>
        <w:t xml:space="preserve">are smaller than that of </w:t>
      </w:r>
      <w:r w:rsidR="001E6ACB">
        <w:rPr>
          <w:i/>
          <w:iCs/>
          <w:color w:val="000000" w:themeColor="text1"/>
        </w:rPr>
        <w:t>R. monbaroni</w:t>
      </w:r>
      <w:r w:rsidR="002E08C4">
        <w:rPr>
          <w:i/>
          <w:iCs/>
          <w:color w:val="000000" w:themeColor="text1"/>
        </w:rPr>
        <w:t xml:space="preserve"> </w:t>
      </w:r>
      <w:r w:rsidR="002E08C4">
        <w:rPr>
          <w:color w:val="000000" w:themeColor="text1"/>
        </w:rPr>
        <w:t>(</w:t>
      </w:r>
      <w:r w:rsidR="005D6A07">
        <w:rPr>
          <w:color w:val="000000" w:themeColor="text1"/>
        </w:rPr>
        <w:t>~0.</w:t>
      </w:r>
      <w:r w:rsidR="00587530">
        <w:rPr>
          <w:color w:val="000000" w:themeColor="text1"/>
        </w:rPr>
        <w:t>3</w:t>
      </w:r>
      <w:r w:rsidR="005D6A07">
        <w:rPr>
          <w:color w:val="000000" w:themeColor="text1"/>
        </w:rPr>
        <w:t xml:space="preserve"> mm; </w:t>
      </w:r>
      <w:r w:rsidR="004E6B7D">
        <w:rPr>
          <w:color w:val="000000" w:themeColor="text1"/>
        </w:rPr>
        <w:t xml:space="preserve">Evans and </w:t>
      </w:r>
      <w:proofErr w:type="spellStart"/>
      <w:r w:rsidR="004E6B7D" w:rsidRPr="00062F7E">
        <w:rPr>
          <w:color w:val="000000" w:themeColor="text1"/>
        </w:rPr>
        <w:t>Sigogneau</w:t>
      </w:r>
      <w:proofErr w:type="spellEnd"/>
      <w:r w:rsidR="004E6B7D" w:rsidRPr="00062F7E">
        <w:rPr>
          <w:color w:val="000000" w:themeColor="text1"/>
        </w:rPr>
        <w:t>-Russel, 200</w:t>
      </w:r>
      <w:r w:rsidR="004E6B7D">
        <w:rPr>
          <w:color w:val="000000" w:themeColor="text1"/>
        </w:rPr>
        <w:t>1</w:t>
      </w:r>
      <w:r w:rsidR="00587530">
        <w:rPr>
          <w:color w:val="000000" w:themeColor="text1"/>
        </w:rPr>
        <w:t>; Jenkins et al., 2007</w:t>
      </w:r>
      <w:r w:rsidR="004E6B7D">
        <w:rPr>
          <w:color w:val="000000" w:themeColor="text1"/>
        </w:rPr>
        <w:t>),</w:t>
      </w:r>
      <w:r w:rsidR="001E6ACB" w:rsidRPr="00062F7E">
        <w:rPr>
          <w:color w:val="000000" w:themeColor="text1"/>
        </w:rPr>
        <w:t xml:space="preserve"> </w:t>
      </w:r>
      <w:r w:rsidR="00975FAB" w:rsidRPr="00062F7E">
        <w:rPr>
          <w:color w:val="000000" w:themeColor="text1"/>
        </w:rPr>
        <w:t xml:space="preserve">and </w:t>
      </w:r>
      <w:r w:rsidR="00A547AE">
        <w:rPr>
          <w:color w:val="000000" w:themeColor="text1"/>
        </w:rPr>
        <w:t>g</w:t>
      </w:r>
      <w:r w:rsidR="00975FAB" w:rsidRPr="00062F7E">
        <w:rPr>
          <w:color w:val="000000" w:themeColor="text1"/>
        </w:rPr>
        <w:t>ymnophionans</w:t>
      </w:r>
      <w:r w:rsidR="002E08C4">
        <w:rPr>
          <w:color w:val="000000" w:themeColor="text1"/>
        </w:rPr>
        <w:t xml:space="preserve"> (0.16–0.50 mm; based on a selection of </w:t>
      </w:r>
      <w:r w:rsidR="004E6B7D">
        <w:rPr>
          <w:color w:val="000000" w:themeColor="text1"/>
        </w:rPr>
        <w:t xml:space="preserve">9 </w:t>
      </w:r>
      <w:r w:rsidR="002E08C4">
        <w:rPr>
          <w:color w:val="000000" w:themeColor="text1"/>
        </w:rPr>
        <w:t>gymnophionan taxa measured in Wake and Wurst, 1979: table 1)</w:t>
      </w:r>
      <w:r w:rsidR="00975FAB" w:rsidRPr="00062F7E">
        <w:rPr>
          <w:color w:val="000000" w:themeColor="text1"/>
        </w:rPr>
        <w:t xml:space="preserve">, suggesting acquisition of larger tooth pedicels occurred in the common ancestor of gymnophionans after the divergence of </w:t>
      </w:r>
      <w:r w:rsidR="002E7E3D">
        <w:rPr>
          <w:color w:val="000000" w:themeColor="text1"/>
        </w:rPr>
        <w:t>stem</w:t>
      </w:r>
      <w:r w:rsidR="00E51A3B">
        <w:rPr>
          <w:color w:val="000000" w:themeColor="text1"/>
        </w:rPr>
        <w:t xml:space="preserve"> </w:t>
      </w:r>
      <w:r w:rsidR="00975FAB" w:rsidRPr="00062F7E">
        <w:rPr>
          <w:color w:val="000000" w:themeColor="text1"/>
        </w:rPr>
        <w:t xml:space="preserve">gymnophionomorphs like </w:t>
      </w:r>
      <w:r w:rsidR="001E6ACB">
        <w:rPr>
          <w:i/>
          <w:iCs/>
          <w:color w:val="000000" w:themeColor="text1"/>
        </w:rPr>
        <w:t>F. gilmorei</w:t>
      </w:r>
      <w:r w:rsidR="001E6ACB" w:rsidRPr="00062F7E">
        <w:rPr>
          <w:color w:val="000000" w:themeColor="text1"/>
        </w:rPr>
        <w:t xml:space="preserve"> </w:t>
      </w:r>
      <w:r w:rsidR="00975FAB" w:rsidRPr="00062F7E">
        <w:rPr>
          <w:color w:val="000000" w:themeColor="text1"/>
        </w:rPr>
        <w:t xml:space="preserve">and </w:t>
      </w:r>
      <w:r w:rsidR="001E6ACB">
        <w:rPr>
          <w:i/>
          <w:iCs/>
          <w:color w:val="000000" w:themeColor="text1"/>
        </w:rPr>
        <w:t>E. micropodia</w:t>
      </w:r>
      <w:r w:rsidR="00975FAB" w:rsidRPr="00062F7E">
        <w:rPr>
          <w:color w:val="000000" w:themeColor="text1"/>
        </w:rPr>
        <w:t xml:space="preserve">. The acquisition of larger tooth pedicels in the common ancestor of </w:t>
      </w:r>
      <w:r w:rsidR="001E6ACB">
        <w:rPr>
          <w:i/>
          <w:iCs/>
          <w:color w:val="000000" w:themeColor="text1"/>
        </w:rPr>
        <w:t>R. monbaroni</w:t>
      </w:r>
      <w:r w:rsidR="001E6ACB" w:rsidRPr="00062F7E">
        <w:rPr>
          <w:color w:val="000000" w:themeColor="text1"/>
        </w:rPr>
        <w:t xml:space="preserve"> </w:t>
      </w:r>
      <w:r w:rsidR="00975FAB" w:rsidRPr="00062F7E">
        <w:rPr>
          <w:color w:val="000000" w:themeColor="text1"/>
        </w:rPr>
        <w:t xml:space="preserve">and Gymnophiona is likely associated with the reduction in tooth number in the labial and lingual rows of pseudodentary dentition. </w:t>
      </w:r>
    </w:p>
    <w:p w14:paraId="58D8B0E7" w14:textId="0C076F8E" w:rsidR="00490068" w:rsidRPr="00062F7E" w:rsidRDefault="00490068" w:rsidP="00662B68">
      <w:pPr>
        <w:rPr>
          <w:color w:val="000000" w:themeColor="text1"/>
        </w:rPr>
      </w:pPr>
      <w:bookmarkStart w:id="9" w:name="_Hlk83725048"/>
      <w:bookmarkEnd w:id="8"/>
    </w:p>
    <w:p w14:paraId="6E5E8FED" w14:textId="169D4789" w:rsidR="001C1154" w:rsidRPr="00062F7E" w:rsidRDefault="00490068" w:rsidP="00662B68">
      <w:pPr>
        <w:rPr>
          <w:color w:val="000000" w:themeColor="text1"/>
        </w:rPr>
      </w:pPr>
      <w:r w:rsidRPr="00662B68">
        <w:rPr>
          <w:b/>
          <w:bCs/>
          <w:color w:val="000000" w:themeColor="text1"/>
        </w:rPr>
        <w:t xml:space="preserve">External pitting and </w:t>
      </w:r>
      <w:r w:rsidR="003B408F" w:rsidRPr="00662B68">
        <w:rPr>
          <w:b/>
          <w:bCs/>
          <w:color w:val="000000" w:themeColor="text1"/>
        </w:rPr>
        <w:t xml:space="preserve">internal microanatomy from </w:t>
      </w:r>
      <w:r w:rsidRPr="00662B68">
        <w:rPr>
          <w:b/>
          <w:bCs/>
          <w:color w:val="000000" w:themeColor="text1"/>
        </w:rPr>
        <w:t>histolog</w:t>
      </w:r>
      <w:r w:rsidR="00D601E1" w:rsidRPr="00662B68">
        <w:rPr>
          <w:b/>
          <w:bCs/>
          <w:color w:val="000000" w:themeColor="text1"/>
        </w:rPr>
        <w:t>ical section</w:t>
      </w:r>
      <w:r w:rsidRPr="00662B68">
        <w:rPr>
          <w:b/>
          <w:bCs/>
          <w:color w:val="000000" w:themeColor="text1"/>
        </w:rPr>
        <w:t xml:space="preserve">: </w:t>
      </w:r>
      <w:r w:rsidRPr="00062F7E">
        <w:rPr>
          <w:color w:val="000000" w:themeColor="text1"/>
        </w:rPr>
        <w:t xml:space="preserve">In </w:t>
      </w:r>
      <w:r w:rsidRPr="00062F7E">
        <w:rPr>
          <w:i/>
          <w:iCs/>
          <w:color w:val="000000" w:themeColor="text1"/>
        </w:rPr>
        <w:t>Funcusvermis</w:t>
      </w:r>
      <w:r w:rsidR="001E6ACB">
        <w:rPr>
          <w:i/>
          <w:iCs/>
          <w:color w:val="000000" w:themeColor="text1"/>
        </w:rPr>
        <w:t xml:space="preserve"> gilmorei</w:t>
      </w:r>
      <w:r w:rsidR="001E6ACB">
        <w:rPr>
          <w:color w:val="000000" w:themeColor="text1"/>
        </w:rPr>
        <w:t>,</w:t>
      </w:r>
      <w:r w:rsidRPr="00062F7E">
        <w:rPr>
          <w:color w:val="000000" w:themeColor="text1"/>
        </w:rPr>
        <w:t xml:space="preserve"> the external</w:t>
      </w:r>
      <w:r w:rsidR="00C90291" w:rsidRPr="00062F7E">
        <w:rPr>
          <w:color w:val="000000" w:themeColor="text1"/>
        </w:rPr>
        <w:t xml:space="preserve"> (lateral)</w:t>
      </w:r>
      <w:r w:rsidRPr="00062F7E">
        <w:rPr>
          <w:color w:val="000000" w:themeColor="text1"/>
        </w:rPr>
        <w:t xml:space="preserve"> surfaces of the pseudodentary and maxillopalatine are covered in circular to subcircular pits</w:t>
      </w:r>
      <w:r w:rsidR="00DC7D9C">
        <w:rPr>
          <w:color w:val="000000" w:themeColor="text1"/>
        </w:rPr>
        <w:t xml:space="preserve"> (Extended Data Fig. 4)</w:t>
      </w:r>
      <w:r w:rsidRPr="00062F7E">
        <w:rPr>
          <w:color w:val="000000" w:themeColor="text1"/>
        </w:rPr>
        <w:t xml:space="preserve">. Internal microanatomy </w:t>
      </w:r>
      <w:r w:rsidR="00C90291" w:rsidRPr="00062F7E">
        <w:rPr>
          <w:color w:val="000000" w:themeColor="text1"/>
        </w:rPr>
        <w:t>observed in a</w:t>
      </w:r>
      <w:r w:rsidRPr="00062F7E">
        <w:rPr>
          <w:color w:val="000000" w:themeColor="text1"/>
        </w:rPr>
        <w:t xml:space="preserve"> histologically sectioned right pseudodentary (PEFO 44432) shows that these pits are the external expression of short canals </w:t>
      </w:r>
      <w:r w:rsidR="0079188D">
        <w:rPr>
          <w:color w:val="000000" w:themeColor="text1"/>
        </w:rPr>
        <w:t>that</w:t>
      </w:r>
      <w:r w:rsidR="0079188D" w:rsidRPr="00062F7E">
        <w:rPr>
          <w:color w:val="000000" w:themeColor="text1"/>
        </w:rPr>
        <w:t xml:space="preserve"> </w:t>
      </w:r>
      <w:r w:rsidRPr="00062F7E">
        <w:rPr>
          <w:color w:val="000000" w:themeColor="text1"/>
        </w:rPr>
        <w:t>curve and sometimes branch within the bone of the pseudodentary; these canals terminate</w:t>
      </w:r>
      <w:r w:rsidR="00C90291" w:rsidRPr="00062F7E">
        <w:rPr>
          <w:color w:val="000000" w:themeColor="text1"/>
        </w:rPr>
        <w:t xml:space="preserve"> within the bone of the pseudodentary</w:t>
      </w:r>
      <w:r w:rsidRPr="00062F7E">
        <w:rPr>
          <w:color w:val="000000" w:themeColor="text1"/>
        </w:rPr>
        <w:t xml:space="preserve"> without connecting to the major neurovascular canals associated with the mandibular branch</w:t>
      </w:r>
      <w:r w:rsidR="00C90291" w:rsidRPr="00062F7E">
        <w:rPr>
          <w:color w:val="000000" w:themeColor="text1"/>
        </w:rPr>
        <w:t>es</w:t>
      </w:r>
      <w:r w:rsidRPr="00062F7E">
        <w:rPr>
          <w:color w:val="000000" w:themeColor="text1"/>
        </w:rPr>
        <w:t xml:space="preserve"> of </w:t>
      </w:r>
      <w:r w:rsidR="00824FE6">
        <w:rPr>
          <w:color w:val="000000" w:themeColor="text1"/>
        </w:rPr>
        <w:t>CN</w:t>
      </w:r>
      <w:r w:rsidRPr="00062F7E">
        <w:rPr>
          <w:color w:val="000000" w:themeColor="text1"/>
        </w:rPr>
        <w:t xml:space="preserve"> V</w:t>
      </w:r>
      <w:r w:rsidR="00DC7D9C">
        <w:rPr>
          <w:color w:val="000000" w:themeColor="text1"/>
        </w:rPr>
        <w:t xml:space="preserve"> (Extended Data Fig. 4)</w:t>
      </w:r>
      <w:r w:rsidRPr="00062F7E">
        <w:rPr>
          <w:color w:val="000000" w:themeColor="text1"/>
        </w:rPr>
        <w:t xml:space="preserve">. </w:t>
      </w:r>
      <w:r w:rsidR="00C90291" w:rsidRPr="00062F7E">
        <w:rPr>
          <w:color w:val="000000" w:themeColor="text1"/>
        </w:rPr>
        <w:t xml:space="preserve">Pits present on the external surfaces of the pseudodentary and maxillopalatine in </w:t>
      </w:r>
      <w:r w:rsidR="001E6ACB">
        <w:rPr>
          <w:i/>
          <w:iCs/>
          <w:color w:val="000000" w:themeColor="text1"/>
        </w:rPr>
        <w:t>F. gilmorei</w:t>
      </w:r>
      <w:r w:rsidR="001E6ACB" w:rsidRPr="00062F7E">
        <w:rPr>
          <w:color w:val="000000" w:themeColor="text1"/>
        </w:rPr>
        <w:t xml:space="preserve"> </w:t>
      </w:r>
      <w:r w:rsidR="00C90291" w:rsidRPr="00062F7E">
        <w:rPr>
          <w:color w:val="000000" w:themeColor="text1"/>
        </w:rPr>
        <w:t xml:space="preserve">resemble similar pits on the same elements in </w:t>
      </w:r>
      <w:r w:rsidR="00C90291" w:rsidRPr="00062F7E">
        <w:rPr>
          <w:i/>
          <w:iCs/>
          <w:color w:val="000000" w:themeColor="text1"/>
        </w:rPr>
        <w:t>Eocaecilia</w:t>
      </w:r>
      <w:r w:rsidR="001E6ACB">
        <w:rPr>
          <w:i/>
          <w:iCs/>
          <w:color w:val="000000" w:themeColor="text1"/>
        </w:rPr>
        <w:t xml:space="preserve"> micropodia</w:t>
      </w:r>
      <w:r w:rsidR="00097DDE">
        <w:rPr>
          <w:i/>
          <w:iCs/>
          <w:color w:val="000000" w:themeColor="text1"/>
        </w:rPr>
        <w:t xml:space="preserve"> </w:t>
      </w:r>
      <w:r w:rsidR="00097DDE">
        <w:rPr>
          <w:color w:val="000000" w:themeColor="text1"/>
        </w:rPr>
        <w:t>(Jenkins et al., 2007)</w:t>
      </w:r>
      <w:r w:rsidR="00C90291" w:rsidRPr="00062F7E">
        <w:rPr>
          <w:color w:val="000000" w:themeColor="text1"/>
        </w:rPr>
        <w:t xml:space="preserve">, </w:t>
      </w:r>
      <w:proofErr w:type="spellStart"/>
      <w:r w:rsidR="00C90291" w:rsidRPr="00062F7E">
        <w:rPr>
          <w:i/>
          <w:iCs/>
          <w:color w:val="000000" w:themeColor="text1"/>
        </w:rPr>
        <w:t>Rubricacaecilia</w:t>
      </w:r>
      <w:proofErr w:type="spellEnd"/>
      <w:r w:rsidR="001E6ACB">
        <w:rPr>
          <w:i/>
          <w:iCs/>
          <w:color w:val="000000" w:themeColor="text1"/>
        </w:rPr>
        <w:t xml:space="preserve"> </w:t>
      </w:r>
      <w:proofErr w:type="spellStart"/>
      <w:r w:rsidR="001E6ACB">
        <w:rPr>
          <w:i/>
          <w:iCs/>
          <w:color w:val="000000" w:themeColor="text1"/>
        </w:rPr>
        <w:t>monbaroni</w:t>
      </w:r>
      <w:proofErr w:type="spellEnd"/>
      <w:r w:rsidR="00097DDE">
        <w:rPr>
          <w:i/>
          <w:iCs/>
          <w:color w:val="000000" w:themeColor="text1"/>
        </w:rPr>
        <w:t xml:space="preserve"> </w:t>
      </w:r>
      <w:r w:rsidR="00097DDE">
        <w:rPr>
          <w:color w:val="000000" w:themeColor="text1"/>
        </w:rPr>
        <w:t>(Evans and</w:t>
      </w:r>
      <w:r w:rsidR="00097DDE" w:rsidRPr="00097DDE">
        <w:rPr>
          <w:color w:val="000000" w:themeColor="text1"/>
        </w:rPr>
        <w:t xml:space="preserve"> </w:t>
      </w:r>
      <w:proofErr w:type="spellStart"/>
      <w:r w:rsidR="00097DDE" w:rsidRPr="00062F7E">
        <w:rPr>
          <w:color w:val="000000" w:themeColor="text1"/>
        </w:rPr>
        <w:t>Sigogneau</w:t>
      </w:r>
      <w:proofErr w:type="spellEnd"/>
      <w:r w:rsidR="00097DDE" w:rsidRPr="00062F7E">
        <w:rPr>
          <w:color w:val="000000" w:themeColor="text1"/>
        </w:rPr>
        <w:t>-Russel, 2001</w:t>
      </w:r>
      <w:r w:rsidR="00097DDE">
        <w:rPr>
          <w:color w:val="000000" w:themeColor="text1"/>
        </w:rPr>
        <w:t>)</w:t>
      </w:r>
      <w:r w:rsidR="00C90291" w:rsidRPr="00062F7E">
        <w:rPr>
          <w:color w:val="000000" w:themeColor="text1"/>
        </w:rPr>
        <w:t>, and living gymnophionans</w:t>
      </w:r>
      <w:r w:rsidR="00E51A3B">
        <w:rPr>
          <w:color w:val="000000" w:themeColor="text1"/>
        </w:rPr>
        <w:t xml:space="preserve"> (e.g.</w:t>
      </w:r>
      <w:r w:rsidR="00363DA3">
        <w:rPr>
          <w:color w:val="000000" w:themeColor="text1"/>
        </w:rPr>
        <w:t>,</w:t>
      </w:r>
      <w:r w:rsidR="00E51A3B">
        <w:rPr>
          <w:color w:val="000000" w:themeColor="text1"/>
        </w:rPr>
        <w:t xml:space="preserve"> Wilkinson et al., 2011)</w:t>
      </w:r>
      <w:r w:rsidR="00C90291" w:rsidRPr="00062F7E">
        <w:rPr>
          <w:color w:val="000000" w:themeColor="text1"/>
        </w:rPr>
        <w:t xml:space="preserve">. Histological analysis </w:t>
      </w:r>
      <w:r w:rsidR="00363DA3">
        <w:rPr>
          <w:color w:val="000000" w:themeColor="text1"/>
        </w:rPr>
        <w:t xml:space="preserve">of </w:t>
      </w:r>
      <w:r w:rsidR="00C90291" w:rsidRPr="00062F7E">
        <w:rPr>
          <w:color w:val="000000" w:themeColor="text1"/>
        </w:rPr>
        <w:t xml:space="preserve">similar pit structures present on the lateral surfaces of anterior skull bones in the living </w:t>
      </w:r>
      <w:proofErr w:type="spellStart"/>
      <w:r w:rsidR="00C90291" w:rsidRPr="00062F7E">
        <w:rPr>
          <w:color w:val="000000" w:themeColor="text1"/>
        </w:rPr>
        <w:t>gymnophionan</w:t>
      </w:r>
      <w:proofErr w:type="spellEnd"/>
      <w:r w:rsidR="00C90291" w:rsidRPr="00062F7E">
        <w:rPr>
          <w:color w:val="000000" w:themeColor="text1"/>
        </w:rPr>
        <w:t xml:space="preserve"> </w:t>
      </w:r>
      <w:proofErr w:type="spellStart"/>
      <w:r w:rsidR="00C90291" w:rsidRPr="00062F7E">
        <w:rPr>
          <w:i/>
          <w:iCs/>
          <w:color w:val="000000" w:themeColor="text1"/>
        </w:rPr>
        <w:t>Siphonops</w:t>
      </w:r>
      <w:proofErr w:type="spellEnd"/>
      <w:r w:rsidR="00C90291" w:rsidRPr="00062F7E">
        <w:rPr>
          <w:i/>
          <w:iCs/>
          <w:color w:val="000000" w:themeColor="text1"/>
        </w:rPr>
        <w:t xml:space="preserve"> </w:t>
      </w:r>
      <w:proofErr w:type="spellStart"/>
      <w:r w:rsidR="00C90291" w:rsidRPr="00062F7E">
        <w:rPr>
          <w:i/>
          <w:iCs/>
          <w:color w:val="000000" w:themeColor="text1"/>
        </w:rPr>
        <w:t>annulatus</w:t>
      </w:r>
      <w:proofErr w:type="spellEnd"/>
      <w:r w:rsidR="00C90291" w:rsidRPr="00062F7E">
        <w:rPr>
          <w:color w:val="000000" w:themeColor="text1"/>
        </w:rPr>
        <w:t xml:space="preserve"> shows that these pits act as anchor sites for dermal collagen networks that facilitate strong skin-to-bone cohesion in the snout during the frictional stresses produced by subterranean burrowing (Jared et al., 2018). These collagen networks house glands that produce a lipid-rich mucus secretion, and this secretion is suggested to act as a friction-reducing lubricant aiding in subterranean burrowing (Jared et al., 2018). Although the internal anatomy and function of these pits have only been examined in </w:t>
      </w:r>
      <w:r w:rsidR="001E6ACB">
        <w:rPr>
          <w:i/>
          <w:iCs/>
          <w:color w:val="000000" w:themeColor="text1"/>
        </w:rPr>
        <w:t>S.</w:t>
      </w:r>
      <w:r w:rsidR="001E6ACB" w:rsidRPr="00062F7E">
        <w:rPr>
          <w:i/>
          <w:iCs/>
          <w:color w:val="000000" w:themeColor="text1"/>
        </w:rPr>
        <w:t xml:space="preserve"> </w:t>
      </w:r>
      <w:proofErr w:type="spellStart"/>
      <w:r w:rsidR="00C90291" w:rsidRPr="00062F7E">
        <w:rPr>
          <w:i/>
          <w:iCs/>
          <w:color w:val="000000" w:themeColor="text1"/>
        </w:rPr>
        <w:t>annulatus</w:t>
      </w:r>
      <w:proofErr w:type="spellEnd"/>
      <w:r w:rsidR="00C90291" w:rsidRPr="00062F7E">
        <w:rPr>
          <w:color w:val="000000" w:themeColor="text1"/>
        </w:rPr>
        <w:t xml:space="preserve">, the similarity of their overall morphology to those </w:t>
      </w:r>
      <w:r w:rsidR="00C90291" w:rsidRPr="00062F7E">
        <w:rPr>
          <w:color w:val="000000" w:themeColor="text1"/>
        </w:rPr>
        <w:lastRenderedPageBreak/>
        <w:t xml:space="preserve">of other living gymnophionans suggests that they are </w:t>
      </w:r>
      <w:r w:rsidR="00E51A3B">
        <w:rPr>
          <w:color w:val="000000" w:themeColor="text1"/>
        </w:rPr>
        <w:t xml:space="preserve">possibly </w:t>
      </w:r>
      <w:r w:rsidR="00C90291" w:rsidRPr="00062F7E">
        <w:rPr>
          <w:color w:val="000000" w:themeColor="text1"/>
        </w:rPr>
        <w:t xml:space="preserve">homologous and serve similar functions throughout the clade. The internal morphology of these pits in </w:t>
      </w:r>
      <w:r w:rsidR="001E6ACB">
        <w:rPr>
          <w:i/>
          <w:iCs/>
          <w:color w:val="000000" w:themeColor="text1"/>
        </w:rPr>
        <w:t>F. gilmorei</w:t>
      </w:r>
      <w:r w:rsidR="001E6ACB" w:rsidRPr="00062F7E">
        <w:rPr>
          <w:i/>
          <w:iCs/>
          <w:color w:val="000000" w:themeColor="text1"/>
        </w:rPr>
        <w:t xml:space="preserve"> </w:t>
      </w:r>
      <w:r w:rsidR="00C90291" w:rsidRPr="00062F7E">
        <w:rPr>
          <w:color w:val="000000" w:themeColor="text1"/>
        </w:rPr>
        <w:t xml:space="preserve">resembles those of </w:t>
      </w:r>
      <w:r w:rsidR="001E6ACB">
        <w:rPr>
          <w:i/>
          <w:iCs/>
          <w:color w:val="000000" w:themeColor="text1"/>
        </w:rPr>
        <w:t>S.</w:t>
      </w:r>
      <w:r w:rsidR="001E6ACB" w:rsidRPr="00062F7E">
        <w:rPr>
          <w:i/>
          <w:iCs/>
          <w:color w:val="000000" w:themeColor="text1"/>
        </w:rPr>
        <w:t xml:space="preserve"> </w:t>
      </w:r>
      <w:proofErr w:type="spellStart"/>
      <w:r w:rsidR="00C90291" w:rsidRPr="00062F7E">
        <w:rPr>
          <w:i/>
          <w:iCs/>
          <w:color w:val="000000" w:themeColor="text1"/>
        </w:rPr>
        <w:t>annulatus</w:t>
      </w:r>
      <w:proofErr w:type="spellEnd"/>
      <w:r w:rsidR="00C90291" w:rsidRPr="00062F7E">
        <w:rPr>
          <w:i/>
          <w:iCs/>
          <w:color w:val="000000" w:themeColor="text1"/>
        </w:rPr>
        <w:t xml:space="preserve"> </w:t>
      </w:r>
      <w:r w:rsidR="00C90291" w:rsidRPr="00062F7E">
        <w:rPr>
          <w:color w:val="000000" w:themeColor="text1"/>
        </w:rPr>
        <w:t xml:space="preserve">(Jared et al., 2018; fig. 3a). Their presence in </w:t>
      </w:r>
      <w:r w:rsidR="001E6ACB">
        <w:rPr>
          <w:i/>
          <w:iCs/>
          <w:color w:val="000000" w:themeColor="text1"/>
        </w:rPr>
        <w:t>F. gilmorei</w:t>
      </w:r>
      <w:r w:rsidR="001E6ACB" w:rsidRPr="00062F7E">
        <w:rPr>
          <w:i/>
          <w:iCs/>
          <w:color w:val="000000" w:themeColor="text1"/>
        </w:rPr>
        <w:t xml:space="preserve"> </w:t>
      </w:r>
      <w:r w:rsidR="00C90291" w:rsidRPr="00062F7E">
        <w:rPr>
          <w:color w:val="000000" w:themeColor="text1"/>
        </w:rPr>
        <w:t xml:space="preserve">could serve as an osteological correlate for tight skin-to-bone attachment and lubricating secretions as in living gymnophionans, but this cannot be tested until </w:t>
      </w:r>
      <w:r w:rsidR="00CD2EEE">
        <w:rPr>
          <w:color w:val="000000" w:themeColor="text1"/>
        </w:rPr>
        <w:t>gymnoph</w:t>
      </w:r>
      <w:r w:rsidR="00A01C2E">
        <w:rPr>
          <w:color w:val="000000" w:themeColor="text1"/>
        </w:rPr>
        <w:t>ionomorph</w:t>
      </w:r>
      <w:r w:rsidR="00C90291" w:rsidRPr="00062F7E">
        <w:rPr>
          <w:color w:val="000000" w:themeColor="text1"/>
        </w:rPr>
        <w:t xml:space="preserve"> fossils are found with preserved soft tissue. Similar pits are not apparent in dissorophoids and early batrachians, suggesting these structures may be a gymnophionomorph synapomorphy. </w:t>
      </w:r>
      <w:r w:rsidR="00097DDE">
        <w:rPr>
          <w:color w:val="000000" w:themeColor="text1"/>
        </w:rPr>
        <w:t>Albanerpetontids bear similar pitting</w:t>
      </w:r>
      <w:r w:rsidR="008E650B">
        <w:rPr>
          <w:color w:val="000000" w:themeColor="text1"/>
        </w:rPr>
        <w:t xml:space="preserve">, </w:t>
      </w:r>
      <w:r w:rsidR="00097DDE">
        <w:rPr>
          <w:color w:val="000000" w:themeColor="text1"/>
        </w:rPr>
        <w:t xml:space="preserve">usually described as ‘nutrient foramina’ on the external surfaces of the dermal bones of the skull (e.g., Gardner &amp; </w:t>
      </w:r>
      <w:proofErr w:type="spellStart"/>
      <w:r w:rsidR="00097DDE">
        <w:rPr>
          <w:color w:val="000000" w:themeColor="text1"/>
        </w:rPr>
        <w:t>Averianov</w:t>
      </w:r>
      <w:proofErr w:type="spellEnd"/>
      <w:r w:rsidR="00097DDE">
        <w:rPr>
          <w:color w:val="000000" w:themeColor="text1"/>
        </w:rPr>
        <w:t>, 1998; Gardner, 1999; Gardner et al., 2003; Sweetman and Gardner, 2013)</w:t>
      </w:r>
      <w:r w:rsidR="00DC7D9C">
        <w:rPr>
          <w:color w:val="000000" w:themeColor="text1"/>
        </w:rPr>
        <w:t>.</w:t>
      </w:r>
    </w:p>
    <w:p w14:paraId="227F76C2" w14:textId="476948A7" w:rsidR="006F25BD" w:rsidRPr="00062F7E" w:rsidRDefault="006F25BD" w:rsidP="00662B68">
      <w:pPr>
        <w:rPr>
          <w:color w:val="000000" w:themeColor="text1"/>
        </w:rPr>
      </w:pPr>
      <w:bookmarkStart w:id="10" w:name="_Hlk83725065"/>
      <w:bookmarkEnd w:id="9"/>
    </w:p>
    <w:p w14:paraId="52A80BF1" w14:textId="311F4A34" w:rsidR="00A800F1" w:rsidRPr="00062F7E" w:rsidRDefault="00331FC1" w:rsidP="00662B68">
      <w:pPr>
        <w:rPr>
          <w:color w:val="000000" w:themeColor="text1"/>
        </w:rPr>
      </w:pPr>
      <w:r w:rsidRPr="00662B68">
        <w:rPr>
          <w:b/>
          <w:bCs/>
          <w:color w:val="000000" w:themeColor="text1"/>
        </w:rPr>
        <w:t>Post-</w:t>
      </w:r>
      <w:proofErr w:type="spellStart"/>
      <w:r w:rsidRPr="00662B68">
        <w:rPr>
          <w:b/>
          <w:bCs/>
          <w:color w:val="000000" w:themeColor="text1"/>
        </w:rPr>
        <w:t>atlantal</w:t>
      </w:r>
      <w:proofErr w:type="spellEnd"/>
      <w:r w:rsidRPr="00662B68">
        <w:rPr>
          <w:b/>
          <w:bCs/>
          <w:color w:val="000000" w:themeColor="text1"/>
        </w:rPr>
        <w:t xml:space="preserve"> vertebra</w:t>
      </w:r>
      <w:r w:rsidR="003B408F" w:rsidRPr="00062F7E">
        <w:rPr>
          <w:i/>
          <w:iCs/>
          <w:color w:val="000000" w:themeColor="text1"/>
        </w:rPr>
        <w:t>.</w:t>
      </w:r>
      <w:r w:rsidRPr="00062F7E">
        <w:rPr>
          <w:color w:val="000000" w:themeColor="text1"/>
        </w:rPr>
        <w:t xml:space="preserve"> </w:t>
      </w:r>
      <w:r w:rsidR="002D4E9D" w:rsidRPr="00062F7E">
        <w:rPr>
          <w:color w:val="000000" w:themeColor="text1"/>
        </w:rPr>
        <w:t xml:space="preserve">PEFO 45910 represents a posterior trunk </w:t>
      </w:r>
      <w:r w:rsidR="00624FFF" w:rsidRPr="00062F7E">
        <w:rPr>
          <w:color w:val="000000" w:themeColor="text1"/>
        </w:rPr>
        <w:t xml:space="preserve">or caudal </w:t>
      </w:r>
      <w:r w:rsidR="002D4E9D" w:rsidRPr="00062F7E">
        <w:rPr>
          <w:color w:val="000000" w:themeColor="text1"/>
        </w:rPr>
        <w:t>vertebra</w:t>
      </w:r>
      <w:r w:rsidR="00A800F1" w:rsidRPr="00062F7E">
        <w:rPr>
          <w:color w:val="000000" w:themeColor="text1"/>
        </w:rPr>
        <w:t xml:space="preserve"> (</w:t>
      </w:r>
      <w:r w:rsidR="00062F7E">
        <w:rPr>
          <w:color w:val="000000" w:themeColor="text1"/>
        </w:rPr>
        <w:t xml:space="preserve">Extended Data Fig. </w:t>
      </w:r>
      <w:r w:rsidR="008A5D11">
        <w:rPr>
          <w:color w:val="000000" w:themeColor="text1"/>
        </w:rPr>
        <w:t>3</w:t>
      </w:r>
      <w:r w:rsidR="00A800F1" w:rsidRPr="00062F7E">
        <w:rPr>
          <w:color w:val="000000" w:themeColor="text1"/>
        </w:rPr>
        <w:t>)</w:t>
      </w:r>
      <w:r w:rsidR="002D4E9D" w:rsidRPr="00062F7E">
        <w:rPr>
          <w:color w:val="000000" w:themeColor="text1"/>
        </w:rPr>
        <w:t>. The notochordal</w:t>
      </w:r>
      <w:r w:rsidR="00434450" w:rsidRPr="00062F7E">
        <w:rPr>
          <w:color w:val="000000" w:themeColor="text1"/>
        </w:rPr>
        <w:t xml:space="preserve"> and </w:t>
      </w:r>
      <w:r w:rsidR="002D4E9D" w:rsidRPr="00062F7E">
        <w:rPr>
          <w:color w:val="000000" w:themeColor="text1"/>
        </w:rPr>
        <w:t>amphicoel</w:t>
      </w:r>
      <w:r w:rsidR="00824FE6">
        <w:rPr>
          <w:color w:val="000000" w:themeColor="text1"/>
        </w:rPr>
        <w:t>o</w:t>
      </w:r>
      <w:r w:rsidR="002D4E9D" w:rsidRPr="00062F7E">
        <w:rPr>
          <w:color w:val="000000" w:themeColor="text1"/>
        </w:rPr>
        <w:t>us</w:t>
      </w:r>
      <w:r w:rsidR="00434450" w:rsidRPr="00062F7E">
        <w:rPr>
          <w:color w:val="000000" w:themeColor="text1"/>
        </w:rPr>
        <w:t xml:space="preserve"> centrum bears a </w:t>
      </w:r>
      <w:r w:rsidR="00624FFF" w:rsidRPr="00062F7E">
        <w:rPr>
          <w:color w:val="000000" w:themeColor="text1"/>
        </w:rPr>
        <w:t xml:space="preserve">faint </w:t>
      </w:r>
      <w:r w:rsidR="00434450" w:rsidRPr="00062F7E">
        <w:rPr>
          <w:color w:val="000000" w:themeColor="text1"/>
        </w:rPr>
        <w:t xml:space="preserve">midventral </w:t>
      </w:r>
      <w:r w:rsidR="005A5477" w:rsidRPr="00062F7E">
        <w:rPr>
          <w:color w:val="000000" w:themeColor="text1"/>
        </w:rPr>
        <w:t>keel and</w:t>
      </w:r>
      <w:r w:rsidR="00434450" w:rsidRPr="00062F7E">
        <w:rPr>
          <w:color w:val="000000" w:themeColor="text1"/>
        </w:rPr>
        <w:t xml:space="preserve"> is</w:t>
      </w:r>
      <w:r w:rsidR="002D4E9D" w:rsidRPr="00062F7E">
        <w:rPr>
          <w:color w:val="000000" w:themeColor="text1"/>
        </w:rPr>
        <w:t xml:space="preserve"> broadly </w:t>
      </w:r>
      <w:proofErr w:type="spellStart"/>
      <w:r w:rsidR="00FA6E2E">
        <w:rPr>
          <w:color w:val="000000" w:themeColor="text1"/>
        </w:rPr>
        <w:t>coossified</w:t>
      </w:r>
      <w:proofErr w:type="spellEnd"/>
      <w:r w:rsidR="00FA6E2E" w:rsidRPr="00062F7E">
        <w:rPr>
          <w:color w:val="000000" w:themeColor="text1"/>
        </w:rPr>
        <w:t xml:space="preserve"> </w:t>
      </w:r>
      <w:r w:rsidR="00434450" w:rsidRPr="00062F7E">
        <w:rPr>
          <w:color w:val="000000" w:themeColor="text1"/>
        </w:rPr>
        <w:t>dorsally</w:t>
      </w:r>
      <w:r w:rsidR="002D4E9D" w:rsidRPr="00062F7E">
        <w:rPr>
          <w:color w:val="000000" w:themeColor="text1"/>
        </w:rPr>
        <w:t xml:space="preserve"> to the neural arch</w:t>
      </w:r>
      <w:r w:rsidR="00434450" w:rsidRPr="00062F7E">
        <w:rPr>
          <w:color w:val="000000" w:themeColor="text1"/>
        </w:rPr>
        <w:t xml:space="preserve">. The neural arch is wide and flat with laterally flared zygopophyses, </w:t>
      </w:r>
      <w:r w:rsidR="00E21357" w:rsidRPr="00062F7E">
        <w:rPr>
          <w:color w:val="000000" w:themeColor="text1"/>
        </w:rPr>
        <w:t xml:space="preserve">and </w:t>
      </w:r>
      <w:r w:rsidR="00434450" w:rsidRPr="00062F7E">
        <w:rPr>
          <w:color w:val="000000" w:themeColor="text1"/>
        </w:rPr>
        <w:t xml:space="preserve">a mediolateral constriction behind the level of the diapophysis </w:t>
      </w:r>
      <w:r w:rsidR="00E21357" w:rsidRPr="00062F7E">
        <w:rPr>
          <w:color w:val="000000" w:themeColor="text1"/>
        </w:rPr>
        <w:t>gives the element</w:t>
      </w:r>
      <w:r w:rsidR="00434450" w:rsidRPr="00062F7E">
        <w:rPr>
          <w:color w:val="000000" w:themeColor="text1"/>
        </w:rPr>
        <w:t xml:space="preserve"> an hourglass-shaped profile in dorsoventral </w:t>
      </w:r>
      <w:r w:rsidR="00227925" w:rsidRPr="00062F7E">
        <w:rPr>
          <w:color w:val="000000" w:themeColor="text1"/>
        </w:rPr>
        <w:t>view</w:t>
      </w:r>
      <w:r w:rsidR="00434450" w:rsidRPr="00062F7E">
        <w:rPr>
          <w:color w:val="000000" w:themeColor="text1"/>
        </w:rPr>
        <w:t xml:space="preserve">. </w:t>
      </w:r>
      <w:r w:rsidR="005A5477" w:rsidRPr="00062F7E">
        <w:rPr>
          <w:color w:val="000000" w:themeColor="text1"/>
        </w:rPr>
        <w:t xml:space="preserve">The diapophysis is formed by an anterolaterally projecting process on the right lateral side of the vertebra at the junction of the centrum and </w:t>
      </w:r>
      <w:proofErr w:type="spellStart"/>
      <w:r w:rsidR="005A5477" w:rsidRPr="00062F7E">
        <w:rPr>
          <w:color w:val="000000" w:themeColor="text1"/>
        </w:rPr>
        <w:t>prezygapophysis</w:t>
      </w:r>
      <w:proofErr w:type="spellEnd"/>
      <w:r w:rsidR="005A5477" w:rsidRPr="00062F7E">
        <w:rPr>
          <w:color w:val="000000" w:themeColor="text1"/>
        </w:rPr>
        <w:t xml:space="preserve">. The anteroventral and posteroventral ends of the centrum are broken, leaving the presence of </w:t>
      </w:r>
      <w:r w:rsidR="00B617E6" w:rsidRPr="00062F7E">
        <w:rPr>
          <w:color w:val="000000" w:themeColor="text1"/>
        </w:rPr>
        <w:t>robust</w:t>
      </w:r>
      <w:r w:rsidR="002D25F2" w:rsidRPr="00062F7E">
        <w:rPr>
          <w:color w:val="000000" w:themeColor="text1"/>
        </w:rPr>
        <w:t xml:space="preserve"> </w:t>
      </w:r>
      <w:proofErr w:type="spellStart"/>
      <w:r w:rsidR="00AE6E32">
        <w:rPr>
          <w:color w:val="000000" w:themeColor="text1"/>
        </w:rPr>
        <w:t>p</w:t>
      </w:r>
      <w:r w:rsidR="00D96F0A">
        <w:rPr>
          <w:color w:val="000000" w:themeColor="text1"/>
        </w:rPr>
        <w:t>arapophysis</w:t>
      </w:r>
      <w:proofErr w:type="spellEnd"/>
      <w:r w:rsidR="002D25F2" w:rsidRPr="00062F7E">
        <w:rPr>
          <w:color w:val="000000" w:themeColor="text1"/>
        </w:rPr>
        <w:t xml:space="preserve"> or </w:t>
      </w:r>
      <w:proofErr w:type="spellStart"/>
      <w:r w:rsidR="002D25F2" w:rsidRPr="00062F7E">
        <w:rPr>
          <w:color w:val="000000" w:themeColor="text1"/>
        </w:rPr>
        <w:t>bas</w:t>
      </w:r>
      <w:r w:rsidR="00227925" w:rsidRPr="00062F7E">
        <w:rPr>
          <w:color w:val="000000" w:themeColor="text1"/>
        </w:rPr>
        <w:t>i</w:t>
      </w:r>
      <w:r w:rsidR="002D25F2" w:rsidRPr="00062F7E">
        <w:rPr>
          <w:color w:val="000000" w:themeColor="text1"/>
        </w:rPr>
        <w:t>pophyses</w:t>
      </w:r>
      <w:proofErr w:type="spellEnd"/>
      <w:r w:rsidR="002D25F2" w:rsidRPr="00062F7E">
        <w:rPr>
          <w:color w:val="000000" w:themeColor="text1"/>
        </w:rPr>
        <w:t xml:space="preserve"> </w:t>
      </w:r>
      <w:r w:rsidR="001D73E1" w:rsidRPr="00062F7E">
        <w:rPr>
          <w:color w:val="000000" w:themeColor="text1"/>
        </w:rPr>
        <w:t>like</w:t>
      </w:r>
      <w:r w:rsidR="002D25F2" w:rsidRPr="00062F7E">
        <w:rPr>
          <w:color w:val="000000" w:themeColor="text1"/>
        </w:rPr>
        <w:t xml:space="preserve"> those of living gymnophionans </w:t>
      </w:r>
      <w:r w:rsidR="005A5477" w:rsidRPr="00062F7E">
        <w:rPr>
          <w:color w:val="000000" w:themeColor="text1"/>
        </w:rPr>
        <w:t>uncertain</w:t>
      </w:r>
      <w:r w:rsidR="00B617E6" w:rsidRPr="00062F7E">
        <w:rPr>
          <w:color w:val="000000" w:themeColor="text1"/>
        </w:rPr>
        <w:t>.</w:t>
      </w:r>
      <w:r w:rsidR="00E21357" w:rsidRPr="00062F7E">
        <w:rPr>
          <w:color w:val="000000" w:themeColor="text1"/>
        </w:rPr>
        <w:t xml:space="preserve"> </w:t>
      </w:r>
      <w:r w:rsidR="00624FFF" w:rsidRPr="00062F7E">
        <w:rPr>
          <w:color w:val="000000" w:themeColor="text1"/>
        </w:rPr>
        <w:t>PEFO 45910 is assigned to</w:t>
      </w:r>
      <w:r w:rsidR="00824FE6">
        <w:rPr>
          <w:color w:val="000000" w:themeColor="text1"/>
        </w:rPr>
        <w:t xml:space="preserve"> the</w:t>
      </w:r>
      <w:r w:rsidR="00624FFF" w:rsidRPr="00062F7E">
        <w:rPr>
          <w:color w:val="000000" w:themeColor="text1"/>
        </w:rPr>
        <w:t xml:space="preserve"> Gymnophionomorpha based on the</w:t>
      </w:r>
      <w:r w:rsidR="00124B89" w:rsidRPr="00062F7E">
        <w:rPr>
          <w:color w:val="000000" w:themeColor="text1"/>
        </w:rPr>
        <w:t xml:space="preserve"> absence of a neural spine,</w:t>
      </w:r>
      <w:r w:rsidR="00624FFF" w:rsidRPr="00062F7E">
        <w:rPr>
          <w:color w:val="000000" w:themeColor="text1"/>
        </w:rPr>
        <w:t xml:space="preserve"> presence of a midventral keel</w:t>
      </w:r>
      <w:r w:rsidR="00124B89" w:rsidRPr="00062F7E">
        <w:rPr>
          <w:color w:val="000000" w:themeColor="text1"/>
        </w:rPr>
        <w:t>,</w:t>
      </w:r>
      <w:r w:rsidR="00624FFF" w:rsidRPr="00062F7E">
        <w:rPr>
          <w:color w:val="000000" w:themeColor="text1"/>
        </w:rPr>
        <w:t xml:space="preserve"> and medially interconnected </w:t>
      </w:r>
      <w:proofErr w:type="spellStart"/>
      <w:r w:rsidR="00624FFF" w:rsidRPr="00062F7E">
        <w:rPr>
          <w:color w:val="000000" w:themeColor="text1"/>
        </w:rPr>
        <w:t>postzygaphophyses</w:t>
      </w:r>
      <w:proofErr w:type="spellEnd"/>
      <w:r w:rsidR="00624FFF" w:rsidRPr="00062F7E">
        <w:rPr>
          <w:color w:val="000000" w:themeColor="text1"/>
        </w:rPr>
        <w:t xml:space="preserve"> </w:t>
      </w:r>
      <w:r w:rsidR="0079188D">
        <w:rPr>
          <w:color w:val="000000" w:themeColor="text1"/>
        </w:rPr>
        <w:t>that</w:t>
      </w:r>
      <w:r w:rsidR="0079188D" w:rsidRPr="00062F7E">
        <w:rPr>
          <w:color w:val="000000" w:themeColor="text1"/>
        </w:rPr>
        <w:t xml:space="preserve"> </w:t>
      </w:r>
      <w:r w:rsidR="00624FFF" w:rsidRPr="00062F7E">
        <w:rPr>
          <w:color w:val="000000" w:themeColor="text1"/>
        </w:rPr>
        <w:t xml:space="preserve">form a posteriorly hyperextended lamina for overlapping the following vertebra. These </w:t>
      </w:r>
      <w:r w:rsidR="00124B89" w:rsidRPr="00062F7E">
        <w:rPr>
          <w:color w:val="000000" w:themeColor="text1"/>
        </w:rPr>
        <w:t xml:space="preserve">same </w:t>
      </w:r>
      <w:r w:rsidR="00624FFF" w:rsidRPr="00062F7E">
        <w:rPr>
          <w:color w:val="000000" w:themeColor="text1"/>
        </w:rPr>
        <w:t>features are present in</w:t>
      </w:r>
      <w:r w:rsidR="00124B89" w:rsidRPr="00062F7E">
        <w:rPr>
          <w:color w:val="000000" w:themeColor="text1"/>
        </w:rPr>
        <w:t xml:space="preserve"> the trunk and caudal vertebra of</w:t>
      </w:r>
      <w:r w:rsidR="00624FFF" w:rsidRPr="00062F7E">
        <w:rPr>
          <w:color w:val="000000" w:themeColor="text1"/>
        </w:rPr>
        <w:t xml:space="preserve"> </w:t>
      </w:r>
      <w:r w:rsidR="00624FFF" w:rsidRPr="00062F7E">
        <w:rPr>
          <w:i/>
          <w:iCs/>
          <w:color w:val="000000" w:themeColor="text1"/>
        </w:rPr>
        <w:t>Eocaecilia</w:t>
      </w:r>
      <w:r w:rsidR="001E6ACB">
        <w:rPr>
          <w:i/>
          <w:iCs/>
          <w:color w:val="000000" w:themeColor="text1"/>
        </w:rPr>
        <w:t xml:space="preserve"> micropodia</w:t>
      </w:r>
      <w:r w:rsidR="00124B89" w:rsidRPr="00062F7E">
        <w:rPr>
          <w:i/>
          <w:iCs/>
          <w:color w:val="000000" w:themeColor="text1"/>
        </w:rPr>
        <w:t>,</w:t>
      </w:r>
      <w:r w:rsidR="00624FFF" w:rsidRPr="00062F7E">
        <w:rPr>
          <w:color w:val="000000" w:themeColor="text1"/>
        </w:rPr>
        <w:t xml:space="preserve"> suggesting they were </w:t>
      </w:r>
      <w:r w:rsidR="00124B89" w:rsidRPr="00062F7E">
        <w:rPr>
          <w:color w:val="000000" w:themeColor="text1"/>
        </w:rPr>
        <w:t>acquired</w:t>
      </w:r>
      <w:r w:rsidR="00624FFF" w:rsidRPr="00062F7E">
        <w:rPr>
          <w:color w:val="000000" w:themeColor="text1"/>
        </w:rPr>
        <w:t xml:space="preserve"> early in </w:t>
      </w:r>
      <w:r w:rsidR="00124B89" w:rsidRPr="00062F7E">
        <w:rPr>
          <w:color w:val="000000" w:themeColor="text1"/>
        </w:rPr>
        <w:t xml:space="preserve">gymnophionomorph evolution. As in </w:t>
      </w:r>
      <w:r w:rsidR="001E6ACB">
        <w:rPr>
          <w:i/>
          <w:iCs/>
          <w:color w:val="000000" w:themeColor="text1"/>
        </w:rPr>
        <w:t>E. micropodia</w:t>
      </w:r>
      <w:r w:rsidR="00124B89" w:rsidRPr="00062F7E">
        <w:rPr>
          <w:color w:val="000000" w:themeColor="text1"/>
        </w:rPr>
        <w:t xml:space="preserve">, PEFO 45910 lacks the elaborate </w:t>
      </w:r>
      <w:proofErr w:type="spellStart"/>
      <w:r w:rsidR="00124B89" w:rsidRPr="00062F7E">
        <w:rPr>
          <w:color w:val="000000" w:themeColor="text1"/>
        </w:rPr>
        <w:t>parapophyseal</w:t>
      </w:r>
      <w:proofErr w:type="spellEnd"/>
      <w:r w:rsidR="00124B89" w:rsidRPr="00062F7E">
        <w:rPr>
          <w:color w:val="000000" w:themeColor="text1"/>
        </w:rPr>
        <w:t xml:space="preserve"> and </w:t>
      </w:r>
      <w:proofErr w:type="spellStart"/>
      <w:r w:rsidR="00124B89" w:rsidRPr="00062F7E">
        <w:rPr>
          <w:color w:val="000000" w:themeColor="text1"/>
        </w:rPr>
        <w:t>basipophyseal</w:t>
      </w:r>
      <w:proofErr w:type="spellEnd"/>
      <w:r w:rsidR="00124B89" w:rsidRPr="00062F7E">
        <w:rPr>
          <w:color w:val="000000" w:themeColor="text1"/>
        </w:rPr>
        <w:t xml:space="preserve"> processes present in </w:t>
      </w:r>
      <w:proofErr w:type="spellStart"/>
      <w:r w:rsidR="00124B89" w:rsidRPr="00062F7E">
        <w:rPr>
          <w:i/>
          <w:iCs/>
          <w:color w:val="000000" w:themeColor="text1"/>
        </w:rPr>
        <w:t>Rubricacaecilia</w:t>
      </w:r>
      <w:proofErr w:type="spellEnd"/>
      <w:r w:rsidR="001E6ACB">
        <w:rPr>
          <w:i/>
          <w:iCs/>
          <w:color w:val="000000" w:themeColor="text1"/>
        </w:rPr>
        <w:t xml:space="preserve"> </w:t>
      </w:r>
      <w:proofErr w:type="spellStart"/>
      <w:r w:rsidR="001E6ACB">
        <w:rPr>
          <w:i/>
          <w:iCs/>
          <w:color w:val="000000" w:themeColor="text1"/>
        </w:rPr>
        <w:t>monbaroni</w:t>
      </w:r>
      <w:proofErr w:type="spellEnd"/>
      <w:r w:rsidR="00124B89" w:rsidRPr="00062F7E">
        <w:rPr>
          <w:color w:val="000000" w:themeColor="text1"/>
        </w:rPr>
        <w:t xml:space="preserve"> and </w:t>
      </w:r>
      <w:r w:rsidR="00B71DA3">
        <w:rPr>
          <w:color w:val="000000" w:themeColor="text1"/>
        </w:rPr>
        <w:t xml:space="preserve">other </w:t>
      </w:r>
      <w:proofErr w:type="spellStart"/>
      <w:r w:rsidR="00227925" w:rsidRPr="00062F7E">
        <w:rPr>
          <w:color w:val="000000" w:themeColor="text1"/>
        </w:rPr>
        <w:t>g</w:t>
      </w:r>
      <w:r w:rsidR="00124B89" w:rsidRPr="00062F7E">
        <w:rPr>
          <w:color w:val="000000" w:themeColor="text1"/>
        </w:rPr>
        <w:t>ymnophionans</w:t>
      </w:r>
      <w:proofErr w:type="spellEnd"/>
      <w:r w:rsidR="00124B89" w:rsidRPr="00062F7E">
        <w:rPr>
          <w:color w:val="000000" w:themeColor="text1"/>
        </w:rPr>
        <w:t xml:space="preserve"> (Evans </w:t>
      </w:r>
      <w:r w:rsidR="00A547AE">
        <w:rPr>
          <w:color w:val="000000" w:themeColor="text1"/>
        </w:rPr>
        <w:t>&amp;</w:t>
      </w:r>
      <w:r w:rsidR="00A547AE" w:rsidRPr="00062F7E">
        <w:rPr>
          <w:color w:val="000000" w:themeColor="text1"/>
        </w:rPr>
        <w:t xml:space="preserve"> </w:t>
      </w:r>
      <w:proofErr w:type="spellStart"/>
      <w:r w:rsidR="00124B89" w:rsidRPr="00062F7E">
        <w:rPr>
          <w:color w:val="000000" w:themeColor="text1"/>
        </w:rPr>
        <w:t>Sigogneau</w:t>
      </w:r>
      <w:proofErr w:type="spellEnd"/>
      <w:r w:rsidR="00124B89" w:rsidRPr="00062F7E">
        <w:rPr>
          <w:color w:val="000000" w:themeColor="text1"/>
        </w:rPr>
        <w:t xml:space="preserve">-Russel, 2001), suggesting that </w:t>
      </w:r>
      <w:r w:rsidR="001E6ACB">
        <w:rPr>
          <w:i/>
          <w:iCs/>
          <w:color w:val="000000" w:themeColor="text1"/>
        </w:rPr>
        <w:t>E. micropodia</w:t>
      </w:r>
      <w:r w:rsidR="001E6ACB" w:rsidRPr="00062F7E">
        <w:rPr>
          <w:color w:val="000000" w:themeColor="text1"/>
        </w:rPr>
        <w:t xml:space="preserve"> </w:t>
      </w:r>
      <w:r w:rsidR="00124B89" w:rsidRPr="00062F7E">
        <w:rPr>
          <w:color w:val="000000" w:themeColor="text1"/>
        </w:rPr>
        <w:t xml:space="preserve">and </w:t>
      </w:r>
      <w:r w:rsidR="00124B89" w:rsidRPr="00062F7E">
        <w:rPr>
          <w:i/>
          <w:iCs/>
          <w:color w:val="000000" w:themeColor="text1"/>
        </w:rPr>
        <w:t>Funcusvermis</w:t>
      </w:r>
      <w:r w:rsidR="001E6ACB">
        <w:rPr>
          <w:i/>
          <w:iCs/>
          <w:color w:val="000000" w:themeColor="text1"/>
        </w:rPr>
        <w:t xml:space="preserve"> gilmorei</w:t>
      </w:r>
      <w:r w:rsidR="00124B89" w:rsidRPr="00062F7E">
        <w:rPr>
          <w:color w:val="000000" w:themeColor="text1"/>
        </w:rPr>
        <w:t xml:space="preserve"> represent a stage in </w:t>
      </w:r>
      <w:r w:rsidR="00B617E6" w:rsidRPr="00062F7E">
        <w:rPr>
          <w:color w:val="000000" w:themeColor="text1"/>
        </w:rPr>
        <w:t>g</w:t>
      </w:r>
      <w:r w:rsidR="00124B89" w:rsidRPr="00062F7E">
        <w:rPr>
          <w:color w:val="000000" w:themeColor="text1"/>
        </w:rPr>
        <w:t xml:space="preserve">ymnophionan vertebral evolution prior to the derivation of these vertebral features. The rectangular (in dorsoventral </w:t>
      </w:r>
      <w:r w:rsidR="00AC2FBF">
        <w:rPr>
          <w:color w:val="000000" w:themeColor="text1"/>
        </w:rPr>
        <w:t>view</w:t>
      </w:r>
      <w:r w:rsidR="00124B89" w:rsidRPr="00062F7E">
        <w:rPr>
          <w:color w:val="000000" w:themeColor="text1"/>
        </w:rPr>
        <w:t xml:space="preserve">) and dorsoventrally compressed form of PEFO 45910 resembles the form of near-terminal vertebrae in living gymnophionans (Wake, 2003; figs. 19, 20), but differs from the form of </w:t>
      </w:r>
      <w:r w:rsidR="002D25F2" w:rsidRPr="00062F7E">
        <w:rPr>
          <w:color w:val="000000" w:themeColor="text1"/>
        </w:rPr>
        <w:t>caudal vertebra in tailed gymnophionans like</w:t>
      </w:r>
      <w:r w:rsidR="002D25F2" w:rsidRPr="00062F7E">
        <w:rPr>
          <w:i/>
          <w:iCs/>
          <w:color w:val="000000" w:themeColor="text1"/>
        </w:rPr>
        <w:t xml:space="preserve"> Epicrionops bicolor </w:t>
      </w:r>
      <w:r w:rsidR="002D25F2" w:rsidRPr="00062F7E">
        <w:rPr>
          <w:color w:val="000000" w:themeColor="text1"/>
        </w:rPr>
        <w:t xml:space="preserve">where the neural arch is dorsally tall and the </w:t>
      </w:r>
      <w:proofErr w:type="spellStart"/>
      <w:r w:rsidR="002D25F2" w:rsidRPr="00062F7E">
        <w:rPr>
          <w:color w:val="000000" w:themeColor="text1"/>
        </w:rPr>
        <w:t>hypapophyses</w:t>
      </w:r>
      <w:proofErr w:type="spellEnd"/>
      <w:r w:rsidR="002D25F2" w:rsidRPr="00062F7E">
        <w:rPr>
          <w:color w:val="000000" w:themeColor="text1"/>
        </w:rPr>
        <w:t xml:space="preserve"> project ventrally (Wake, 2003; fig. 22). Given the </w:t>
      </w:r>
      <w:r w:rsidR="00227925" w:rsidRPr="00062F7E">
        <w:rPr>
          <w:color w:val="000000" w:themeColor="text1"/>
        </w:rPr>
        <w:t xml:space="preserve">disarticulation </w:t>
      </w:r>
      <w:r w:rsidR="002D25F2" w:rsidRPr="00062F7E">
        <w:rPr>
          <w:color w:val="000000" w:themeColor="text1"/>
        </w:rPr>
        <w:t xml:space="preserve">and </w:t>
      </w:r>
      <w:r w:rsidR="00B66FFF" w:rsidRPr="00062F7E">
        <w:rPr>
          <w:color w:val="000000" w:themeColor="text1"/>
        </w:rPr>
        <w:t>dissociation</w:t>
      </w:r>
      <w:r w:rsidR="00227925" w:rsidRPr="00062F7E">
        <w:rPr>
          <w:color w:val="000000" w:themeColor="text1"/>
        </w:rPr>
        <w:t xml:space="preserve"> of known </w:t>
      </w:r>
      <w:r w:rsidR="001E6ACB">
        <w:rPr>
          <w:color w:val="000000" w:themeColor="text1"/>
        </w:rPr>
        <w:t xml:space="preserve">material of </w:t>
      </w:r>
      <w:r w:rsidR="002D25F2" w:rsidRPr="00062F7E">
        <w:rPr>
          <w:i/>
          <w:iCs/>
          <w:color w:val="000000" w:themeColor="text1"/>
        </w:rPr>
        <w:t>Funcusvermis</w:t>
      </w:r>
      <w:r w:rsidR="001E6ACB">
        <w:rPr>
          <w:i/>
          <w:iCs/>
          <w:color w:val="000000" w:themeColor="text1"/>
        </w:rPr>
        <w:t xml:space="preserve"> gilmorei</w:t>
      </w:r>
      <w:r w:rsidR="002D25F2" w:rsidRPr="00062F7E">
        <w:rPr>
          <w:color w:val="000000" w:themeColor="text1"/>
        </w:rPr>
        <w:t xml:space="preserve">, the presence of intercentra (as in </w:t>
      </w:r>
      <w:r w:rsidR="00AC2FBF" w:rsidRPr="00062F7E">
        <w:rPr>
          <w:i/>
          <w:iCs/>
          <w:color w:val="000000" w:themeColor="text1"/>
        </w:rPr>
        <w:t>E</w:t>
      </w:r>
      <w:r w:rsidR="00AC2FBF" w:rsidRPr="00AB3923">
        <w:rPr>
          <w:color w:val="000000" w:themeColor="text1"/>
        </w:rPr>
        <w:t>.</w:t>
      </w:r>
      <w:r w:rsidR="00AC2FBF">
        <w:rPr>
          <w:i/>
          <w:iCs/>
          <w:color w:val="000000" w:themeColor="text1"/>
        </w:rPr>
        <w:t xml:space="preserve"> micropodia</w:t>
      </w:r>
      <w:r w:rsidR="002D25F2" w:rsidRPr="00062F7E">
        <w:rPr>
          <w:color w:val="000000" w:themeColor="text1"/>
        </w:rPr>
        <w:t xml:space="preserve">) </w:t>
      </w:r>
      <w:r w:rsidR="00227925" w:rsidRPr="00062F7E">
        <w:rPr>
          <w:color w:val="000000" w:themeColor="text1"/>
        </w:rPr>
        <w:t xml:space="preserve">currently </w:t>
      </w:r>
      <w:r w:rsidR="002D25F2" w:rsidRPr="00062F7E">
        <w:rPr>
          <w:color w:val="000000" w:themeColor="text1"/>
        </w:rPr>
        <w:t>cannot be determined. The presence of cylindrical pleu</w:t>
      </w:r>
      <w:r w:rsidR="00227925" w:rsidRPr="00062F7E">
        <w:rPr>
          <w:color w:val="000000" w:themeColor="text1"/>
        </w:rPr>
        <w:t>r</w:t>
      </w:r>
      <w:r w:rsidR="002D25F2" w:rsidRPr="00062F7E">
        <w:rPr>
          <w:color w:val="000000" w:themeColor="text1"/>
        </w:rPr>
        <w:t xml:space="preserve">ocentra is shared with </w:t>
      </w:r>
      <w:r w:rsidR="00A800F1" w:rsidRPr="00062F7E">
        <w:rPr>
          <w:color w:val="000000" w:themeColor="text1"/>
        </w:rPr>
        <w:t xml:space="preserve">amphibamids </w:t>
      </w:r>
      <w:r w:rsidR="002D25F2" w:rsidRPr="00062F7E">
        <w:rPr>
          <w:color w:val="000000" w:themeColor="text1"/>
        </w:rPr>
        <w:t>such as</w:t>
      </w:r>
      <w:r w:rsidR="00A800F1" w:rsidRPr="00062F7E">
        <w:rPr>
          <w:color w:val="000000" w:themeColor="text1"/>
        </w:rPr>
        <w:t xml:space="preserve"> </w:t>
      </w:r>
      <w:r w:rsidR="00A800F1" w:rsidRPr="00062F7E">
        <w:rPr>
          <w:i/>
          <w:iCs/>
          <w:color w:val="000000" w:themeColor="text1"/>
        </w:rPr>
        <w:t>Doleserpeton</w:t>
      </w:r>
      <w:r w:rsidR="001E6ACB">
        <w:rPr>
          <w:i/>
          <w:iCs/>
          <w:color w:val="000000" w:themeColor="text1"/>
        </w:rPr>
        <w:t xml:space="preserve"> annectens</w:t>
      </w:r>
      <w:r w:rsidR="00A800F1" w:rsidRPr="00062F7E">
        <w:rPr>
          <w:color w:val="000000" w:themeColor="text1"/>
        </w:rPr>
        <w:t xml:space="preserve"> and </w:t>
      </w:r>
      <w:r w:rsidR="00A800F1" w:rsidRPr="00062F7E">
        <w:rPr>
          <w:i/>
          <w:iCs/>
          <w:color w:val="000000" w:themeColor="text1"/>
        </w:rPr>
        <w:t>Amphibamus</w:t>
      </w:r>
      <w:r w:rsidR="001E6ACB">
        <w:rPr>
          <w:i/>
          <w:iCs/>
          <w:color w:val="000000" w:themeColor="text1"/>
        </w:rPr>
        <w:t xml:space="preserve"> grandiceps</w:t>
      </w:r>
      <w:r w:rsidR="002809F9">
        <w:rPr>
          <w:color w:val="000000" w:themeColor="text1"/>
        </w:rPr>
        <w:t>. T</w:t>
      </w:r>
      <w:r w:rsidR="005D6724">
        <w:rPr>
          <w:color w:val="000000" w:themeColor="text1"/>
        </w:rPr>
        <w:t xml:space="preserve">his feature is otherwise unknown in temnospondyls, although plagiosaurids exhibit a single elongate centrum of uncertain homology with the </w:t>
      </w:r>
      <w:r w:rsidR="002809F9">
        <w:rPr>
          <w:color w:val="000000" w:themeColor="text1"/>
        </w:rPr>
        <w:t>centra of other early tetrapods (e.g., Panchen, 1959; Shishkin, 1987, 1989; Warren &amp; Snell, 1991; Danto et al., 2016)</w:t>
      </w:r>
      <w:r w:rsidR="00227925" w:rsidRPr="00062F7E">
        <w:rPr>
          <w:color w:val="000000" w:themeColor="text1"/>
        </w:rPr>
        <w:t>. However, u</w:t>
      </w:r>
      <w:r w:rsidR="00624FFF" w:rsidRPr="00062F7E">
        <w:rPr>
          <w:color w:val="000000" w:themeColor="text1"/>
        </w:rPr>
        <w:t xml:space="preserve">nlike the caudal </w:t>
      </w:r>
      <w:r w:rsidR="002D25F2" w:rsidRPr="00062F7E">
        <w:rPr>
          <w:color w:val="000000" w:themeColor="text1"/>
        </w:rPr>
        <w:t xml:space="preserve">and trunk </w:t>
      </w:r>
      <w:r w:rsidR="00624FFF" w:rsidRPr="00062F7E">
        <w:rPr>
          <w:color w:val="000000" w:themeColor="text1"/>
        </w:rPr>
        <w:t xml:space="preserve">vertebra of </w:t>
      </w:r>
      <w:r w:rsidR="001E6ACB">
        <w:rPr>
          <w:i/>
          <w:iCs/>
          <w:color w:val="000000" w:themeColor="text1"/>
        </w:rPr>
        <w:t>D. annectens</w:t>
      </w:r>
      <w:r w:rsidR="002D25F2" w:rsidRPr="00062F7E">
        <w:rPr>
          <w:i/>
          <w:iCs/>
          <w:color w:val="000000" w:themeColor="text1"/>
        </w:rPr>
        <w:t>,</w:t>
      </w:r>
      <w:r w:rsidR="00624FFF" w:rsidRPr="00062F7E">
        <w:rPr>
          <w:color w:val="000000" w:themeColor="text1"/>
        </w:rPr>
        <w:t xml:space="preserve"> which bear tall neural spines (Sigurdsen and Bolt, 2010; fig. 7D), the neural arch is flat</w:t>
      </w:r>
      <w:r w:rsidR="002D25F2" w:rsidRPr="00062F7E">
        <w:rPr>
          <w:color w:val="000000" w:themeColor="text1"/>
        </w:rPr>
        <w:t xml:space="preserve"> in </w:t>
      </w:r>
      <w:r w:rsidR="001E6ACB">
        <w:rPr>
          <w:i/>
          <w:iCs/>
          <w:color w:val="000000" w:themeColor="text1"/>
        </w:rPr>
        <w:t>F. gilmorei</w:t>
      </w:r>
      <w:r w:rsidR="002D25F2" w:rsidRPr="00062F7E">
        <w:rPr>
          <w:i/>
          <w:iCs/>
          <w:color w:val="000000" w:themeColor="text1"/>
        </w:rPr>
        <w:t xml:space="preserve">. </w:t>
      </w:r>
      <w:r w:rsidR="002D25F2" w:rsidRPr="00062F7E">
        <w:rPr>
          <w:color w:val="000000" w:themeColor="text1"/>
        </w:rPr>
        <w:t xml:space="preserve">The flattened neural arch and dorsoventrally compressed shape of PEFO 45910 may suggest that the body of </w:t>
      </w:r>
      <w:r w:rsidR="001E6ACB">
        <w:rPr>
          <w:i/>
          <w:iCs/>
          <w:color w:val="000000" w:themeColor="text1"/>
        </w:rPr>
        <w:t>F. gilmorei</w:t>
      </w:r>
      <w:r w:rsidR="001E6ACB" w:rsidRPr="00062F7E">
        <w:rPr>
          <w:color w:val="000000" w:themeColor="text1"/>
        </w:rPr>
        <w:t xml:space="preserve"> </w:t>
      </w:r>
      <w:r w:rsidR="002D25F2" w:rsidRPr="00062F7E">
        <w:rPr>
          <w:color w:val="000000" w:themeColor="text1"/>
        </w:rPr>
        <w:t xml:space="preserve">was tubular as in other gymnophionomorphs. </w:t>
      </w:r>
    </w:p>
    <w:p w14:paraId="618D2665" w14:textId="7F06E0A1" w:rsidR="00CF6452" w:rsidRPr="00062F7E" w:rsidRDefault="00CF6452" w:rsidP="00662B68">
      <w:pPr>
        <w:rPr>
          <w:color w:val="000000" w:themeColor="text1"/>
        </w:rPr>
      </w:pPr>
    </w:p>
    <w:p w14:paraId="519693A7" w14:textId="673EE8B5" w:rsidR="00242B57" w:rsidRPr="00062F7E" w:rsidRDefault="00CF6452" w:rsidP="00662B68">
      <w:pPr>
        <w:rPr>
          <w:b/>
          <w:bCs/>
          <w:color w:val="000000" w:themeColor="text1"/>
        </w:rPr>
      </w:pPr>
      <w:r w:rsidRPr="00662B68">
        <w:rPr>
          <w:b/>
          <w:bCs/>
          <w:color w:val="000000" w:themeColor="text1"/>
        </w:rPr>
        <w:t>Femur.</w:t>
      </w:r>
      <w:r w:rsidRPr="00062F7E">
        <w:rPr>
          <w:color w:val="000000" w:themeColor="text1"/>
        </w:rPr>
        <w:t xml:space="preserve"> </w:t>
      </w:r>
      <w:r w:rsidR="00331FC1" w:rsidRPr="00062F7E">
        <w:rPr>
          <w:color w:val="000000" w:themeColor="text1"/>
        </w:rPr>
        <w:t xml:space="preserve">PEFO 43811 </w:t>
      </w:r>
      <w:r w:rsidR="005A5477" w:rsidRPr="00062F7E">
        <w:rPr>
          <w:color w:val="000000" w:themeColor="text1"/>
        </w:rPr>
        <w:t>represents the</w:t>
      </w:r>
      <w:r w:rsidR="00331FC1" w:rsidRPr="00062F7E">
        <w:rPr>
          <w:color w:val="000000" w:themeColor="text1"/>
        </w:rPr>
        <w:t xml:space="preserve"> proximal end of </w:t>
      </w:r>
      <w:r w:rsidR="002D4E9D" w:rsidRPr="00062F7E">
        <w:rPr>
          <w:color w:val="000000" w:themeColor="text1"/>
        </w:rPr>
        <w:t>a right</w:t>
      </w:r>
      <w:r w:rsidR="00331FC1" w:rsidRPr="00062F7E">
        <w:rPr>
          <w:color w:val="000000" w:themeColor="text1"/>
        </w:rPr>
        <w:t xml:space="preserve"> </w:t>
      </w:r>
      <w:r w:rsidR="005A5477" w:rsidRPr="00062F7E">
        <w:rPr>
          <w:color w:val="000000" w:themeColor="text1"/>
        </w:rPr>
        <w:t xml:space="preserve">femur and is the only appendicular element </w:t>
      </w:r>
      <w:r w:rsidR="00E21357" w:rsidRPr="00062F7E">
        <w:rPr>
          <w:color w:val="000000" w:themeColor="text1"/>
        </w:rPr>
        <w:t>referred</w:t>
      </w:r>
      <w:r w:rsidR="00227925" w:rsidRPr="00062F7E">
        <w:rPr>
          <w:color w:val="000000" w:themeColor="text1"/>
        </w:rPr>
        <w:t xml:space="preserve"> </w:t>
      </w:r>
      <w:r w:rsidR="00331FC1" w:rsidRPr="00062F7E">
        <w:rPr>
          <w:color w:val="000000" w:themeColor="text1"/>
        </w:rPr>
        <w:t xml:space="preserve">to </w:t>
      </w:r>
      <w:r w:rsidR="00331FC1" w:rsidRPr="00062F7E">
        <w:rPr>
          <w:i/>
          <w:iCs/>
          <w:color w:val="000000" w:themeColor="text1"/>
        </w:rPr>
        <w:t>Funcusvermis</w:t>
      </w:r>
      <w:r w:rsidR="001E6ACB">
        <w:rPr>
          <w:i/>
          <w:iCs/>
          <w:color w:val="000000" w:themeColor="text1"/>
        </w:rPr>
        <w:t xml:space="preserve"> gilmorei</w:t>
      </w:r>
      <w:r w:rsidR="00C73275">
        <w:rPr>
          <w:i/>
          <w:iCs/>
          <w:color w:val="000000" w:themeColor="text1"/>
        </w:rPr>
        <w:t xml:space="preserve"> </w:t>
      </w:r>
      <w:r w:rsidR="00C73275">
        <w:rPr>
          <w:color w:val="000000" w:themeColor="text1"/>
        </w:rPr>
        <w:t>(Extended Data Fig. 3)</w:t>
      </w:r>
      <w:r w:rsidR="00331FC1" w:rsidRPr="00062F7E">
        <w:rPr>
          <w:color w:val="000000" w:themeColor="text1"/>
        </w:rPr>
        <w:t xml:space="preserve">. </w:t>
      </w:r>
      <w:r w:rsidR="005A5477" w:rsidRPr="00062F7E">
        <w:rPr>
          <w:color w:val="000000" w:themeColor="text1"/>
        </w:rPr>
        <w:t xml:space="preserve">The </w:t>
      </w:r>
      <w:r w:rsidR="00CB4277" w:rsidRPr="00062F7E">
        <w:rPr>
          <w:color w:val="000000" w:themeColor="text1"/>
        </w:rPr>
        <w:t xml:space="preserve">dorsoventrally oriented </w:t>
      </w:r>
      <w:r w:rsidR="005A5477" w:rsidRPr="00062F7E">
        <w:rPr>
          <w:color w:val="000000" w:themeColor="text1"/>
        </w:rPr>
        <w:t>fe</w:t>
      </w:r>
      <w:r w:rsidR="00CB4277" w:rsidRPr="00062F7E">
        <w:rPr>
          <w:color w:val="000000" w:themeColor="text1"/>
        </w:rPr>
        <w:t xml:space="preserve">moral head is bulbous and oval in dorsal </w:t>
      </w:r>
      <w:r w:rsidR="00227925" w:rsidRPr="00062F7E">
        <w:rPr>
          <w:color w:val="000000" w:themeColor="text1"/>
        </w:rPr>
        <w:t>view</w:t>
      </w:r>
      <w:r w:rsidR="00CB4277" w:rsidRPr="00062F7E">
        <w:rPr>
          <w:color w:val="000000" w:themeColor="text1"/>
        </w:rPr>
        <w:t xml:space="preserve">. </w:t>
      </w:r>
      <w:r w:rsidR="009377AA" w:rsidRPr="00062F7E">
        <w:rPr>
          <w:color w:val="000000" w:themeColor="text1"/>
        </w:rPr>
        <w:t xml:space="preserve">A shallow depression occupies the lateral </w:t>
      </w:r>
      <w:r w:rsidR="009377AA" w:rsidRPr="00062F7E">
        <w:rPr>
          <w:color w:val="000000" w:themeColor="text1"/>
        </w:rPr>
        <w:lastRenderedPageBreak/>
        <w:t xml:space="preserve">surface </w:t>
      </w:r>
      <w:r w:rsidR="00227925" w:rsidRPr="00062F7E">
        <w:rPr>
          <w:color w:val="000000" w:themeColor="text1"/>
        </w:rPr>
        <w:t xml:space="preserve">ventral to </w:t>
      </w:r>
      <w:r w:rsidR="009377AA" w:rsidRPr="00062F7E">
        <w:rPr>
          <w:color w:val="000000" w:themeColor="text1"/>
        </w:rPr>
        <w:t>the femoral head, and a</w:t>
      </w:r>
      <w:r w:rsidR="00CB4277" w:rsidRPr="00062F7E">
        <w:rPr>
          <w:color w:val="000000" w:themeColor="text1"/>
        </w:rPr>
        <w:t xml:space="preserve"> large concave fossa is present on the medial surface of the element ventral to the femoral head, separating the head from a prominent subtriangular medial trochanter</w:t>
      </w:r>
      <w:r w:rsidR="001E3B58">
        <w:rPr>
          <w:color w:val="000000" w:themeColor="text1"/>
        </w:rPr>
        <w:t xml:space="preserve"> (Extended Data Fig. </w:t>
      </w:r>
      <w:r w:rsidR="008A5D11">
        <w:rPr>
          <w:color w:val="000000" w:themeColor="text1"/>
        </w:rPr>
        <w:t>3</w:t>
      </w:r>
      <w:r w:rsidR="001E3B58">
        <w:rPr>
          <w:color w:val="000000" w:themeColor="text1"/>
        </w:rPr>
        <w:t>)</w:t>
      </w:r>
      <w:r w:rsidR="00CB4277" w:rsidRPr="00062F7E">
        <w:rPr>
          <w:color w:val="000000" w:themeColor="text1"/>
        </w:rPr>
        <w:t xml:space="preserve">. </w:t>
      </w:r>
      <w:r w:rsidR="009377AA" w:rsidRPr="00062F7E">
        <w:rPr>
          <w:color w:val="000000" w:themeColor="text1"/>
        </w:rPr>
        <w:t>The femoral shaft below the medial trochanter is broken</w:t>
      </w:r>
      <w:r w:rsidR="00227925" w:rsidRPr="00062F7E">
        <w:rPr>
          <w:color w:val="000000" w:themeColor="text1"/>
        </w:rPr>
        <w:t xml:space="preserve"> and missing.</w:t>
      </w:r>
      <w:r w:rsidR="009377AA" w:rsidRPr="00062F7E">
        <w:rPr>
          <w:color w:val="000000" w:themeColor="text1"/>
        </w:rPr>
        <w:t xml:space="preserve"> </w:t>
      </w:r>
      <w:r w:rsidR="00E21357" w:rsidRPr="00062F7E">
        <w:rPr>
          <w:color w:val="000000" w:themeColor="text1"/>
        </w:rPr>
        <w:t xml:space="preserve">PEFO 43811 resembles femora referred to </w:t>
      </w:r>
      <w:r w:rsidR="00E21357" w:rsidRPr="00062F7E">
        <w:rPr>
          <w:i/>
          <w:iCs/>
          <w:color w:val="000000" w:themeColor="text1"/>
        </w:rPr>
        <w:t>Eocaecilia</w:t>
      </w:r>
      <w:r w:rsidR="001E6ACB">
        <w:rPr>
          <w:i/>
          <w:iCs/>
          <w:color w:val="000000" w:themeColor="text1"/>
        </w:rPr>
        <w:t xml:space="preserve"> micropodia</w:t>
      </w:r>
      <w:r w:rsidR="00E21357" w:rsidRPr="00062F7E">
        <w:rPr>
          <w:color w:val="000000" w:themeColor="text1"/>
        </w:rPr>
        <w:t xml:space="preserve"> and </w:t>
      </w:r>
      <w:r w:rsidR="00E21357" w:rsidRPr="00062F7E">
        <w:rPr>
          <w:i/>
          <w:iCs/>
          <w:color w:val="000000" w:themeColor="text1"/>
        </w:rPr>
        <w:t>Rubricacaecilia</w:t>
      </w:r>
      <w:r w:rsidR="001E6ACB">
        <w:rPr>
          <w:i/>
          <w:iCs/>
          <w:color w:val="000000" w:themeColor="text1"/>
        </w:rPr>
        <w:t xml:space="preserve"> monbaroni</w:t>
      </w:r>
      <w:r w:rsidR="00E21357" w:rsidRPr="00062F7E">
        <w:rPr>
          <w:i/>
          <w:iCs/>
          <w:color w:val="000000" w:themeColor="text1"/>
        </w:rPr>
        <w:t xml:space="preserve">, </w:t>
      </w:r>
      <w:r w:rsidR="00E21357" w:rsidRPr="00062F7E">
        <w:rPr>
          <w:color w:val="000000" w:themeColor="text1"/>
        </w:rPr>
        <w:t xml:space="preserve">and its presence in </w:t>
      </w:r>
      <w:r w:rsidR="001E6ACB">
        <w:rPr>
          <w:i/>
          <w:iCs/>
          <w:color w:val="000000" w:themeColor="text1"/>
        </w:rPr>
        <w:t>F. gilmorei</w:t>
      </w:r>
      <w:r w:rsidR="001E6ACB" w:rsidRPr="00062F7E">
        <w:rPr>
          <w:color w:val="000000" w:themeColor="text1"/>
        </w:rPr>
        <w:t xml:space="preserve"> </w:t>
      </w:r>
      <w:r w:rsidR="00E21357" w:rsidRPr="00062F7E">
        <w:rPr>
          <w:color w:val="000000" w:themeColor="text1"/>
        </w:rPr>
        <w:t xml:space="preserve">suggests that it possessed limbs as in these non-gymnophionan gymnophionomorphs. The femoral head is bulbous and oriented dorsoventrally as in </w:t>
      </w:r>
      <w:r w:rsidR="001E6ACB">
        <w:rPr>
          <w:i/>
          <w:iCs/>
          <w:color w:val="000000" w:themeColor="text1"/>
        </w:rPr>
        <w:t>E. micropodia</w:t>
      </w:r>
      <w:r w:rsidR="00E21357" w:rsidRPr="00062F7E">
        <w:rPr>
          <w:color w:val="000000" w:themeColor="text1"/>
        </w:rPr>
        <w:t xml:space="preserve">, differing from the femur of </w:t>
      </w:r>
      <w:r w:rsidR="001E6ACB">
        <w:rPr>
          <w:i/>
          <w:iCs/>
          <w:color w:val="000000" w:themeColor="text1"/>
        </w:rPr>
        <w:t>R. monbaroni</w:t>
      </w:r>
      <w:r w:rsidR="00D96F0A">
        <w:rPr>
          <w:color w:val="000000" w:themeColor="text1"/>
        </w:rPr>
        <w:t>,</w:t>
      </w:r>
      <w:r w:rsidR="001E6ACB" w:rsidRPr="00062F7E">
        <w:rPr>
          <w:color w:val="000000" w:themeColor="text1"/>
        </w:rPr>
        <w:t xml:space="preserve"> </w:t>
      </w:r>
      <w:r w:rsidR="00E21357" w:rsidRPr="00062F7E">
        <w:rPr>
          <w:color w:val="000000" w:themeColor="text1"/>
        </w:rPr>
        <w:t xml:space="preserve">which is less bulbous and hooked posteriorly. As in </w:t>
      </w:r>
      <w:r w:rsidR="001E6ACB">
        <w:rPr>
          <w:i/>
          <w:iCs/>
          <w:color w:val="000000" w:themeColor="text1"/>
        </w:rPr>
        <w:t>E. micropodia</w:t>
      </w:r>
      <w:r w:rsidR="001E6ACB" w:rsidRPr="00062F7E">
        <w:rPr>
          <w:color w:val="000000" w:themeColor="text1"/>
        </w:rPr>
        <w:t xml:space="preserve"> </w:t>
      </w:r>
      <w:r w:rsidR="00E21357" w:rsidRPr="00062F7E">
        <w:rPr>
          <w:color w:val="000000" w:themeColor="text1"/>
        </w:rPr>
        <w:t xml:space="preserve">and caudates, shallow depressions occupy the medial and lateral sides of the bulbous head. On the medioventral side of the proximal shaft is a rounded trochanter, less prominent and acute than that of </w:t>
      </w:r>
      <w:r w:rsidR="001E6ACB">
        <w:rPr>
          <w:i/>
          <w:iCs/>
          <w:color w:val="000000" w:themeColor="text1"/>
        </w:rPr>
        <w:t>E. micropodia</w:t>
      </w:r>
      <w:r w:rsidR="00E21357" w:rsidRPr="00062F7E">
        <w:rPr>
          <w:color w:val="000000" w:themeColor="text1"/>
        </w:rPr>
        <w:t xml:space="preserve">, more closely resembling the trochanter in </w:t>
      </w:r>
      <w:r w:rsidR="001E6ACB">
        <w:rPr>
          <w:i/>
          <w:iCs/>
          <w:color w:val="000000" w:themeColor="text1"/>
        </w:rPr>
        <w:t>R. monbaroni</w:t>
      </w:r>
      <w:r w:rsidR="00E21357" w:rsidRPr="00062F7E">
        <w:rPr>
          <w:color w:val="000000" w:themeColor="text1"/>
        </w:rPr>
        <w:t xml:space="preserve">. </w:t>
      </w:r>
      <w:r w:rsidR="0018537D">
        <w:rPr>
          <w:color w:val="000000" w:themeColor="text1"/>
        </w:rPr>
        <w:t xml:space="preserve">A trochanter is common to many early tetrapods (e.g., Sumida, 1997), but </w:t>
      </w:r>
      <w:r w:rsidR="00702BA3">
        <w:rPr>
          <w:color w:val="000000" w:themeColor="text1"/>
        </w:rPr>
        <w:t>a</w:t>
      </w:r>
      <w:r w:rsidR="0018537D">
        <w:rPr>
          <w:color w:val="000000" w:themeColor="text1"/>
        </w:rPr>
        <w:t xml:space="preserve"> </w:t>
      </w:r>
      <w:r w:rsidR="00702BA3">
        <w:rPr>
          <w:color w:val="000000" w:themeColor="text1"/>
        </w:rPr>
        <w:t>rounded trochanter</w:t>
      </w:r>
      <w:r w:rsidR="0018537D">
        <w:rPr>
          <w:color w:val="000000" w:themeColor="text1"/>
        </w:rPr>
        <w:t xml:space="preserve"> </w:t>
      </w:r>
      <w:r w:rsidR="00702BA3">
        <w:rPr>
          <w:color w:val="000000" w:themeColor="text1"/>
        </w:rPr>
        <w:t xml:space="preserve">offset from the shaft </w:t>
      </w:r>
      <w:r w:rsidR="0018537D">
        <w:rPr>
          <w:color w:val="000000" w:themeColor="text1"/>
        </w:rPr>
        <w:t xml:space="preserve">is shared with </w:t>
      </w:r>
      <w:r w:rsidR="00702BA3">
        <w:rPr>
          <w:color w:val="000000" w:themeColor="text1"/>
        </w:rPr>
        <w:t>only a few clades, including amphibami</w:t>
      </w:r>
      <w:r w:rsidR="007E00AB">
        <w:rPr>
          <w:color w:val="000000" w:themeColor="text1"/>
        </w:rPr>
        <w:t>forms</w:t>
      </w:r>
      <w:r w:rsidR="00702BA3">
        <w:rPr>
          <w:color w:val="000000" w:themeColor="text1"/>
        </w:rPr>
        <w:t xml:space="preserve"> (e.g., Daly, 1994; Schoch &amp; Rubidge, 2005; Sigurdsen &amp; Bolt, 2010</w:t>
      </w:r>
      <w:r w:rsidR="007E00AB">
        <w:rPr>
          <w:color w:val="000000" w:themeColor="text1"/>
        </w:rPr>
        <w:t>)</w:t>
      </w:r>
      <w:r w:rsidR="00702BA3">
        <w:rPr>
          <w:color w:val="000000" w:themeColor="text1"/>
        </w:rPr>
        <w:t xml:space="preserve">; see also </w:t>
      </w:r>
      <w:r w:rsidR="00702BA3">
        <w:rPr>
          <w:i/>
          <w:iCs/>
          <w:color w:val="000000" w:themeColor="text1"/>
        </w:rPr>
        <w:t>Balanerpeton</w:t>
      </w:r>
      <w:r w:rsidR="001E6ACB">
        <w:rPr>
          <w:i/>
          <w:iCs/>
          <w:color w:val="000000" w:themeColor="text1"/>
        </w:rPr>
        <w:t xml:space="preserve"> woodi</w:t>
      </w:r>
      <w:r w:rsidR="00702BA3">
        <w:rPr>
          <w:i/>
          <w:iCs/>
          <w:color w:val="000000" w:themeColor="text1"/>
        </w:rPr>
        <w:t xml:space="preserve"> </w:t>
      </w:r>
      <w:r w:rsidR="00702BA3">
        <w:rPr>
          <w:color w:val="000000" w:themeColor="text1"/>
        </w:rPr>
        <w:t xml:space="preserve">and </w:t>
      </w:r>
      <w:r w:rsidR="00702BA3">
        <w:rPr>
          <w:i/>
          <w:iCs/>
          <w:color w:val="000000" w:themeColor="text1"/>
        </w:rPr>
        <w:t>Lydekkerina</w:t>
      </w:r>
      <w:r w:rsidR="001E6ACB">
        <w:rPr>
          <w:i/>
          <w:iCs/>
          <w:color w:val="000000" w:themeColor="text1"/>
        </w:rPr>
        <w:t xml:space="preserve"> huxleyi</w:t>
      </w:r>
      <w:r w:rsidR="00702BA3">
        <w:rPr>
          <w:color w:val="000000" w:themeColor="text1"/>
        </w:rPr>
        <w:t xml:space="preserve"> </w:t>
      </w:r>
      <w:r w:rsidR="007E00AB">
        <w:rPr>
          <w:color w:val="000000" w:themeColor="text1"/>
        </w:rPr>
        <w:t>(</w:t>
      </w:r>
      <w:r w:rsidR="00702BA3">
        <w:rPr>
          <w:color w:val="000000" w:themeColor="text1"/>
        </w:rPr>
        <w:t>Milner &amp; Sequeira, 1993; Pawley &amp; Warren, 2005). In other temnospondyls, the trochanter may not be separated from the shaft (e.g., Schoch, 1999; Pawley, 2007</w:t>
      </w:r>
      <w:r w:rsidR="005D52AC">
        <w:rPr>
          <w:color w:val="000000" w:themeColor="text1"/>
        </w:rPr>
        <w:t>; Sequeira, 2009</w:t>
      </w:r>
      <w:r w:rsidR="00702BA3">
        <w:rPr>
          <w:color w:val="000000" w:themeColor="text1"/>
        </w:rPr>
        <w:t>) or may not form a ventrally convex rounded surface, instead forming a flat rugose surface (e.g., Sullivan et al., 2000; Sulej, 2007).</w:t>
      </w:r>
      <w:r w:rsidR="0018537D">
        <w:rPr>
          <w:color w:val="000000" w:themeColor="text1"/>
        </w:rPr>
        <w:t xml:space="preserve"> </w:t>
      </w:r>
      <w:r w:rsidR="00E21357" w:rsidRPr="00062F7E">
        <w:rPr>
          <w:color w:val="000000" w:themeColor="text1"/>
        </w:rPr>
        <w:t xml:space="preserve">The bulbous ovular head of the proximal femoral end in </w:t>
      </w:r>
      <w:r w:rsidR="001E6ACB">
        <w:rPr>
          <w:i/>
          <w:iCs/>
          <w:color w:val="000000" w:themeColor="text1"/>
        </w:rPr>
        <w:t>E. micropodia</w:t>
      </w:r>
      <w:r w:rsidR="00E21357" w:rsidRPr="00062F7E">
        <w:rPr>
          <w:color w:val="000000" w:themeColor="text1"/>
        </w:rPr>
        <w:t xml:space="preserve">, </w:t>
      </w:r>
      <w:r w:rsidR="001E6ACB">
        <w:rPr>
          <w:i/>
          <w:iCs/>
          <w:color w:val="000000" w:themeColor="text1"/>
        </w:rPr>
        <w:t>R. monbaroni</w:t>
      </w:r>
      <w:r w:rsidR="00E21357" w:rsidRPr="00062F7E">
        <w:rPr>
          <w:color w:val="000000" w:themeColor="text1"/>
        </w:rPr>
        <w:t xml:space="preserve">, and </w:t>
      </w:r>
      <w:r w:rsidR="001E6ACB">
        <w:rPr>
          <w:i/>
          <w:iCs/>
          <w:color w:val="000000" w:themeColor="text1"/>
        </w:rPr>
        <w:t>F. gilmorei</w:t>
      </w:r>
      <w:r w:rsidR="001E6ACB" w:rsidRPr="00062F7E">
        <w:rPr>
          <w:i/>
          <w:iCs/>
          <w:color w:val="000000" w:themeColor="text1"/>
        </w:rPr>
        <w:t xml:space="preserve"> </w:t>
      </w:r>
      <w:r w:rsidR="00E21357" w:rsidRPr="00062F7E">
        <w:rPr>
          <w:color w:val="000000" w:themeColor="text1"/>
        </w:rPr>
        <w:t>differs from the more anteroposteriorly elongate form present in dissorophoids and caudates (Jenkins et al., 2007; Carrol</w:t>
      </w:r>
      <w:r w:rsidR="00700A33">
        <w:rPr>
          <w:color w:val="000000" w:themeColor="text1"/>
        </w:rPr>
        <w:t>l,</w:t>
      </w:r>
      <w:r w:rsidR="00E21357" w:rsidRPr="00062F7E">
        <w:rPr>
          <w:color w:val="000000" w:themeColor="text1"/>
        </w:rPr>
        <w:t xml:space="preserve"> 2007).</w:t>
      </w:r>
      <w:bookmarkEnd w:id="10"/>
      <w:r w:rsidR="001D73E1" w:rsidRPr="00062F7E">
        <w:rPr>
          <w:color w:val="000000" w:themeColor="text1"/>
        </w:rPr>
        <w:t xml:space="preserve"> </w:t>
      </w:r>
    </w:p>
    <w:p w14:paraId="31F9AF27" w14:textId="52C1374B" w:rsidR="0072320A" w:rsidRPr="00062F7E" w:rsidRDefault="0072320A" w:rsidP="00662B68">
      <w:pPr>
        <w:rPr>
          <w:color w:val="000000" w:themeColor="text1"/>
        </w:rPr>
      </w:pPr>
    </w:p>
    <w:p w14:paraId="1A9A5BF7" w14:textId="77777777" w:rsidR="005D19DB" w:rsidRDefault="005D19DB" w:rsidP="009C1A18">
      <w:pPr>
        <w:rPr>
          <w:b/>
          <w:bCs/>
          <w:color w:val="000000" w:themeColor="text1"/>
          <w:sz w:val="28"/>
          <w:szCs w:val="28"/>
        </w:rPr>
      </w:pPr>
    </w:p>
    <w:p w14:paraId="0D6FD8A3" w14:textId="77777777" w:rsidR="005D19DB" w:rsidRDefault="005D19DB" w:rsidP="009C1A18">
      <w:pPr>
        <w:rPr>
          <w:b/>
          <w:bCs/>
          <w:color w:val="000000" w:themeColor="text1"/>
          <w:sz w:val="28"/>
          <w:szCs w:val="28"/>
        </w:rPr>
      </w:pPr>
    </w:p>
    <w:p w14:paraId="28766008" w14:textId="77777777" w:rsidR="005D19DB" w:rsidRDefault="005D19DB" w:rsidP="009C1A18">
      <w:pPr>
        <w:rPr>
          <w:b/>
          <w:bCs/>
          <w:color w:val="000000" w:themeColor="text1"/>
          <w:sz w:val="28"/>
          <w:szCs w:val="28"/>
        </w:rPr>
      </w:pPr>
    </w:p>
    <w:p w14:paraId="3139D103" w14:textId="77777777" w:rsidR="005D19DB" w:rsidRDefault="005D19DB" w:rsidP="009C1A18">
      <w:pPr>
        <w:rPr>
          <w:b/>
          <w:bCs/>
          <w:color w:val="000000" w:themeColor="text1"/>
          <w:sz w:val="28"/>
          <w:szCs w:val="28"/>
        </w:rPr>
      </w:pPr>
    </w:p>
    <w:p w14:paraId="50240F39" w14:textId="77777777" w:rsidR="005D19DB" w:rsidRDefault="005D19DB" w:rsidP="009C1A18">
      <w:pPr>
        <w:rPr>
          <w:b/>
          <w:bCs/>
          <w:color w:val="000000" w:themeColor="text1"/>
          <w:sz w:val="28"/>
          <w:szCs w:val="28"/>
        </w:rPr>
      </w:pPr>
    </w:p>
    <w:p w14:paraId="793626A3" w14:textId="77777777" w:rsidR="005D19DB" w:rsidRDefault="005D19DB" w:rsidP="009C1A18">
      <w:pPr>
        <w:rPr>
          <w:b/>
          <w:bCs/>
          <w:color w:val="000000" w:themeColor="text1"/>
          <w:sz w:val="28"/>
          <w:szCs w:val="28"/>
        </w:rPr>
      </w:pPr>
    </w:p>
    <w:p w14:paraId="6D6871D3" w14:textId="77777777" w:rsidR="005D19DB" w:rsidRDefault="005D19DB" w:rsidP="009C1A18">
      <w:pPr>
        <w:rPr>
          <w:b/>
          <w:bCs/>
          <w:color w:val="000000" w:themeColor="text1"/>
          <w:sz w:val="28"/>
          <w:szCs w:val="28"/>
        </w:rPr>
      </w:pPr>
    </w:p>
    <w:p w14:paraId="3F66B479" w14:textId="77777777" w:rsidR="005D19DB" w:rsidRDefault="005D19DB" w:rsidP="009C1A18">
      <w:pPr>
        <w:rPr>
          <w:b/>
          <w:bCs/>
          <w:color w:val="000000" w:themeColor="text1"/>
          <w:sz w:val="28"/>
          <w:szCs w:val="28"/>
        </w:rPr>
      </w:pPr>
    </w:p>
    <w:p w14:paraId="66237690" w14:textId="77777777" w:rsidR="005D19DB" w:rsidRDefault="005D19DB" w:rsidP="009C1A18">
      <w:pPr>
        <w:rPr>
          <w:b/>
          <w:bCs/>
          <w:color w:val="000000" w:themeColor="text1"/>
          <w:sz w:val="28"/>
          <w:szCs w:val="28"/>
        </w:rPr>
      </w:pPr>
    </w:p>
    <w:p w14:paraId="40D558C0" w14:textId="77777777" w:rsidR="005D19DB" w:rsidRDefault="005D19DB" w:rsidP="009C1A18">
      <w:pPr>
        <w:rPr>
          <w:b/>
          <w:bCs/>
          <w:color w:val="000000" w:themeColor="text1"/>
          <w:sz w:val="28"/>
          <w:szCs w:val="28"/>
        </w:rPr>
      </w:pPr>
    </w:p>
    <w:p w14:paraId="7B3B7339" w14:textId="77777777" w:rsidR="005D19DB" w:rsidRDefault="005D19DB" w:rsidP="009C1A18">
      <w:pPr>
        <w:rPr>
          <w:b/>
          <w:bCs/>
          <w:color w:val="000000" w:themeColor="text1"/>
          <w:sz w:val="28"/>
          <w:szCs w:val="28"/>
        </w:rPr>
      </w:pPr>
    </w:p>
    <w:p w14:paraId="57E45AE1" w14:textId="77777777" w:rsidR="005D19DB" w:rsidRDefault="005D19DB" w:rsidP="009C1A18">
      <w:pPr>
        <w:rPr>
          <w:b/>
          <w:bCs/>
          <w:color w:val="000000" w:themeColor="text1"/>
          <w:sz w:val="28"/>
          <w:szCs w:val="28"/>
        </w:rPr>
      </w:pPr>
    </w:p>
    <w:p w14:paraId="47CA303C" w14:textId="77777777" w:rsidR="005D19DB" w:rsidRDefault="005D19DB" w:rsidP="009C1A18">
      <w:pPr>
        <w:rPr>
          <w:b/>
          <w:bCs/>
          <w:color w:val="000000" w:themeColor="text1"/>
          <w:sz w:val="28"/>
          <w:szCs w:val="28"/>
        </w:rPr>
      </w:pPr>
    </w:p>
    <w:p w14:paraId="38206F9F" w14:textId="77777777" w:rsidR="005D19DB" w:rsidRDefault="005D19DB" w:rsidP="009C1A18">
      <w:pPr>
        <w:rPr>
          <w:b/>
          <w:bCs/>
          <w:color w:val="000000" w:themeColor="text1"/>
          <w:sz w:val="28"/>
          <w:szCs w:val="28"/>
        </w:rPr>
      </w:pPr>
    </w:p>
    <w:p w14:paraId="3F1216C5" w14:textId="77777777" w:rsidR="005D19DB" w:rsidRDefault="005D19DB" w:rsidP="009C1A18">
      <w:pPr>
        <w:rPr>
          <w:b/>
          <w:bCs/>
          <w:color w:val="000000" w:themeColor="text1"/>
          <w:sz w:val="28"/>
          <w:szCs w:val="28"/>
        </w:rPr>
      </w:pPr>
    </w:p>
    <w:p w14:paraId="47B7FA59" w14:textId="77777777" w:rsidR="005D19DB" w:rsidRDefault="005D19DB" w:rsidP="009C1A18">
      <w:pPr>
        <w:rPr>
          <w:b/>
          <w:bCs/>
          <w:color w:val="000000" w:themeColor="text1"/>
          <w:sz w:val="28"/>
          <w:szCs w:val="28"/>
        </w:rPr>
      </w:pPr>
    </w:p>
    <w:p w14:paraId="3DE703D0" w14:textId="77777777" w:rsidR="005D19DB" w:rsidRDefault="005D19DB" w:rsidP="009C1A18">
      <w:pPr>
        <w:rPr>
          <w:b/>
          <w:bCs/>
          <w:color w:val="000000" w:themeColor="text1"/>
          <w:sz w:val="28"/>
          <w:szCs w:val="28"/>
        </w:rPr>
      </w:pPr>
    </w:p>
    <w:p w14:paraId="1EA5FBC5" w14:textId="77777777" w:rsidR="005D19DB" w:rsidRDefault="005D19DB" w:rsidP="009C1A18">
      <w:pPr>
        <w:rPr>
          <w:b/>
          <w:bCs/>
          <w:color w:val="000000" w:themeColor="text1"/>
          <w:sz w:val="28"/>
          <w:szCs w:val="28"/>
        </w:rPr>
      </w:pPr>
    </w:p>
    <w:p w14:paraId="0E67B9C8" w14:textId="77777777" w:rsidR="005D19DB" w:rsidRDefault="005D19DB" w:rsidP="009C1A18">
      <w:pPr>
        <w:rPr>
          <w:b/>
          <w:bCs/>
          <w:color w:val="000000" w:themeColor="text1"/>
          <w:sz w:val="28"/>
          <w:szCs w:val="28"/>
        </w:rPr>
      </w:pPr>
    </w:p>
    <w:p w14:paraId="14DB2242" w14:textId="77777777" w:rsidR="005D19DB" w:rsidRDefault="005D19DB" w:rsidP="009C1A18">
      <w:pPr>
        <w:rPr>
          <w:b/>
          <w:bCs/>
          <w:color w:val="000000" w:themeColor="text1"/>
          <w:sz w:val="28"/>
          <w:szCs w:val="28"/>
        </w:rPr>
      </w:pPr>
    </w:p>
    <w:p w14:paraId="326ECFCE" w14:textId="77777777" w:rsidR="005D19DB" w:rsidRDefault="005D19DB" w:rsidP="009C1A18">
      <w:pPr>
        <w:rPr>
          <w:b/>
          <w:bCs/>
          <w:color w:val="000000" w:themeColor="text1"/>
          <w:sz w:val="28"/>
          <w:szCs w:val="28"/>
        </w:rPr>
      </w:pPr>
    </w:p>
    <w:p w14:paraId="633C7A45" w14:textId="77777777" w:rsidR="005D19DB" w:rsidRDefault="005D19DB" w:rsidP="009C1A18">
      <w:pPr>
        <w:rPr>
          <w:b/>
          <w:bCs/>
          <w:color w:val="000000" w:themeColor="text1"/>
          <w:sz w:val="28"/>
          <w:szCs w:val="28"/>
        </w:rPr>
      </w:pPr>
    </w:p>
    <w:p w14:paraId="06463AFF" w14:textId="77777777" w:rsidR="005D19DB" w:rsidRDefault="005D19DB" w:rsidP="009C1A18">
      <w:pPr>
        <w:rPr>
          <w:b/>
          <w:bCs/>
          <w:color w:val="000000" w:themeColor="text1"/>
          <w:sz w:val="28"/>
          <w:szCs w:val="28"/>
        </w:rPr>
      </w:pPr>
    </w:p>
    <w:p w14:paraId="5E33A428" w14:textId="77777777" w:rsidR="005D19DB" w:rsidRDefault="005D19DB" w:rsidP="009C1A18">
      <w:pPr>
        <w:rPr>
          <w:b/>
          <w:bCs/>
          <w:color w:val="000000" w:themeColor="text1"/>
          <w:sz w:val="28"/>
          <w:szCs w:val="28"/>
        </w:rPr>
      </w:pPr>
    </w:p>
    <w:p w14:paraId="6FCC85C9" w14:textId="77777777" w:rsidR="005D19DB" w:rsidRDefault="005D19DB" w:rsidP="009C1A18">
      <w:pPr>
        <w:rPr>
          <w:b/>
          <w:bCs/>
          <w:color w:val="000000" w:themeColor="text1"/>
          <w:sz w:val="28"/>
          <w:szCs w:val="28"/>
        </w:rPr>
      </w:pPr>
    </w:p>
    <w:p w14:paraId="03812D8A" w14:textId="77777777" w:rsidR="005D19DB" w:rsidRDefault="005D19DB" w:rsidP="009C1A18">
      <w:pPr>
        <w:rPr>
          <w:b/>
          <w:bCs/>
          <w:color w:val="000000" w:themeColor="text1"/>
          <w:sz w:val="28"/>
          <w:szCs w:val="28"/>
        </w:rPr>
      </w:pPr>
    </w:p>
    <w:p w14:paraId="2EDC8265" w14:textId="77777777" w:rsidR="005D19DB" w:rsidRDefault="005D19DB" w:rsidP="009C1A18">
      <w:pPr>
        <w:rPr>
          <w:b/>
          <w:bCs/>
          <w:color w:val="000000" w:themeColor="text1"/>
          <w:sz w:val="28"/>
          <w:szCs w:val="28"/>
        </w:rPr>
      </w:pPr>
    </w:p>
    <w:p w14:paraId="737F4391" w14:textId="77777777" w:rsidR="005D19DB" w:rsidRDefault="005D19DB" w:rsidP="009C1A18">
      <w:pPr>
        <w:rPr>
          <w:b/>
          <w:bCs/>
          <w:color w:val="000000" w:themeColor="text1"/>
          <w:sz w:val="28"/>
          <w:szCs w:val="28"/>
        </w:rPr>
      </w:pPr>
    </w:p>
    <w:p w14:paraId="7A7438CB" w14:textId="6C78DB3A" w:rsidR="00D601E1" w:rsidRDefault="00511315" w:rsidP="009C1A18">
      <w:pPr>
        <w:rPr>
          <w:b/>
          <w:bCs/>
          <w:color w:val="000000" w:themeColor="text1"/>
          <w:sz w:val="28"/>
          <w:szCs w:val="28"/>
        </w:rPr>
      </w:pPr>
      <w:r>
        <w:rPr>
          <w:b/>
          <w:bCs/>
          <w:color w:val="000000" w:themeColor="text1"/>
          <w:sz w:val="28"/>
          <w:szCs w:val="28"/>
        </w:rPr>
        <w:t>3</w:t>
      </w:r>
      <w:r w:rsidR="00001691">
        <w:rPr>
          <w:b/>
          <w:bCs/>
          <w:color w:val="000000" w:themeColor="text1"/>
          <w:sz w:val="28"/>
          <w:szCs w:val="28"/>
        </w:rPr>
        <w:t xml:space="preserve">. </w:t>
      </w:r>
      <w:r w:rsidR="0072320A" w:rsidRPr="00662B68">
        <w:rPr>
          <w:b/>
          <w:bCs/>
          <w:color w:val="000000" w:themeColor="text1"/>
          <w:sz w:val="28"/>
          <w:szCs w:val="28"/>
        </w:rPr>
        <w:t xml:space="preserve">Comparisons to stereospondyl temnospondyls and </w:t>
      </w:r>
      <w:r w:rsidR="0072320A" w:rsidRPr="00662B68">
        <w:rPr>
          <w:b/>
          <w:bCs/>
          <w:i/>
          <w:iCs/>
          <w:color w:val="000000" w:themeColor="text1"/>
          <w:sz w:val="28"/>
          <w:szCs w:val="28"/>
        </w:rPr>
        <w:t>Chinlestegophis jenkinsi</w:t>
      </w:r>
    </w:p>
    <w:p w14:paraId="07B65DDA" w14:textId="77777777" w:rsidR="00001691" w:rsidRPr="00662B68" w:rsidRDefault="00001691" w:rsidP="00662B68">
      <w:pPr>
        <w:rPr>
          <w:b/>
          <w:bCs/>
          <w:color w:val="000000" w:themeColor="text1"/>
          <w:sz w:val="28"/>
          <w:szCs w:val="28"/>
        </w:rPr>
      </w:pPr>
    </w:p>
    <w:p w14:paraId="31AE8374" w14:textId="4EC9FBFF" w:rsidR="0072320A" w:rsidRPr="00062F7E" w:rsidRDefault="0072320A" w:rsidP="00662B68">
      <w:pPr>
        <w:ind w:firstLine="720"/>
        <w:rPr>
          <w:color w:val="000000" w:themeColor="text1"/>
        </w:rPr>
      </w:pPr>
      <w:r w:rsidRPr="00062F7E">
        <w:rPr>
          <w:b/>
          <w:bCs/>
          <w:color w:val="000000" w:themeColor="text1"/>
        </w:rPr>
        <w:t xml:space="preserve"> </w:t>
      </w:r>
      <w:r w:rsidRPr="00062F7E">
        <w:rPr>
          <w:color w:val="000000" w:themeColor="text1"/>
        </w:rPr>
        <w:t xml:space="preserve">The recently described diminutive stereospondyl </w:t>
      </w:r>
      <w:r w:rsidRPr="00062F7E">
        <w:rPr>
          <w:i/>
          <w:iCs/>
          <w:color w:val="000000" w:themeColor="text1"/>
        </w:rPr>
        <w:t>Chinlestegophis jenkinsi</w:t>
      </w:r>
      <w:r w:rsidRPr="00062F7E">
        <w:rPr>
          <w:color w:val="000000" w:themeColor="text1"/>
        </w:rPr>
        <w:t xml:space="preserve"> possesses several features possibly homologous to morphologies present in </w:t>
      </w:r>
      <w:r w:rsidRPr="00062F7E">
        <w:rPr>
          <w:i/>
          <w:iCs/>
          <w:color w:val="000000" w:themeColor="text1"/>
        </w:rPr>
        <w:t>Eocaecilia</w:t>
      </w:r>
      <w:r w:rsidRPr="00062F7E">
        <w:rPr>
          <w:color w:val="000000" w:themeColor="text1"/>
        </w:rPr>
        <w:t xml:space="preserve"> </w:t>
      </w:r>
      <w:r w:rsidR="00394DF1">
        <w:rPr>
          <w:i/>
          <w:iCs/>
          <w:color w:val="000000" w:themeColor="text1"/>
        </w:rPr>
        <w:t xml:space="preserve">micropodia </w:t>
      </w:r>
      <w:r w:rsidRPr="00062F7E">
        <w:rPr>
          <w:color w:val="000000" w:themeColor="text1"/>
        </w:rPr>
        <w:t xml:space="preserve">and gymnophionans, leading to a novel hypothesis that </w:t>
      </w:r>
      <w:r w:rsidR="00394DF1">
        <w:rPr>
          <w:i/>
          <w:iCs/>
          <w:color w:val="000000" w:themeColor="text1"/>
        </w:rPr>
        <w:t>E. micropodia</w:t>
      </w:r>
      <w:r w:rsidR="00394DF1" w:rsidRPr="00062F7E">
        <w:rPr>
          <w:color w:val="000000" w:themeColor="text1"/>
        </w:rPr>
        <w:t xml:space="preserve"> </w:t>
      </w:r>
      <w:r w:rsidRPr="00062F7E">
        <w:rPr>
          <w:color w:val="000000" w:themeColor="text1"/>
        </w:rPr>
        <w:t xml:space="preserve">and gymnophionans </w:t>
      </w:r>
      <w:r w:rsidR="001A0C7D">
        <w:rPr>
          <w:color w:val="000000" w:themeColor="text1"/>
        </w:rPr>
        <w:t xml:space="preserve">form a </w:t>
      </w:r>
      <w:r w:rsidRPr="00062F7E">
        <w:rPr>
          <w:color w:val="000000" w:themeColor="text1"/>
        </w:rPr>
        <w:t xml:space="preserve">sister </w:t>
      </w:r>
      <w:r w:rsidR="001A0C7D">
        <w:rPr>
          <w:color w:val="000000" w:themeColor="text1"/>
        </w:rPr>
        <w:t xml:space="preserve">clade </w:t>
      </w:r>
      <w:r w:rsidRPr="00062F7E">
        <w:rPr>
          <w:color w:val="000000" w:themeColor="text1"/>
        </w:rPr>
        <w:t xml:space="preserve">to </w:t>
      </w:r>
      <w:r w:rsidR="00394DF1">
        <w:rPr>
          <w:i/>
          <w:iCs/>
          <w:color w:val="000000" w:themeColor="text1"/>
        </w:rPr>
        <w:t>C. jenkinsi</w:t>
      </w:r>
      <w:r w:rsidR="00394DF1" w:rsidRPr="00062F7E">
        <w:rPr>
          <w:i/>
          <w:iCs/>
          <w:color w:val="000000" w:themeColor="text1"/>
        </w:rPr>
        <w:t xml:space="preserve"> </w:t>
      </w:r>
      <w:r w:rsidRPr="00062F7E">
        <w:rPr>
          <w:color w:val="000000" w:themeColor="text1"/>
        </w:rPr>
        <w:t>and nested within stereospondyl temnospondyls</w:t>
      </w:r>
      <w:r w:rsidRPr="00062F7E">
        <w:rPr>
          <w:i/>
          <w:iCs/>
          <w:color w:val="000000" w:themeColor="text1"/>
        </w:rPr>
        <w:t xml:space="preserve"> </w:t>
      </w:r>
      <w:r w:rsidRPr="00062F7E">
        <w:rPr>
          <w:color w:val="000000" w:themeColor="text1"/>
        </w:rPr>
        <w:t>(Pardo et al., 2017a)</w:t>
      </w:r>
      <w:r w:rsidRPr="00062F7E">
        <w:rPr>
          <w:i/>
          <w:iCs/>
          <w:color w:val="000000" w:themeColor="text1"/>
        </w:rPr>
        <w:t xml:space="preserve">. </w:t>
      </w:r>
      <w:r w:rsidRPr="00062F7E">
        <w:rPr>
          <w:color w:val="000000" w:themeColor="text1"/>
        </w:rPr>
        <w:t xml:space="preserve">Based on the phylogenetic results of Pardo et al. (2017a), ‘higher temnospondyls,’ including Stereospondyli, are included within total group Lissamphibia, recalibrating the estimated gymnophionan-batrachian divergence to at least 315 Ma. The results of this study have been contested by subsequent studies on differing grounds, which are </w:t>
      </w:r>
      <w:r w:rsidR="00947D33">
        <w:rPr>
          <w:color w:val="000000" w:themeColor="text1"/>
        </w:rPr>
        <w:t>detailed and expanded upon</w:t>
      </w:r>
      <w:r w:rsidR="00947D33" w:rsidRPr="00062F7E">
        <w:rPr>
          <w:color w:val="000000" w:themeColor="text1"/>
        </w:rPr>
        <w:t xml:space="preserve"> </w:t>
      </w:r>
      <w:r w:rsidRPr="00062F7E">
        <w:rPr>
          <w:color w:val="000000" w:themeColor="text1"/>
        </w:rPr>
        <w:t xml:space="preserve">below. </w:t>
      </w:r>
    </w:p>
    <w:p w14:paraId="0EF5CF89" w14:textId="77777777" w:rsidR="0072320A" w:rsidRPr="00062F7E" w:rsidRDefault="0072320A" w:rsidP="00662B68">
      <w:pPr>
        <w:rPr>
          <w:color w:val="000000" w:themeColor="text1"/>
        </w:rPr>
      </w:pPr>
    </w:p>
    <w:p w14:paraId="07277ECF" w14:textId="1266DA3B" w:rsidR="0072320A" w:rsidRPr="00062F7E" w:rsidRDefault="0072320A" w:rsidP="00662B68">
      <w:pPr>
        <w:rPr>
          <w:color w:val="000000" w:themeColor="text1"/>
        </w:rPr>
      </w:pPr>
      <w:r w:rsidRPr="00662B68">
        <w:rPr>
          <w:b/>
          <w:bCs/>
          <w:color w:val="000000" w:themeColor="text1"/>
        </w:rPr>
        <w:t>Phylogenetic analyses</w:t>
      </w:r>
      <w:r w:rsidRPr="00062F7E">
        <w:rPr>
          <w:i/>
          <w:iCs/>
          <w:color w:val="000000" w:themeColor="text1"/>
        </w:rPr>
        <w:t xml:space="preserve">. </w:t>
      </w:r>
      <w:r w:rsidRPr="00062F7E">
        <w:rPr>
          <w:color w:val="000000" w:themeColor="text1"/>
        </w:rPr>
        <w:t xml:space="preserve">Methodologically, Silva </w:t>
      </w:r>
      <w:r w:rsidR="00B61176">
        <w:rPr>
          <w:color w:val="000000" w:themeColor="text1"/>
        </w:rPr>
        <w:t xml:space="preserve">&amp; </w:t>
      </w:r>
      <w:r w:rsidRPr="00062F7E">
        <w:rPr>
          <w:color w:val="000000" w:themeColor="text1"/>
        </w:rPr>
        <w:t xml:space="preserve">Wilkinson (2021) used the dataset of Pardo et al. (2017a) as a case study for ‘large island </w:t>
      </w:r>
      <w:proofErr w:type="spellStart"/>
      <w:r w:rsidRPr="00062F7E">
        <w:rPr>
          <w:color w:val="000000" w:themeColor="text1"/>
        </w:rPr>
        <w:t>bias’</w:t>
      </w:r>
      <w:proofErr w:type="spellEnd"/>
      <w:r w:rsidRPr="00062F7E">
        <w:rPr>
          <w:color w:val="000000" w:themeColor="text1"/>
        </w:rPr>
        <w:t xml:space="preserve"> in the majority rule consensus, the topology that Pardo et al.</w:t>
      </w:r>
      <w:r w:rsidR="00E21357" w:rsidRPr="00062F7E">
        <w:rPr>
          <w:color w:val="000000" w:themeColor="text1"/>
        </w:rPr>
        <w:t xml:space="preserve"> (2017a)</w:t>
      </w:r>
      <w:r w:rsidRPr="00062F7E">
        <w:rPr>
          <w:color w:val="000000" w:themeColor="text1"/>
        </w:rPr>
        <w:t xml:space="preserve"> used to summarize their most parsimonious trees (MPTs; figure S7 of Pardo et al.</w:t>
      </w:r>
      <w:r w:rsidR="00E21357" w:rsidRPr="00062F7E">
        <w:rPr>
          <w:color w:val="000000" w:themeColor="text1"/>
        </w:rPr>
        <w:t>, 2017a</w:t>
      </w:r>
      <w:r w:rsidRPr="00062F7E">
        <w:rPr>
          <w:color w:val="000000" w:themeColor="text1"/>
        </w:rPr>
        <w:t xml:space="preserve">). Silva </w:t>
      </w:r>
      <w:r w:rsidR="00E35118">
        <w:rPr>
          <w:color w:val="000000" w:themeColor="text1"/>
        </w:rPr>
        <w:t>&amp;</w:t>
      </w:r>
      <w:r w:rsidRPr="00062F7E">
        <w:rPr>
          <w:color w:val="000000" w:themeColor="text1"/>
        </w:rPr>
        <w:t xml:space="preserve"> Wilkinson</w:t>
      </w:r>
      <w:r w:rsidR="00E21357" w:rsidRPr="00062F7E">
        <w:rPr>
          <w:color w:val="000000" w:themeColor="text1"/>
        </w:rPr>
        <w:t xml:space="preserve"> (2021)</w:t>
      </w:r>
      <w:r w:rsidRPr="00062F7E">
        <w:rPr>
          <w:color w:val="000000" w:themeColor="text1"/>
        </w:rPr>
        <w:t xml:space="preserve"> identified five different islands, with the largest island comprising more than half of the 882 MPTs and thus strongly influencing the total 50%-majority rule consensus. </w:t>
      </w:r>
      <w:r w:rsidR="00AB3923">
        <w:rPr>
          <w:color w:val="000000" w:themeColor="text1"/>
        </w:rPr>
        <w:t>Though</w:t>
      </w:r>
      <w:r w:rsidR="00AB3923" w:rsidRPr="00062F7E">
        <w:rPr>
          <w:color w:val="000000" w:themeColor="text1"/>
        </w:rPr>
        <w:t xml:space="preserve"> </w:t>
      </w:r>
      <w:r w:rsidRPr="00062F7E">
        <w:rPr>
          <w:color w:val="000000" w:themeColor="text1"/>
        </w:rPr>
        <w:t xml:space="preserve">the largest island’s consensus recovers the </w:t>
      </w:r>
      <w:proofErr w:type="spellStart"/>
      <w:r w:rsidRPr="00062F7E">
        <w:rPr>
          <w:color w:val="000000" w:themeColor="text1"/>
        </w:rPr>
        <w:t>diphyletic</w:t>
      </w:r>
      <w:proofErr w:type="spellEnd"/>
      <w:r w:rsidRPr="00062F7E">
        <w:rPr>
          <w:color w:val="000000" w:themeColor="text1"/>
        </w:rPr>
        <w:t xml:space="preserve"> origin of Lissamphibia </w:t>
      </w:r>
      <w:r w:rsidR="00747F34">
        <w:rPr>
          <w:color w:val="000000" w:themeColor="text1"/>
        </w:rPr>
        <w:t>for which</w:t>
      </w:r>
      <w:r w:rsidR="00747F34" w:rsidRPr="00062F7E">
        <w:rPr>
          <w:color w:val="000000" w:themeColor="text1"/>
        </w:rPr>
        <w:t xml:space="preserve"> </w:t>
      </w:r>
      <w:r w:rsidRPr="00062F7E">
        <w:rPr>
          <w:color w:val="000000" w:themeColor="text1"/>
        </w:rPr>
        <w:t>Pardo et al.</w:t>
      </w:r>
      <w:r w:rsidR="00E21357" w:rsidRPr="00062F7E">
        <w:rPr>
          <w:color w:val="000000" w:themeColor="text1"/>
        </w:rPr>
        <w:t xml:space="preserve"> (2017a)</w:t>
      </w:r>
      <w:r w:rsidRPr="00062F7E">
        <w:rPr>
          <w:color w:val="000000" w:themeColor="text1"/>
        </w:rPr>
        <w:t xml:space="preserve"> advocate</w:t>
      </w:r>
      <w:r w:rsidR="00AB3923">
        <w:rPr>
          <w:color w:val="000000" w:themeColor="text1"/>
        </w:rPr>
        <w:t>d</w:t>
      </w:r>
      <w:r w:rsidRPr="00062F7E">
        <w:rPr>
          <w:color w:val="000000" w:themeColor="text1"/>
        </w:rPr>
        <w:t xml:space="preserve">, three of the other islands of their analysis recover the traditional single origin of Lissamphibia from within Dissorophoidea (Silva </w:t>
      </w:r>
      <w:r w:rsidR="00253E8B">
        <w:rPr>
          <w:color w:val="000000" w:themeColor="text1"/>
        </w:rPr>
        <w:t xml:space="preserve">&amp; </w:t>
      </w:r>
      <w:r w:rsidRPr="00062F7E">
        <w:rPr>
          <w:color w:val="000000" w:themeColor="text1"/>
        </w:rPr>
        <w:t>Wilkinson, 2021). These islands are smaller, but as demonstrated by Sumrall et al. (2001), island size is not a reliable proxy for support</w:t>
      </w:r>
      <w:r w:rsidR="00F63CF4">
        <w:rPr>
          <w:color w:val="000000" w:themeColor="text1"/>
        </w:rPr>
        <w:t>,</w:t>
      </w:r>
      <w:r w:rsidRPr="00062F7E">
        <w:rPr>
          <w:color w:val="000000" w:themeColor="text1"/>
        </w:rPr>
        <w:t xml:space="preserve"> and large island size may reflect a higher degree of instability. The traditional topology of a monophyletic lissamphibian origin from Dissorophoidea is therefore equally parsimonious </w:t>
      </w:r>
      <w:r w:rsidR="00337A4B">
        <w:rPr>
          <w:color w:val="000000" w:themeColor="text1"/>
        </w:rPr>
        <w:t>with</w:t>
      </w:r>
      <w:r w:rsidRPr="00062F7E">
        <w:rPr>
          <w:color w:val="000000" w:themeColor="text1"/>
        </w:rPr>
        <w:t xml:space="preserve"> the novel </w:t>
      </w:r>
      <w:proofErr w:type="spellStart"/>
      <w:r w:rsidRPr="00062F7E">
        <w:rPr>
          <w:color w:val="000000" w:themeColor="text1"/>
        </w:rPr>
        <w:t>diphyletic</w:t>
      </w:r>
      <w:proofErr w:type="spellEnd"/>
      <w:r w:rsidRPr="00062F7E">
        <w:rPr>
          <w:color w:val="000000" w:themeColor="text1"/>
        </w:rPr>
        <w:t xml:space="preserve"> origin presented by Pardo et al.</w:t>
      </w:r>
      <w:r w:rsidR="00E21357" w:rsidRPr="00062F7E">
        <w:rPr>
          <w:color w:val="000000" w:themeColor="text1"/>
        </w:rPr>
        <w:t xml:space="preserve"> (2017a)</w:t>
      </w:r>
      <w:r w:rsidR="00F63CF4">
        <w:rPr>
          <w:color w:val="000000" w:themeColor="text1"/>
        </w:rPr>
        <w:t xml:space="preserve"> in that study</w:t>
      </w:r>
      <w:r w:rsidR="00E21357" w:rsidRPr="00062F7E">
        <w:rPr>
          <w:color w:val="000000" w:themeColor="text1"/>
        </w:rPr>
        <w:t>.</w:t>
      </w:r>
      <w:r w:rsidR="00CC2C1B">
        <w:rPr>
          <w:color w:val="000000" w:themeColor="text1"/>
        </w:rPr>
        <w:t xml:space="preserve"> Large island bias is particularly relevant for interpreting the</w:t>
      </w:r>
      <w:r w:rsidRPr="00062F7E">
        <w:rPr>
          <w:color w:val="000000" w:themeColor="text1"/>
        </w:rPr>
        <w:t xml:space="preserve"> results of Pardo et al. (2017a)</w:t>
      </w:r>
      <w:r w:rsidR="00CC2C1B">
        <w:rPr>
          <w:color w:val="000000" w:themeColor="text1"/>
        </w:rPr>
        <w:t xml:space="preserve"> because the majority-rule topology is the only one that they present</w:t>
      </w:r>
      <w:r w:rsidR="00AB3923">
        <w:rPr>
          <w:color w:val="000000" w:themeColor="text1"/>
        </w:rPr>
        <w:t>ed</w:t>
      </w:r>
      <w:r w:rsidR="00CC2C1B">
        <w:rPr>
          <w:color w:val="000000" w:themeColor="text1"/>
        </w:rPr>
        <w:t xml:space="preserve"> for their parsimony analysis; they</w:t>
      </w:r>
      <w:r w:rsidRPr="00062F7E">
        <w:rPr>
          <w:color w:val="000000" w:themeColor="text1"/>
        </w:rPr>
        <w:t xml:space="preserve"> d</w:t>
      </w:r>
      <w:r w:rsidR="00AB3923">
        <w:rPr>
          <w:color w:val="000000" w:themeColor="text1"/>
        </w:rPr>
        <w:t>id</w:t>
      </w:r>
      <w:r w:rsidRPr="00062F7E">
        <w:rPr>
          <w:color w:val="000000" w:themeColor="text1"/>
        </w:rPr>
        <w:t xml:space="preserve"> not include the strict consensus in either the text or in the supplemental information, but it can be derived from their reported nodal frequencies. The strict consensus topology is poorly resolved, with most major temnospondyl clades not recovered</w:t>
      </w:r>
      <w:r w:rsidR="00334092">
        <w:rPr>
          <w:color w:val="000000" w:themeColor="text1"/>
        </w:rPr>
        <w:t>;</w:t>
      </w:r>
      <w:r w:rsidR="004E1C9D">
        <w:rPr>
          <w:color w:val="000000" w:themeColor="text1"/>
        </w:rPr>
        <w:t xml:space="preserve"> </w:t>
      </w:r>
      <w:r w:rsidR="00AB3923">
        <w:rPr>
          <w:color w:val="000000" w:themeColor="text1"/>
        </w:rPr>
        <w:t xml:space="preserve">those </w:t>
      </w:r>
      <w:r w:rsidR="004E1C9D">
        <w:rPr>
          <w:color w:val="000000" w:themeColor="text1"/>
        </w:rPr>
        <w:t xml:space="preserve">results </w:t>
      </w:r>
      <w:r w:rsidR="00B5547A">
        <w:rPr>
          <w:color w:val="000000" w:themeColor="text1"/>
        </w:rPr>
        <w:t>differ</w:t>
      </w:r>
      <w:r w:rsidR="00AB3923">
        <w:rPr>
          <w:color w:val="000000" w:themeColor="text1"/>
        </w:rPr>
        <w:t>ed</w:t>
      </w:r>
      <w:r w:rsidR="00B5547A">
        <w:rPr>
          <w:color w:val="000000" w:themeColor="text1"/>
        </w:rPr>
        <w:t xml:space="preserve"> from the </w:t>
      </w:r>
      <w:r w:rsidR="0024724F">
        <w:rPr>
          <w:color w:val="000000" w:themeColor="text1"/>
        </w:rPr>
        <w:t xml:space="preserve">topology </w:t>
      </w:r>
      <w:r w:rsidR="00B70838">
        <w:rPr>
          <w:color w:val="000000" w:themeColor="text1"/>
        </w:rPr>
        <w:t xml:space="preserve">found </w:t>
      </w:r>
      <w:r w:rsidR="00AB3923">
        <w:rPr>
          <w:color w:val="000000" w:themeColor="text1"/>
        </w:rPr>
        <w:t xml:space="preserve">by </w:t>
      </w:r>
      <w:r w:rsidR="00175C89">
        <w:rPr>
          <w:color w:val="000000" w:themeColor="text1"/>
        </w:rPr>
        <w:t>Schoch (201</w:t>
      </w:r>
      <w:r w:rsidR="00673658">
        <w:rPr>
          <w:color w:val="000000" w:themeColor="text1"/>
        </w:rPr>
        <w:t>3)</w:t>
      </w:r>
      <w:r w:rsidR="00CD10DD">
        <w:rPr>
          <w:color w:val="000000" w:themeColor="text1"/>
        </w:rPr>
        <w:t xml:space="preserve"> </w:t>
      </w:r>
      <w:r w:rsidR="00F51057">
        <w:rPr>
          <w:color w:val="000000" w:themeColor="text1"/>
        </w:rPr>
        <w:t>based</w:t>
      </w:r>
      <w:r w:rsidR="005B6880">
        <w:rPr>
          <w:color w:val="000000" w:themeColor="text1"/>
        </w:rPr>
        <w:t xml:space="preserve"> on the matrix </w:t>
      </w:r>
      <w:r w:rsidR="001C0111">
        <w:rPr>
          <w:color w:val="000000" w:themeColor="text1"/>
        </w:rPr>
        <w:t>us</w:t>
      </w:r>
      <w:r w:rsidR="00082FF2">
        <w:rPr>
          <w:color w:val="000000" w:themeColor="text1"/>
        </w:rPr>
        <w:t xml:space="preserve">ed therein, </w:t>
      </w:r>
      <w:r w:rsidRPr="00062F7E">
        <w:rPr>
          <w:color w:val="000000" w:themeColor="text1"/>
        </w:rPr>
        <w:t xml:space="preserve">the </w:t>
      </w:r>
      <w:r w:rsidR="00E75F81">
        <w:rPr>
          <w:color w:val="000000" w:themeColor="text1"/>
        </w:rPr>
        <w:t xml:space="preserve">same </w:t>
      </w:r>
      <w:r w:rsidRPr="00062F7E">
        <w:rPr>
          <w:color w:val="000000" w:themeColor="text1"/>
        </w:rPr>
        <w:t>matrix on which the</w:t>
      </w:r>
      <w:r w:rsidR="00AB3923">
        <w:rPr>
          <w:color w:val="000000" w:themeColor="text1"/>
        </w:rPr>
        <w:t xml:space="preserve"> dataset of</w:t>
      </w:r>
      <w:r w:rsidRPr="00062F7E">
        <w:rPr>
          <w:color w:val="000000" w:themeColor="text1"/>
        </w:rPr>
        <w:t xml:space="preserve"> Pardo et al. (2017a) was largely based. </w:t>
      </w:r>
      <w:r w:rsidR="006E509F">
        <w:rPr>
          <w:color w:val="000000" w:themeColor="text1"/>
        </w:rPr>
        <w:t>I</w:t>
      </w:r>
      <w:r w:rsidR="00C02022">
        <w:rPr>
          <w:color w:val="000000" w:themeColor="text1"/>
        </w:rPr>
        <w:t>n a strict consensus topolog</w:t>
      </w:r>
      <w:r w:rsidR="00E82C01">
        <w:rPr>
          <w:color w:val="000000" w:themeColor="text1"/>
        </w:rPr>
        <w:t xml:space="preserve">y </w:t>
      </w:r>
      <w:r w:rsidR="003A0A96">
        <w:rPr>
          <w:color w:val="000000" w:themeColor="text1"/>
        </w:rPr>
        <w:t xml:space="preserve">of </w:t>
      </w:r>
      <w:r w:rsidR="00114FBF">
        <w:rPr>
          <w:color w:val="000000" w:themeColor="text1"/>
        </w:rPr>
        <w:t>the</w:t>
      </w:r>
      <w:r w:rsidR="00AB3923">
        <w:rPr>
          <w:color w:val="000000" w:themeColor="text1"/>
        </w:rPr>
        <w:t xml:space="preserve"> matrix of</w:t>
      </w:r>
      <w:r w:rsidR="00114FBF">
        <w:rPr>
          <w:color w:val="000000" w:themeColor="text1"/>
        </w:rPr>
        <w:t xml:space="preserve"> Pardo et</w:t>
      </w:r>
      <w:r w:rsidR="00331C50">
        <w:rPr>
          <w:color w:val="000000" w:themeColor="text1"/>
        </w:rPr>
        <w:t xml:space="preserve"> al. (2017a)</w:t>
      </w:r>
      <w:r w:rsidR="001E1655">
        <w:rPr>
          <w:color w:val="000000" w:themeColor="text1"/>
        </w:rPr>
        <w:t xml:space="preserve">, </w:t>
      </w:r>
      <w:r w:rsidRPr="00062F7E">
        <w:rPr>
          <w:i/>
          <w:iCs/>
          <w:color w:val="000000" w:themeColor="text1"/>
        </w:rPr>
        <w:t xml:space="preserve">Chinlestegophis jenkinsi </w:t>
      </w:r>
      <w:r w:rsidRPr="00062F7E">
        <w:rPr>
          <w:color w:val="000000" w:themeColor="text1"/>
        </w:rPr>
        <w:t xml:space="preserve">would not be recovered as the sister taxon of gymnophionans or </w:t>
      </w:r>
      <w:r w:rsidR="003954CF">
        <w:rPr>
          <w:color w:val="000000" w:themeColor="text1"/>
        </w:rPr>
        <w:t>of</w:t>
      </w:r>
      <w:r w:rsidRPr="00062F7E">
        <w:rPr>
          <w:color w:val="000000" w:themeColor="text1"/>
        </w:rPr>
        <w:t xml:space="preserve"> brachyopoid. Instead, it is a single branch of a large polytomy of </w:t>
      </w:r>
      <w:r w:rsidR="001C1154">
        <w:rPr>
          <w:color w:val="000000" w:themeColor="text1"/>
        </w:rPr>
        <w:t>later-diverging</w:t>
      </w:r>
      <w:r w:rsidR="001C1154" w:rsidRPr="00062F7E">
        <w:rPr>
          <w:color w:val="000000" w:themeColor="text1"/>
        </w:rPr>
        <w:t xml:space="preserve"> </w:t>
      </w:r>
      <w:proofErr w:type="spellStart"/>
      <w:r w:rsidRPr="00062F7E">
        <w:rPr>
          <w:color w:val="000000" w:themeColor="text1"/>
        </w:rPr>
        <w:t>rhachitomes</w:t>
      </w:r>
      <w:proofErr w:type="spellEnd"/>
      <w:r w:rsidRPr="00062F7E">
        <w:rPr>
          <w:color w:val="000000" w:themeColor="text1"/>
        </w:rPr>
        <w:t xml:space="preserve"> alongside morphologically and temporally disparate taxa such as the early Permian amphibamiform </w:t>
      </w:r>
      <w:r w:rsidRPr="00062F7E">
        <w:rPr>
          <w:i/>
          <w:iCs/>
          <w:color w:val="000000" w:themeColor="text1"/>
        </w:rPr>
        <w:t xml:space="preserve">Doleserpeton annectens </w:t>
      </w:r>
      <w:r w:rsidRPr="00062F7E">
        <w:rPr>
          <w:color w:val="000000" w:themeColor="text1"/>
        </w:rPr>
        <w:t xml:space="preserve">(a close relative of at least batrachians in any hypothesis with a temnospondyl origin), the early Permian stereospondylomorph </w:t>
      </w:r>
      <w:r w:rsidRPr="00062F7E">
        <w:rPr>
          <w:i/>
          <w:iCs/>
          <w:color w:val="000000" w:themeColor="text1"/>
        </w:rPr>
        <w:t>Sclerocephalus haeuseri</w:t>
      </w:r>
      <w:r w:rsidRPr="00062F7E">
        <w:rPr>
          <w:color w:val="000000" w:themeColor="text1"/>
        </w:rPr>
        <w:t xml:space="preserve">, the Early Triassic lydekkerinid </w:t>
      </w:r>
      <w:r w:rsidRPr="00062F7E">
        <w:rPr>
          <w:i/>
          <w:iCs/>
          <w:color w:val="000000" w:themeColor="text1"/>
        </w:rPr>
        <w:t>Lydekkerina huxleyi</w:t>
      </w:r>
      <w:r w:rsidRPr="00062F7E">
        <w:rPr>
          <w:color w:val="000000" w:themeColor="text1"/>
        </w:rPr>
        <w:t xml:space="preserve">, the Early Triassic capitosaur </w:t>
      </w:r>
      <w:r w:rsidRPr="00062F7E">
        <w:rPr>
          <w:i/>
          <w:iCs/>
          <w:color w:val="000000" w:themeColor="text1"/>
        </w:rPr>
        <w:t>Benthosuchus sushkini</w:t>
      </w:r>
      <w:r w:rsidRPr="00062F7E">
        <w:rPr>
          <w:color w:val="000000" w:themeColor="text1"/>
        </w:rPr>
        <w:t xml:space="preserve">, the Early Jurassic chigutisaurid </w:t>
      </w:r>
      <w:r w:rsidRPr="00062F7E">
        <w:rPr>
          <w:i/>
          <w:iCs/>
          <w:color w:val="000000" w:themeColor="text1"/>
        </w:rPr>
        <w:t>Siderops kehli</w:t>
      </w:r>
      <w:r w:rsidRPr="00062F7E">
        <w:rPr>
          <w:color w:val="000000" w:themeColor="text1"/>
        </w:rPr>
        <w:t xml:space="preserve">, and </w:t>
      </w:r>
      <w:r w:rsidRPr="00062F7E">
        <w:rPr>
          <w:i/>
          <w:iCs/>
          <w:color w:val="000000" w:themeColor="text1"/>
        </w:rPr>
        <w:t>Eocaecilia micropodia</w:t>
      </w:r>
      <w:r w:rsidRPr="00062F7E">
        <w:rPr>
          <w:color w:val="000000" w:themeColor="text1"/>
        </w:rPr>
        <w:t xml:space="preserve">. The use of majority-rule consensus topologies for </w:t>
      </w:r>
      <w:r w:rsidRPr="00062F7E">
        <w:rPr>
          <w:color w:val="000000" w:themeColor="text1"/>
        </w:rPr>
        <w:lastRenderedPageBreak/>
        <w:t xml:space="preserve">purposes other than strict evolutionary relationships is debated (e.g., </w:t>
      </w:r>
      <w:r w:rsidR="00400D8D">
        <w:rPr>
          <w:color w:val="000000" w:themeColor="text1"/>
        </w:rPr>
        <w:t xml:space="preserve">Barrett et al., 1991; Swofford, 1991; </w:t>
      </w:r>
      <w:r w:rsidR="004565F0">
        <w:rPr>
          <w:color w:val="000000" w:themeColor="text1"/>
        </w:rPr>
        <w:t xml:space="preserve">Sharkey &amp; Leathers, 2001; </w:t>
      </w:r>
      <w:r w:rsidR="00400D8D">
        <w:rPr>
          <w:color w:val="000000" w:themeColor="text1"/>
        </w:rPr>
        <w:t>Holder et al., 2008; Wheeler &amp; Pickett, 2008</w:t>
      </w:r>
      <w:r w:rsidRPr="00062F7E">
        <w:rPr>
          <w:color w:val="000000" w:themeColor="text1"/>
        </w:rPr>
        <w:t xml:space="preserve">), but there is a broader consensus that this consensus method is not appropriate for inferring relationships (e.g., </w:t>
      </w:r>
      <w:r w:rsidR="000661E0">
        <w:rPr>
          <w:color w:val="000000" w:themeColor="text1"/>
        </w:rPr>
        <w:t xml:space="preserve">Nixon &amp; Carpenter, 1996; </w:t>
      </w:r>
      <w:r w:rsidRPr="00062F7E">
        <w:rPr>
          <w:color w:val="000000" w:themeColor="text1"/>
        </w:rPr>
        <w:t>Sumrall et al., 2001)</w:t>
      </w:r>
      <w:r w:rsidR="003954CF">
        <w:rPr>
          <w:color w:val="000000" w:themeColor="text1"/>
        </w:rPr>
        <w:t xml:space="preserve"> and should be restricted to </w:t>
      </w:r>
      <w:r w:rsidR="002B1425">
        <w:rPr>
          <w:color w:val="000000" w:themeColor="text1"/>
        </w:rPr>
        <w:t>visualizing relationships found in some but not all MPTs</w:t>
      </w:r>
      <w:r w:rsidRPr="00062F7E">
        <w:rPr>
          <w:color w:val="000000" w:themeColor="text1"/>
        </w:rPr>
        <w:t>. Therefore, treatment</w:t>
      </w:r>
      <w:r w:rsidR="002C440A">
        <w:rPr>
          <w:color w:val="000000" w:themeColor="text1"/>
        </w:rPr>
        <w:t xml:space="preserve"> of</w:t>
      </w:r>
      <w:r w:rsidRPr="00062F7E">
        <w:rPr>
          <w:color w:val="000000" w:themeColor="text1"/>
        </w:rPr>
        <w:t xml:space="preserve"> </w:t>
      </w:r>
      <w:r w:rsidR="00E21357" w:rsidRPr="00062F7E">
        <w:rPr>
          <w:color w:val="000000" w:themeColor="text1"/>
        </w:rPr>
        <w:t>the</w:t>
      </w:r>
      <w:r w:rsidR="00AB3923">
        <w:rPr>
          <w:color w:val="000000" w:themeColor="text1"/>
        </w:rPr>
        <w:t xml:space="preserve"> results of</w:t>
      </w:r>
      <w:r w:rsidR="00E21357" w:rsidRPr="00062F7E">
        <w:rPr>
          <w:color w:val="000000" w:themeColor="text1"/>
        </w:rPr>
        <w:t xml:space="preserve"> Pardo et al. (2017a) </w:t>
      </w:r>
      <w:r w:rsidRPr="00062F7E">
        <w:rPr>
          <w:color w:val="000000" w:themeColor="text1"/>
        </w:rPr>
        <w:t xml:space="preserve">with the more rigorous consensus method would not confer stronger support for the </w:t>
      </w:r>
      <w:proofErr w:type="spellStart"/>
      <w:r w:rsidRPr="00062F7E">
        <w:rPr>
          <w:color w:val="000000" w:themeColor="text1"/>
        </w:rPr>
        <w:t>diphyletic</w:t>
      </w:r>
      <w:proofErr w:type="spellEnd"/>
      <w:r w:rsidRPr="00062F7E">
        <w:rPr>
          <w:color w:val="000000" w:themeColor="text1"/>
        </w:rPr>
        <w:t xml:space="preserve"> origin hypothesis over the traditional hypothesis</w:t>
      </w:r>
      <w:r w:rsidR="002C440A">
        <w:rPr>
          <w:color w:val="000000" w:themeColor="text1"/>
        </w:rPr>
        <w:t xml:space="preserve"> of a monophyletic origin from within dissorophoid temnospondyls</w:t>
      </w:r>
      <w:r w:rsidRPr="00062F7E">
        <w:rPr>
          <w:color w:val="000000" w:themeColor="text1"/>
        </w:rPr>
        <w:t xml:space="preserve">. </w:t>
      </w:r>
    </w:p>
    <w:p w14:paraId="11387BFB" w14:textId="277BD830" w:rsidR="0072320A" w:rsidRPr="00062F7E" w:rsidRDefault="0072320A" w:rsidP="00662B68">
      <w:pPr>
        <w:rPr>
          <w:color w:val="000000" w:themeColor="text1"/>
        </w:rPr>
      </w:pPr>
      <w:r w:rsidRPr="00062F7E">
        <w:rPr>
          <w:color w:val="000000" w:themeColor="text1"/>
        </w:rPr>
        <w:tab/>
        <w:t xml:space="preserve">Other studies that used some form of the dataset of Pardo et al. (2017a) have also not recovered </w:t>
      </w:r>
      <w:r w:rsidR="00BF740E">
        <w:rPr>
          <w:color w:val="000000" w:themeColor="text1"/>
        </w:rPr>
        <w:t>a</w:t>
      </w:r>
      <w:r w:rsidR="00BF740E" w:rsidRPr="00062F7E">
        <w:rPr>
          <w:color w:val="000000" w:themeColor="text1"/>
        </w:rPr>
        <w:t xml:space="preserve"> </w:t>
      </w:r>
      <w:proofErr w:type="spellStart"/>
      <w:r w:rsidRPr="00062F7E">
        <w:rPr>
          <w:color w:val="000000" w:themeColor="text1"/>
        </w:rPr>
        <w:t>diphyletic</w:t>
      </w:r>
      <w:proofErr w:type="spellEnd"/>
      <w:r w:rsidRPr="00062F7E">
        <w:rPr>
          <w:color w:val="000000" w:themeColor="text1"/>
        </w:rPr>
        <w:t xml:space="preserve"> origin of Lissamphibia. In the redescription of the stem-caudate </w:t>
      </w:r>
      <w:r w:rsidRPr="00062F7E">
        <w:rPr>
          <w:i/>
          <w:iCs/>
          <w:color w:val="000000" w:themeColor="text1"/>
        </w:rPr>
        <w:t>Triassurus sixtelae</w:t>
      </w:r>
      <w:r w:rsidRPr="00062F7E">
        <w:rPr>
          <w:color w:val="000000" w:themeColor="text1"/>
        </w:rPr>
        <w:t xml:space="preserve"> (Schoch et al. 2020), a slightly modified version of the character-taxon matrix of Pardo et al. (2017a) included revised character </w:t>
      </w:r>
      <w:proofErr w:type="spellStart"/>
      <w:r w:rsidR="00224789">
        <w:rPr>
          <w:color w:val="000000" w:themeColor="text1"/>
        </w:rPr>
        <w:t>coding</w:t>
      </w:r>
      <w:r w:rsidR="00363DA3">
        <w:rPr>
          <w:color w:val="000000" w:themeColor="text1"/>
        </w:rPr>
        <w:t>s</w:t>
      </w:r>
      <w:proofErr w:type="spellEnd"/>
      <w:r w:rsidRPr="00062F7E">
        <w:rPr>
          <w:color w:val="000000" w:themeColor="text1"/>
        </w:rPr>
        <w:t xml:space="preserve"> for </w:t>
      </w:r>
      <w:proofErr w:type="spellStart"/>
      <w:r w:rsidRPr="00062F7E">
        <w:rPr>
          <w:i/>
          <w:iCs/>
          <w:color w:val="000000" w:themeColor="text1"/>
        </w:rPr>
        <w:t>Chinlestegophis</w:t>
      </w:r>
      <w:proofErr w:type="spellEnd"/>
      <w:r w:rsidR="00394DF1">
        <w:rPr>
          <w:i/>
          <w:iCs/>
          <w:color w:val="000000" w:themeColor="text1"/>
        </w:rPr>
        <w:t xml:space="preserve"> </w:t>
      </w:r>
      <w:proofErr w:type="spellStart"/>
      <w:r w:rsidR="00394DF1">
        <w:rPr>
          <w:i/>
          <w:iCs/>
          <w:color w:val="000000" w:themeColor="text1"/>
        </w:rPr>
        <w:t>jenkinsi</w:t>
      </w:r>
      <w:proofErr w:type="spellEnd"/>
      <w:r w:rsidRPr="00062F7E">
        <w:rPr>
          <w:color w:val="000000" w:themeColor="text1"/>
        </w:rPr>
        <w:t xml:space="preserve">, </w:t>
      </w:r>
      <w:r w:rsidRPr="00062F7E">
        <w:rPr>
          <w:i/>
          <w:iCs/>
          <w:color w:val="000000" w:themeColor="text1"/>
        </w:rPr>
        <w:t>Rileymillerus</w:t>
      </w:r>
      <w:r w:rsidR="00D44F0F">
        <w:rPr>
          <w:i/>
          <w:iCs/>
          <w:color w:val="000000" w:themeColor="text1"/>
        </w:rPr>
        <w:t xml:space="preserve"> </w:t>
      </w:r>
      <w:r w:rsidR="00197A3E" w:rsidRPr="00062F7E">
        <w:rPr>
          <w:i/>
          <w:iCs/>
          <w:color w:val="000000" w:themeColor="text1"/>
        </w:rPr>
        <w:t>cosgriffi</w:t>
      </w:r>
      <w:r w:rsidR="00197A3E">
        <w:rPr>
          <w:i/>
          <w:iCs/>
          <w:color w:val="000000" w:themeColor="text1"/>
        </w:rPr>
        <w:t>,</w:t>
      </w:r>
      <w:r w:rsidRPr="00062F7E">
        <w:rPr>
          <w:color w:val="000000" w:themeColor="text1"/>
        </w:rPr>
        <w:t xml:space="preserve"> </w:t>
      </w:r>
      <w:r w:rsidRPr="00062F7E">
        <w:rPr>
          <w:i/>
          <w:iCs/>
          <w:color w:val="000000" w:themeColor="text1"/>
        </w:rPr>
        <w:t>Eocaecilia</w:t>
      </w:r>
      <w:r w:rsidR="00394DF1">
        <w:rPr>
          <w:i/>
          <w:iCs/>
          <w:color w:val="000000" w:themeColor="text1"/>
        </w:rPr>
        <w:t xml:space="preserve"> micropodia</w:t>
      </w:r>
      <w:r w:rsidRPr="00062F7E">
        <w:rPr>
          <w:color w:val="000000" w:themeColor="text1"/>
        </w:rPr>
        <w:t xml:space="preserve">, and </w:t>
      </w:r>
      <w:r w:rsidRPr="00062F7E">
        <w:rPr>
          <w:i/>
          <w:iCs/>
          <w:color w:val="000000" w:themeColor="text1"/>
        </w:rPr>
        <w:t>Gerobatrachus</w:t>
      </w:r>
      <w:r w:rsidR="00394DF1">
        <w:rPr>
          <w:i/>
          <w:iCs/>
          <w:color w:val="000000" w:themeColor="text1"/>
        </w:rPr>
        <w:t xml:space="preserve"> hottoni</w:t>
      </w:r>
      <w:r w:rsidRPr="00062F7E">
        <w:rPr>
          <w:color w:val="000000" w:themeColor="text1"/>
        </w:rPr>
        <w:t xml:space="preserve">. Results of their parsimony analysis of this modified dataset found </w:t>
      </w:r>
      <w:r w:rsidR="00394DF1">
        <w:rPr>
          <w:i/>
          <w:iCs/>
          <w:color w:val="000000" w:themeColor="text1"/>
        </w:rPr>
        <w:t>E. micropodia</w:t>
      </w:r>
      <w:r w:rsidR="00394DF1" w:rsidRPr="00062F7E">
        <w:rPr>
          <w:color w:val="000000" w:themeColor="text1"/>
        </w:rPr>
        <w:t xml:space="preserve"> </w:t>
      </w:r>
      <w:r w:rsidRPr="00062F7E">
        <w:rPr>
          <w:color w:val="000000" w:themeColor="text1"/>
        </w:rPr>
        <w:t>and gymnophionans to be</w:t>
      </w:r>
      <w:r w:rsidR="001A0C7D">
        <w:rPr>
          <w:color w:val="000000" w:themeColor="text1"/>
        </w:rPr>
        <w:t xml:space="preserve"> in a</w:t>
      </w:r>
      <w:r w:rsidRPr="00062F7E">
        <w:rPr>
          <w:color w:val="000000" w:themeColor="text1"/>
        </w:rPr>
        <w:t xml:space="preserve"> sister</w:t>
      </w:r>
      <w:r w:rsidR="001A0C7D">
        <w:rPr>
          <w:color w:val="000000" w:themeColor="text1"/>
        </w:rPr>
        <w:t xml:space="preserve"> group relationship</w:t>
      </w:r>
      <w:r w:rsidRPr="00062F7E">
        <w:rPr>
          <w:color w:val="000000" w:themeColor="text1"/>
        </w:rPr>
        <w:t xml:space="preserve"> to </w:t>
      </w:r>
      <w:r w:rsidR="00BD6F9D">
        <w:rPr>
          <w:color w:val="000000" w:themeColor="text1"/>
        </w:rPr>
        <w:t xml:space="preserve">a </w:t>
      </w:r>
      <w:r w:rsidRPr="00062F7E">
        <w:rPr>
          <w:color w:val="000000" w:themeColor="text1"/>
        </w:rPr>
        <w:t xml:space="preserve">clade including albanerpetontids and batrachians, </w:t>
      </w:r>
      <w:r w:rsidR="00337A4B">
        <w:rPr>
          <w:color w:val="000000" w:themeColor="text1"/>
        </w:rPr>
        <w:t>whereas</w:t>
      </w:r>
      <w:r w:rsidR="00337A4B" w:rsidRPr="00062F7E">
        <w:rPr>
          <w:color w:val="000000" w:themeColor="text1"/>
        </w:rPr>
        <w:t xml:space="preserve"> </w:t>
      </w:r>
      <w:r w:rsidR="00394DF1">
        <w:rPr>
          <w:i/>
          <w:iCs/>
          <w:color w:val="000000" w:themeColor="text1"/>
        </w:rPr>
        <w:t>C. jenkinsi</w:t>
      </w:r>
      <w:r w:rsidR="00394DF1" w:rsidRPr="00062F7E">
        <w:rPr>
          <w:color w:val="000000" w:themeColor="text1"/>
        </w:rPr>
        <w:t xml:space="preserve"> </w:t>
      </w:r>
      <w:r w:rsidRPr="00062F7E">
        <w:rPr>
          <w:color w:val="000000" w:themeColor="text1"/>
        </w:rPr>
        <w:t xml:space="preserve">and </w:t>
      </w:r>
      <w:r w:rsidR="00394DF1">
        <w:rPr>
          <w:i/>
          <w:iCs/>
          <w:color w:val="000000" w:themeColor="text1"/>
        </w:rPr>
        <w:t>R. cosgriffi</w:t>
      </w:r>
      <w:r w:rsidR="00394DF1" w:rsidRPr="00062F7E">
        <w:rPr>
          <w:color w:val="000000" w:themeColor="text1"/>
        </w:rPr>
        <w:t xml:space="preserve"> </w:t>
      </w:r>
      <w:r w:rsidRPr="00062F7E">
        <w:rPr>
          <w:color w:val="000000" w:themeColor="text1"/>
        </w:rPr>
        <w:t xml:space="preserve">were nested within Brachyopoidea but only distantly related to </w:t>
      </w:r>
      <w:r w:rsidR="00BF740E" w:rsidRPr="00BF740E">
        <w:rPr>
          <w:i/>
          <w:iCs/>
          <w:color w:val="000000" w:themeColor="text1"/>
        </w:rPr>
        <w:t>E</w:t>
      </w:r>
      <w:r w:rsidR="00BF740E">
        <w:rPr>
          <w:color w:val="000000" w:themeColor="text1"/>
        </w:rPr>
        <w:t xml:space="preserve">. </w:t>
      </w:r>
      <w:r w:rsidR="00BF740E" w:rsidRPr="00BF740E">
        <w:rPr>
          <w:i/>
          <w:iCs/>
          <w:color w:val="000000" w:themeColor="text1"/>
        </w:rPr>
        <w:t>m</w:t>
      </w:r>
      <w:r w:rsidR="00BF740E" w:rsidRPr="00DA1795">
        <w:rPr>
          <w:i/>
          <w:iCs/>
          <w:color w:val="000000" w:themeColor="text1"/>
        </w:rPr>
        <w:t>i</w:t>
      </w:r>
      <w:r w:rsidR="00BF740E" w:rsidRPr="000F64F6">
        <w:rPr>
          <w:i/>
          <w:iCs/>
          <w:color w:val="000000" w:themeColor="text1"/>
        </w:rPr>
        <w:t>cropodia</w:t>
      </w:r>
      <w:r w:rsidR="00BF740E">
        <w:rPr>
          <w:i/>
          <w:iCs/>
          <w:color w:val="000000" w:themeColor="text1"/>
        </w:rPr>
        <w:t xml:space="preserve"> </w:t>
      </w:r>
      <w:r w:rsidRPr="00062F7E">
        <w:rPr>
          <w:color w:val="000000" w:themeColor="text1"/>
        </w:rPr>
        <w:t xml:space="preserve">and gymnophionans (Schoch et al., 2020). The return to the traditional topology is clearly influenced by reverted or altered </w:t>
      </w:r>
      <w:r w:rsidR="00224789">
        <w:rPr>
          <w:color w:val="000000" w:themeColor="text1"/>
        </w:rPr>
        <w:t>code</w:t>
      </w:r>
      <w:r w:rsidRPr="00062F7E">
        <w:rPr>
          <w:color w:val="000000" w:themeColor="text1"/>
        </w:rPr>
        <w:t xml:space="preserve">s for informative characters for these key taxa, but the results more broadly demonstrate that phylogenetic topologies resultant from analyses of this dataset are subject to significant labiality due to slight changes in the underlying dataset. </w:t>
      </w:r>
    </w:p>
    <w:p w14:paraId="3EF9092D" w14:textId="7FE5C40D" w:rsidR="0072320A" w:rsidRPr="00CC2C1B" w:rsidRDefault="0072320A" w:rsidP="00662B68">
      <w:pPr>
        <w:ind w:firstLine="720"/>
        <w:rPr>
          <w:color w:val="000000" w:themeColor="text1"/>
        </w:rPr>
      </w:pPr>
      <w:r w:rsidRPr="00062F7E">
        <w:rPr>
          <w:color w:val="000000" w:themeColor="text1"/>
        </w:rPr>
        <w:t xml:space="preserve">Daza et al. (2020) analyzed </w:t>
      </w:r>
      <w:r w:rsidR="007E00AB">
        <w:rPr>
          <w:color w:val="000000" w:themeColor="text1"/>
        </w:rPr>
        <w:t>four</w:t>
      </w:r>
      <w:r w:rsidR="007E00AB" w:rsidRPr="00062F7E">
        <w:rPr>
          <w:color w:val="000000" w:themeColor="text1"/>
        </w:rPr>
        <w:t xml:space="preserve"> </w:t>
      </w:r>
      <w:r w:rsidRPr="00062F7E">
        <w:rPr>
          <w:color w:val="000000" w:themeColor="text1"/>
        </w:rPr>
        <w:t>different datasets</w:t>
      </w:r>
      <w:r w:rsidR="006A0550">
        <w:rPr>
          <w:color w:val="000000" w:themeColor="text1"/>
        </w:rPr>
        <w:t>,</w:t>
      </w:r>
      <w:r w:rsidR="00C73275">
        <w:rPr>
          <w:color w:val="000000" w:themeColor="text1"/>
        </w:rPr>
        <w:t xml:space="preserve"> </w:t>
      </w:r>
      <w:r w:rsidR="007E00AB">
        <w:rPr>
          <w:color w:val="000000" w:themeColor="text1"/>
        </w:rPr>
        <w:t>three in addition to</w:t>
      </w:r>
      <w:r w:rsidRPr="00062F7E">
        <w:rPr>
          <w:color w:val="000000" w:themeColor="text1"/>
        </w:rPr>
        <w:t xml:space="preserve"> the temnospondyl-focused matrix of Pardo et al. (2017a). The only changes to these matrices were the addition of the albanerpetontid </w:t>
      </w:r>
      <w:r w:rsidRPr="00062F7E">
        <w:rPr>
          <w:i/>
          <w:iCs/>
          <w:color w:val="000000" w:themeColor="text1"/>
        </w:rPr>
        <w:t>Yaksha perettii</w:t>
      </w:r>
      <w:r w:rsidRPr="00062F7E">
        <w:rPr>
          <w:color w:val="000000" w:themeColor="text1"/>
        </w:rPr>
        <w:t xml:space="preserve">; either the addition of, or some </w:t>
      </w:r>
      <w:r w:rsidR="00224789">
        <w:rPr>
          <w:color w:val="000000" w:themeColor="text1"/>
        </w:rPr>
        <w:t>coding</w:t>
      </w:r>
      <w:r w:rsidRPr="00062F7E">
        <w:rPr>
          <w:color w:val="000000" w:themeColor="text1"/>
        </w:rPr>
        <w:t xml:space="preserve"> changes to, the terminal </w:t>
      </w:r>
      <w:r w:rsidR="003A64AA">
        <w:rPr>
          <w:color w:val="000000" w:themeColor="text1"/>
        </w:rPr>
        <w:t>operational taxonomic unit (</w:t>
      </w:r>
      <w:r w:rsidRPr="00062F7E">
        <w:rPr>
          <w:color w:val="000000" w:themeColor="text1"/>
        </w:rPr>
        <w:t>OTU</w:t>
      </w:r>
      <w:r w:rsidR="003A64AA">
        <w:rPr>
          <w:color w:val="000000" w:themeColor="text1"/>
        </w:rPr>
        <w:t>)</w:t>
      </w:r>
      <w:r w:rsidRPr="00062F7E">
        <w:rPr>
          <w:color w:val="000000" w:themeColor="text1"/>
        </w:rPr>
        <w:t xml:space="preserve"> for </w:t>
      </w:r>
      <w:proofErr w:type="spellStart"/>
      <w:r w:rsidRPr="00062F7E">
        <w:rPr>
          <w:color w:val="000000" w:themeColor="text1"/>
        </w:rPr>
        <w:t>Albanerpetontidae</w:t>
      </w:r>
      <w:proofErr w:type="spellEnd"/>
      <w:r w:rsidRPr="00062F7E">
        <w:rPr>
          <w:color w:val="000000" w:themeColor="text1"/>
        </w:rPr>
        <w:t xml:space="preserve">; and the use of implied weighting. Their reanalysis of </w:t>
      </w:r>
      <w:r w:rsidR="00BD6F9D">
        <w:rPr>
          <w:color w:val="000000" w:themeColor="text1"/>
        </w:rPr>
        <w:t xml:space="preserve">the matrix of </w:t>
      </w:r>
      <w:r w:rsidRPr="00062F7E">
        <w:rPr>
          <w:color w:val="000000" w:themeColor="text1"/>
        </w:rPr>
        <w:t>Pardo et al. (2017a), which densely sample</w:t>
      </w:r>
      <w:r w:rsidR="00BD6F9D">
        <w:rPr>
          <w:color w:val="000000" w:themeColor="text1"/>
        </w:rPr>
        <w:t>d</w:t>
      </w:r>
      <w:r w:rsidRPr="00062F7E">
        <w:rPr>
          <w:color w:val="000000" w:themeColor="text1"/>
        </w:rPr>
        <w:t xml:space="preserve"> stereospondyls, also recovered a monophyletic </w:t>
      </w:r>
      <w:r w:rsidR="00D97FBF">
        <w:rPr>
          <w:color w:val="000000" w:themeColor="text1"/>
        </w:rPr>
        <w:t>l</w:t>
      </w:r>
      <w:r w:rsidRPr="00062F7E">
        <w:rPr>
          <w:color w:val="000000" w:themeColor="text1"/>
        </w:rPr>
        <w:t xml:space="preserve">issamphibian originating within Amphibamiformes, </w:t>
      </w:r>
      <w:r w:rsidR="00D97FBF">
        <w:rPr>
          <w:color w:val="000000" w:themeColor="text1"/>
        </w:rPr>
        <w:t>that</w:t>
      </w:r>
      <w:r w:rsidR="00D97FBF" w:rsidRPr="00062F7E">
        <w:rPr>
          <w:color w:val="000000" w:themeColor="text1"/>
        </w:rPr>
        <w:t xml:space="preserve"> </w:t>
      </w:r>
      <w:r w:rsidRPr="00062F7E">
        <w:rPr>
          <w:color w:val="000000" w:themeColor="text1"/>
        </w:rPr>
        <w:t>time in the strict consensus (fig. S14 in Daza et al.</w:t>
      </w:r>
      <w:r w:rsidR="0032337D" w:rsidRPr="00062F7E">
        <w:rPr>
          <w:color w:val="000000" w:themeColor="text1"/>
        </w:rPr>
        <w:t xml:space="preserve"> 2020</w:t>
      </w:r>
      <w:r w:rsidRPr="00062F7E">
        <w:rPr>
          <w:color w:val="000000" w:themeColor="text1"/>
        </w:rPr>
        <w:t xml:space="preserve">). In </w:t>
      </w:r>
      <w:r w:rsidR="00D97FBF">
        <w:rPr>
          <w:color w:val="000000" w:themeColor="text1"/>
        </w:rPr>
        <w:t>the</w:t>
      </w:r>
      <w:r w:rsidR="00D97FBF" w:rsidRPr="00062F7E">
        <w:rPr>
          <w:color w:val="000000" w:themeColor="text1"/>
        </w:rPr>
        <w:t xml:space="preserve"> </w:t>
      </w:r>
      <w:r w:rsidRPr="00062F7E">
        <w:rPr>
          <w:color w:val="000000" w:themeColor="text1"/>
        </w:rPr>
        <w:t xml:space="preserve">second reanalysis, </w:t>
      </w:r>
      <w:r w:rsidR="00394DF1">
        <w:rPr>
          <w:i/>
          <w:iCs/>
          <w:color w:val="000000" w:themeColor="text1"/>
        </w:rPr>
        <w:t>C.</w:t>
      </w:r>
      <w:r w:rsidR="00394DF1" w:rsidRPr="00062F7E">
        <w:rPr>
          <w:i/>
          <w:iCs/>
          <w:color w:val="000000" w:themeColor="text1"/>
        </w:rPr>
        <w:t xml:space="preserve"> </w:t>
      </w:r>
      <w:r w:rsidRPr="00062F7E">
        <w:rPr>
          <w:i/>
          <w:iCs/>
          <w:color w:val="000000" w:themeColor="text1"/>
        </w:rPr>
        <w:t xml:space="preserve">jenkinsi </w:t>
      </w:r>
      <w:r w:rsidRPr="00062F7E">
        <w:rPr>
          <w:color w:val="000000" w:themeColor="text1"/>
        </w:rPr>
        <w:t xml:space="preserve">was recovered as the sister taxon to Brachyopoidea, as in the original </w:t>
      </w:r>
      <w:r w:rsidR="00BD6F9D">
        <w:rPr>
          <w:color w:val="000000" w:themeColor="text1"/>
        </w:rPr>
        <w:t xml:space="preserve">majority-rule consensus of </w:t>
      </w:r>
      <w:r w:rsidRPr="00062F7E">
        <w:rPr>
          <w:color w:val="000000" w:themeColor="text1"/>
        </w:rPr>
        <w:t>Pardo et al.</w:t>
      </w:r>
      <w:r w:rsidR="0032337D" w:rsidRPr="00062F7E">
        <w:rPr>
          <w:color w:val="000000" w:themeColor="text1"/>
        </w:rPr>
        <w:t xml:space="preserve"> (2017a)</w:t>
      </w:r>
      <w:r w:rsidRPr="00062F7E">
        <w:rPr>
          <w:color w:val="000000" w:themeColor="text1"/>
        </w:rPr>
        <w:t xml:space="preserve">, but </w:t>
      </w:r>
      <w:r w:rsidR="003A64AA" w:rsidRPr="00062F7E">
        <w:rPr>
          <w:color w:val="000000" w:themeColor="text1"/>
        </w:rPr>
        <w:t>Gym</w:t>
      </w:r>
      <w:r w:rsidR="003A64AA">
        <w:rPr>
          <w:color w:val="000000" w:themeColor="text1"/>
        </w:rPr>
        <w:t>n</w:t>
      </w:r>
      <w:r w:rsidR="003A64AA" w:rsidRPr="00062F7E">
        <w:rPr>
          <w:color w:val="000000" w:themeColor="text1"/>
        </w:rPr>
        <w:t>ophiona</w:t>
      </w:r>
      <w:r w:rsidRPr="00062F7E">
        <w:rPr>
          <w:color w:val="000000" w:themeColor="text1"/>
        </w:rPr>
        <w:t xml:space="preserve"> cluster</w:t>
      </w:r>
      <w:r w:rsidR="00BD6F9D">
        <w:rPr>
          <w:color w:val="000000" w:themeColor="text1"/>
        </w:rPr>
        <w:t>ed</w:t>
      </w:r>
      <w:r w:rsidRPr="00062F7E">
        <w:rPr>
          <w:color w:val="000000" w:themeColor="text1"/>
        </w:rPr>
        <w:t xml:space="preserve"> with other lissamphibians.</w:t>
      </w:r>
      <w:r w:rsidR="00CC2C1B">
        <w:rPr>
          <w:color w:val="000000" w:themeColor="text1"/>
        </w:rPr>
        <w:t xml:space="preserve"> </w:t>
      </w:r>
    </w:p>
    <w:p w14:paraId="72E1D7A4" w14:textId="2ACA5273" w:rsidR="0072320A" w:rsidRPr="00062F7E" w:rsidRDefault="0072320A" w:rsidP="00662B68">
      <w:pPr>
        <w:ind w:firstLine="720"/>
        <w:rPr>
          <w:color w:val="000000" w:themeColor="text1"/>
        </w:rPr>
      </w:pPr>
      <w:r w:rsidRPr="00062F7E">
        <w:rPr>
          <w:color w:val="000000" w:themeColor="text1"/>
        </w:rPr>
        <w:t xml:space="preserve">Marjanović &amp; Laurin (2019) did not </w:t>
      </w:r>
      <w:r w:rsidR="00AC3A14">
        <w:rPr>
          <w:color w:val="000000" w:themeColor="text1"/>
        </w:rPr>
        <w:t>perform</w:t>
      </w:r>
      <w:r w:rsidR="00AC3A14" w:rsidRPr="00062F7E">
        <w:rPr>
          <w:color w:val="000000" w:themeColor="text1"/>
        </w:rPr>
        <w:t xml:space="preserve"> </w:t>
      </w:r>
      <w:r w:rsidRPr="00062F7E">
        <w:rPr>
          <w:color w:val="000000" w:themeColor="text1"/>
        </w:rPr>
        <w:t>a revised analysis of the Pardo et al. (2017a) matrix, but they did examine the results and report</w:t>
      </w:r>
      <w:r w:rsidR="00B51162">
        <w:rPr>
          <w:color w:val="000000" w:themeColor="text1"/>
        </w:rPr>
        <w:t>ed</w:t>
      </w:r>
      <w:r w:rsidRPr="00062F7E">
        <w:rPr>
          <w:color w:val="000000" w:themeColor="text1"/>
        </w:rPr>
        <w:t xml:space="preserve"> a few caveats. They noted that lissamphibian monophyly within Dissorophoidea or monophyly within Stereospondyli (the latter not previously hypothesized or recovered in the literature) were equally parsimonious based on a close examination of individual MPTs recovered by Pardo et al. (i.e.</w:t>
      </w:r>
      <w:r w:rsidR="00DA1795">
        <w:rPr>
          <w:color w:val="000000" w:themeColor="text1"/>
        </w:rPr>
        <w:t>,</w:t>
      </w:r>
      <w:r w:rsidRPr="00062F7E">
        <w:rPr>
          <w:color w:val="000000" w:themeColor="text1"/>
        </w:rPr>
        <w:t xml:space="preserve"> some MPTs recover</w:t>
      </w:r>
      <w:r w:rsidR="00045D34">
        <w:rPr>
          <w:color w:val="000000" w:themeColor="text1"/>
        </w:rPr>
        <w:t>ed</w:t>
      </w:r>
      <w:r w:rsidRPr="00062F7E">
        <w:rPr>
          <w:color w:val="000000" w:themeColor="text1"/>
        </w:rPr>
        <w:t xml:space="preserve"> a monophyletic Lissamphibia within Stereospondyli as the sister taxon of </w:t>
      </w:r>
      <w:r w:rsidRPr="00062F7E">
        <w:rPr>
          <w:i/>
          <w:iCs/>
          <w:color w:val="000000" w:themeColor="text1"/>
        </w:rPr>
        <w:t xml:space="preserve">Chinlestegophis jenkinsi </w:t>
      </w:r>
      <w:r w:rsidRPr="00062F7E">
        <w:rPr>
          <w:color w:val="000000" w:themeColor="text1"/>
        </w:rPr>
        <w:t xml:space="preserve">+ </w:t>
      </w:r>
      <w:r w:rsidRPr="00062F7E">
        <w:rPr>
          <w:i/>
          <w:iCs/>
          <w:color w:val="000000" w:themeColor="text1"/>
        </w:rPr>
        <w:t>Rileymillerus cosgriffi</w:t>
      </w:r>
      <w:r w:rsidRPr="00062F7E">
        <w:rPr>
          <w:color w:val="000000" w:themeColor="text1"/>
        </w:rPr>
        <w:t xml:space="preserve">, but this </w:t>
      </w:r>
      <w:r w:rsidR="00045D34">
        <w:rPr>
          <w:color w:val="000000" w:themeColor="text1"/>
        </w:rPr>
        <w:t>was</w:t>
      </w:r>
      <w:r w:rsidR="00045D34" w:rsidRPr="00062F7E">
        <w:rPr>
          <w:color w:val="000000" w:themeColor="text1"/>
        </w:rPr>
        <w:t xml:space="preserve"> </w:t>
      </w:r>
      <w:r w:rsidRPr="00062F7E">
        <w:rPr>
          <w:color w:val="000000" w:themeColor="text1"/>
        </w:rPr>
        <w:t>not recovered in either the total majority-rule consensus, that of any individual island, or the strict consensus</w:t>
      </w:r>
      <w:r w:rsidR="00B51162">
        <w:rPr>
          <w:color w:val="000000" w:themeColor="text1"/>
        </w:rPr>
        <w:t xml:space="preserve"> trees</w:t>
      </w:r>
      <w:r w:rsidRPr="00062F7E">
        <w:rPr>
          <w:color w:val="000000" w:themeColor="text1"/>
        </w:rPr>
        <w:t xml:space="preserve">). As with Silva &amp; Wilkinson (2021), the number of MPTs that recover the </w:t>
      </w:r>
      <w:proofErr w:type="spellStart"/>
      <w:r w:rsidRPr="00062F7E">
        <w:rPr>
          <w:color w:val="000000" w:themeColor="text1"/>
        </w:rPr>
        <w:t>diphyletic</w:t>
      </w:r>
      <w:proofErr w:type="spellEnd"/>
      <w:r w:rsidRPr="00062F7E">
        <w:rPr>
          <w:color w:val="000000" w:themeColor="text1"/>
        </w:rPr>
        <w:t xml:space="preserve"> origin</w:t>
      </w:r>
      <w:r w:rsidR="00A47AA8">
        <w:rPr>
          <w:color w:val="000000" w:themeColor="text1"/>
        </w:rPr>
        <w:t xml:space="preserve"> of Lissamphibia</w:t>
      </w:r>
      <w:r w:rsidRPr="00062F7E">
        <w:rPr>
          <w:color w:val="000000" w:themeColor="text1"/>
        </w:rPr>
        <w:t xml:space="preserve"> relative to those recovering another topology cannot be directly tied to relative support; all MPTs are</w:t>
      </w:r>
      <w:r w:rsidR="009E02A7">
        <w:rPr>
          <w:color w:val="000000" w:themeColor="text1"/>
        </w:rPr>
        <w:t>,</w:t>
      </w:r>
      <w:r w:rsidRPr="00062F7E">
        <w:rPr>
          <w:color w:val="000000" w:themeColor="text1"/>
        </w:rPr>
        <w:t xml:space="preserve"> by definition, equally parsimonious. Th</w:t>
      </w:r>
      <w:r w:rsidR="00045D34">
        <w:rPr>
          <w:color w:val="000000" w:themeColor="text1"/>
        </w:rPr>
        <w:t>ose</w:t>
      </w:r>
      <w:r w:rsidRPr="00062F7E">
        <w:rPr>
          <w:color w:val="000000" w:themeColor="text1"/>
        </w:rPr>
        <w:t xml:space="preserve"> authors also provided a slightly more detailed reanalysis</w:t>
      </w:r>
      <w:r w:rsidR="009E02A7">
        <w:rPr>
          <w:color w:val="000000" w:themeColor="text1"/>
        </w:rPr>
        <w:t xml:space="preserve"> of</w:t>
      </w:r>
      <w:r w:rsidRPr="00062F7E">
        <w:rPr>
          <w:color w:val="000000" w:themeColor="text1"/>
        </w:rPr>
        <w:t xml:space="preserve"> </w:t>
      </w:r>
      <w:r w:rsidR="00964377" w:rsidRPr="00062F7E">
        <w:rPr>
          <w:color w:val="000000" w:themeColor="text1"/>
        </w:rPr>
        <w:t xml:space="preserve">the </w:t>
      </w:r>
      <w:r w:rsidRPr="00062F7E">
        <w:rPr>
          <w:color w:val="000000" w:themeColor="text1"/>
        </w:rPr>
        <w:t>Pardo et al</w:t>
      </w:r>
      <w:r w:rsidR="00964377" w:rsidRPr="00062F7E">
        <w:rPr>
          <w:color w:val="000000" w:themeColor="text1"/>
        </w:rPr>
        <w:t>. (2017a)</w:t>
      </w:r>
      <w:r w:rsidRPr="00062F7E">
        <w:rPr>
          <w:color w:val="000000" w:themeColor="text1"/>
        </w:rPr>
        <w:t xml:space="preserve"> matrix in a preprint of their final paper that was not carried forward (Marjanović</w:t>
      </w:r>
      <w:r w:rsidR="00977F55">
        <w:rPr>
          <w:color w:val="000000" w:themeColor="text1"/>
        </w:rPr>
        <w:t xml:space="preserve"> &amp;</w:t>
      </w:r>
      <w:r w:rsidRPr="00062F7E">
        <w:rPr>
          <w:color w:val="000000" w:themeColor="text1"/>
        </w:rPr>
        <w:t xml:space="preserve"> Laurin, 2018:57</w:t>
      </w:r>
      <w:r w:rsidRPr="00062F7E">
        <w:rPr>
          <w:color w:val="000000" w:themeColor="text1"/>
        </w:rPr>
        <w:softHyphen/>
      </w:r>
      <w:r w:rsidR="000368F0">
        <w:rPr>
          <w:color w:val="000000" w:themeColor="text1"/>
        </w:rPr>
        <w:softHyphen/>
        <w:t>–</w:t>
      </w:r>
      <w:r w:rsidRPr="00062F7E">
        <w:rPr>
          <w:color w:val="000000" w:themeColor="text1"/>
        </w:rPr>
        <w:t>58).</w:t>
      </w:r>
    </w:p>
    <w:p w14:paraId="5D1A95AE" w14:textId="63460120" w:rsidR="0072320A" w:rsidRPr="00271037" w:rsidRDefault="0072320A" w:rsidP="00662B68">
      <w:pPr>
        <w:rPr>
          <w:color w:val="000000" w:themeColor="text1"/>
        </w:rPr>
      </w:pPr>
      <w:r w:rsidRPr="00062F7E">
        <w:rPr>
          <w:color w:val="000000" w:themeColor="text1"/>
        </w:rPr>
        <w:tab/>
        <w:t xml:space="preserve">Finally, the results of both our parsimony (including all </w:t>
      </w:r>
      <w:r w:rsidR="00EB037E">
        <w:rPr>
          <w:color w:val="000000" w:themeColor="text1"/>
        </w:rPr>
        <w:t>MPTs</w:t>
      </w:r>
      <w:r w:rsidRPr="00062F7E">
        <w:rPr>
          <w:color w:val="000000" w:themeColor="text1"/>
        </w:rPr>
        <w:t xml:space="preserve">) and Bayesian analyses find gymnophionans to be </w:t>
      </w:r>
      <w:r w:rsidR="00EB037E">
        <w:rPr>
          <w:color w:val="000000" w:themeColor="text1"/>
        </w:rPr>
        <w:t xml:space="preserve">the </w:t>
      </w:r>
      <w:r w:rsidRPr="00062F7E">
        <w:rPr>
          <w:color w:val="000000" w:themeColor="text1"/>
        </w:rPr>
        <w:t>sister</w:t>
      </w:r>
      <w:r w:rsidR="00EB037E">
        <w:rPr>
          <w:color w:val="000000" w:themeColor="text1"/>
        </w:rPr>
        <w:t xml:space="preserve"> taxon</w:t>
      </w:r>
      <w:r w:rsidRPr="00062F7E">
        <w:rPr>
          <w:color w:val="000000" w:themeColor="text1"/>
        </w:rPr>
        <w:t xml:space="preserve"> to albanerpetontids + batrachians, suggesting that characters supporting the sister</w:t>
      </w:r>
      <w:r w:rsidR="001A0C7D">
        <w:rPr>
          <w:color w:val="000000" w:themeColor="text1"/>
        </w:rPr>
        <w:t xml:space="preserve"> group</w:t>
      </w:r>
      <w:r w:rsidRPr="00062F7E">
        <w:rPr>
          <w:color w:val="000000" w:themeColor="text1"/>
        </w:rPr>
        <w:t xml:space="preserve"> relationship of </w:t>
      </w:r>
      <w:r w:rsidRPr="00062F7E">
        <w:rPr>
          <w:i/>
          <w:iCs/>
          <w:color w:val="000000" w:themeColor="text1"/>
        </w:rPr>
        <w:t>Chinlestegophis</w:t>
      </w:r>
      <w:r w:rsidR="00394DF1">
        <w:rPr>
          <w:i/>
          <w:iCs/>
          <w:color w:val="000000" w:themeColor="text1"/>
        </w:rPr>
        <w:t xml:space="preserve"> jenkinsi</w:t>
      </w:r>
      <w:r w:rsidRPr="00062F7E">
        <w:rPr>
          <w:color w:val="000000" w:themeColor="text1"/>
        </w:rPr>
        <w:t xml:space="preserve"> </w:t>
      </w:r>
      <w:r w:rsidR="00EB037E">
        <w:rPr>
          <w:color w:val="000000" w:themeColor="text1"/>
        </w:rPr>
        <w:t>with</w:t>
      </w:r>
      <w:r w:rsidR="00EB037E" w:rsidRPr="00062F7E">
        <w:rPr>
          <w:color w:val="000000" w:themeColor="text1"/>
        </w:rPr>
        <w:t xml:space="preserve"> </w:t>
      </w:r>
      <w:r w:rsidRPr="00062F7E">
        <w:rPr>
          <w:i/>
          <w:iCs/>
          <w:color w:val="000000" w:themeColor="text1"/>
        </w:rPr>
        <w:t>Eocaecilia</w:t>
      </w:r>
      <w:r w:rsidR="00394DF1">
        <w:rPr>
          <w:i/>
          <w:iCs/>
          <w:color w:val="000000" w:themeColor="text1"/>
        </w:rPr>
        <w:t xml:space="preserve"> </w:t>
      </w:r>
      <w:r w:rsidR="00394DF1">
        <w:rPr>
          <w:i/>
          <w:iCs/>
          <w:color w:val="000000" w:themeColor="text1"/>
        </w:rPr>
        <w:lastRenderedPageBreak/>
        <w:t>micropodia</w:t>
      </w:r>
      <w:r w:rsidRPr="00062F7E">
        <w:rPr>
          <w:color w:val="000000" w:themeColor="text1"/>
        </w:rPr>
        <w:t xml:space="preserve"> + Gymnophionomorpha </w:t>
      </w:r>
      <w:r w:rsidR="003954CF">
        <w:rPr>
          <w:color w:val="000000" w:themeColor="text1"/>
        </w:rPr>
        <w:t>are</w:t>
      </w:r>
      <w:r w:rsidRPr="00062F7E">
        <w:rPr>
          <w:color w:val="000000" w:themeColor="text1"/>
        </w:rPr>
        <w:t xml:space="preserve"> homoplastic rather than homologous. </w:t>
      </w:r>
      <w:r w:rsidR="00045D34">
        <w:rPr>
          <w:color w:val="000000" w:themeColor="text1"/>
        </w:rPr>
        <w:t xml:space="preserve">Though </w:t>
      </w:r>
      <w:r w:rsidR="00D67B74">
        <w:rPr>
          <w:color w:val="000000" w:themeColor="text1"/>
        </w:rPr>
        <w:t>our analysis is a</w:t>
      </w:r>
      <w:r w:rsidRPr="00062F7E">
        <w:rPr>
          <w:color w:val="000000" w:themeColor="text1"/>
        </w:rPr>
        <w:t xml:space="preserve"> derivate of</w:t>
      </w:r>
      <w:r w:rsidR="003A64AA">
        <w:rPr>
          <w:color w:val="000000" w:themeColor="text1"/>
        </w:rPr>
        <w:t xml:space="preserve"> the</w:t>
      </w:r>
      <w:r w:rsidRPr="00062F7E">
        <w:rPr>
          <w:color w:val="000000" w:themeColor="text1"/>
        </w:rPr>
        <w:t xml:space="preserve"> Schoch et al. (2020)</w:t>
      </w:r>
      <w:r w:rsidR="003A64AA">
        <w:rPr>
          <w:color w:val="000000" w:themeColor="text1"/>
        </w:rPr>
        <w:t xml:space="preserve"> phylogenetic dataset</w:t>
      </w:r>
      <w:r w:rsidR="00D67B74">
        <w:rPr>
          <w:color w:val="000000" w:themeColor="text1"/>
        </w:rPr>
        <w:t>, we made substantial changes</w:t>
      </w:r>
      <w:r w:rsidR="003A64AA">
        <w:rPr>
          <w:color w:val="000000" w:themeColor="text1"/>
        </w:rPr>
        <w:t xml:space="preserve"> (see Supplementa</w:t>
      </w:r>
      <w:r w:rsidR="009E1C96">
        <w:rPr>
          <w:color w:val="000000" w:themeColor="text1"/>
        </w:rPr>
        <w:t>ry</w:t>
      </w:r>
      <w:r w:rsidR="003A64AA">
        <w:rPr>
          <w:color w:val="000000" w:themeColor="text1"/>
        </w:rPr>
        <w:t xml:space="preserve"> Information </w:t>
      </w:r>
      <w:r w:rsidR="00EC324E">
        <w:rPr>
          <w:color w:val="000000" w:themeColor="text1"/>
        </w:rPr>
        <w:t>4</w:t>
      </w:r>
      <w:r w:rsidR="003A64AA">
        <w:rPr>
          <w:color w:val="000000" w:themeColor="text1"/>
        </w:rPr>
        <w:t>)</w:t>
      </w:r>
      <w:r w:rsidR="00D67B74">
        <w:rPr>
          <w:color w:val="000000" w:themeColor="text1"/>
        </w:rPr>
        <w:t>, which include</w:t>
      </w:r>
      <w:r w:rsidRPr="00062F7E">
        <w:rPr>
          <w:color w:val="000000" w:themeColor="text1"/>
        </w:rPr>
        <w:t xml:space="preserve"> </w:t>
      </w:r>
      <w:r w:rsidR="00D67B74">
        <w:rPr>
          <w:color w:val="000000" w:themeColor="text1"/>
        </w:rPr>
        <w:t xml:space="preserve">restoring of many </w:t>
      </w:r>
      <w:r w:rsidR="00DA1795">
        <w:rPr>
          <w:color w:val="000000" w:themeColor="text1"/>
        </w:rPr>
        <w:t xml:space="preserve">character states </w:t>
      </w:r>
      <w:r w:rsidR="00D67B74">
        <w:rPr>
          <w:color w:val="000000" w:themeColor="text1"/>
        </w:rPr>
        <w:t>introduced by Pardo et al. (2017</w:t>
      </w:r>
      <w:r w:rsidR="000F3A90">
        <w:rPr>
          <w:color w:val="000000" w:themeColor="text1"/>
        </w:rPr>
        <w:t>a</w:t>
      </w:r>
      <w:r w:rsidR="00D67B74">
        <w:rPr>
          <w:color w:val="000000" w:themeColor="text1"/>
        </w:rPr>
        <w:t xml:space="preserve">) that were changed by Schoch et al. (2020) for key taxa, such as </w:t>
      </w:r>
      <w:r w:rsidR="00045D34">
        <w:rPr>
          <w:color w:val="000000" w:themeColor="text1"/>
        </w:rPr>
        <w:t xml:space="preserve">coding </w:t>
      </w:r>
      <w:r w:rsidR="00D67B74">
        <w:rPr>
          <w:color w:val="000000" w:themeColor="text1"/>
        </w:rPr>
        <w:t xml:space="preserve">the presence of a LEP in </w:t>
      </w:r>
      <w:r w:rsidR="00394DF1">
        <w:rPr>
          <w:i/>
          <w:iCs/>
          <w:color w:val="000000" w:themeColor="text1"/>
        </w:rPr>
        <w:t xml:space="preserve">C. jenkinsi </w:t>
      </w:r>
      <w:r w:rsidR="00D67B74">
        <w:rPr>
          <w:color w:val="000000" w:themeColor="text1"/>
        </w:rPr>
        <w:t xml:space="preserve">and </w:t>
      </w:r>
      <w:r w:rsidR="00D67B74">
        <w:rPr>
          <w:i/>
          <w:iCs/>
          <w:color w:val="000000" w:themeColor="text1"/>
        </w:rPr>
        <w:t>Rileymillerus</w:t>
      </w:r>
      <w:r w:rsidR="00394DF1">
        <w:rPr>
          <w:i/>
          <w:iCs/>
          <w:color w:val="000000" w:themeColor="text1"/>
        </w:rPr>
        <w:t xml:space="preserve"> cosgriffi</w:t>
      </w:r>
      <w:r w:rsidR="0071522B">
        <w:rPr>
          <w:i/>
          <w:iCs/>
          <w:color w:val="000000" w:themeColor="text1"/>
        </w:rPr>
        <w:t xml:space="preserve"> </w:t>
      </w:r>
      <w:r w:rsidR="0071522B">
        <w:rPr>
          <w:color w:val="000000" w:themeColor="text1"/>
        </w:rPr>
        <w:t>(changed to unknown by Schoch et al.</w:t>
      </w:r>
      <w:r w:rsidR="00DA1795">
        <w:rPr>
          <w:color w:val="000000" w:themeColor="text1"/>
        </w:rPr>
        <w:t xml:space="preserve"> 2020</w:t>
      </w:r>
      <w:r w:rsidR="0071522B">
        <w:rPr>
          <w:color w:val="000000" w:themeColor="text1"/>
        </w:rPr>
        <w:t>)</w:t>
      </w:r>
      <w:r w:rsidR="00D67B74">
        <w:rPr>
          <w:color w:val="000000" w:themeColor="text1"/>
        </w:rPr>
        <w:t xml:space="preserve">. Additionally, substantive changes were made to </w:t>
      </w:r>
      <w:r w:rsidR="00D67B74">
        <w:rPr>
          <w:i/>
          <w:iCs/>
          <w:color w:val="000000" w:themeColor="text1"/>
        </w:rPr>
        <w:t>Gerobatrachus</w:t>
      </w:r>
      <w:r w:rsidR="00394DF1">
        <w:rPr>
          <w:i/>
          <w:iCs/>
          <w:color w:val="000000" w:themeColor="text1"/>
        </w:rPr>
        <w:t xml:space="preserve"> hottoni</w:t>
      </w:r>
      <w:r w:rsidR="00D67B74">
        <w:rPr>
          <w:i/>
          <w:iCs/>
          <w:color w:val="000000" w:themeColor="text1"/>
        </w:rPr>
        <w:t xml:space="preserve"> </w:t>
      </w:r>
      <w:r w:rsidR="00D67B74">
        <w:rPr>
          <w:color w:val="000000" w:themeColor="text1"/>
        </w:rPr>
        <w:t xml:space="preserve">and </w:t>
      </w:r>
      <w:r w:rsidR="00D67B74">
        <w:rPr>
          <w:i/>
          <w:iCs/>
          <w:color w:val="000000" w:themeColor="text1"/>
        </w:rPr>
        <w:t xml:space="preserve">Doleserpeton </w:t>
      </w:r>
      <w:r w:rsidR="00394DF1">
        <w:rPr>
          <w:i/>
          <w:iCs/>
          <w:color w:val="000000" w:themeColor="text1"/>
        </w:rPr>
        <w:t xml:space="preserve">annectens </w:t>
      </w:r>
      <w:r w:rsidR="00D67B74">
        <w:rPr>
          <w:color w:val="000000" w:themeColor="text1"/>
        </w:rPr>
        <w:t xml:space="preserve">that diminish their </w:t>
      </w:r>
      <w:r w:rsidR="00045D34">
        <w:rPr>
          <w:color w:val="000000" w:themeColor="text1"/>
        </w:rPr>
        <w:t xml:space="preserve">coded </w:t>
      </w:r>
      <w:r w:rsidR="00D67B74">
        <w:rPr>
          <w:color w:val="000000" w:themeColor="text1"/>
        </w:rPr>
        <w:t xml:space="preserve">similarities with some or all lissamphibians (e.g., </w:t>
      </w:r>
      <w:r w:rsidR="00224789">
        <w:rPr>
          <w:color w:val="000000" w:themeColor="text1"/>
        </w:rPr>
        <w:t>coding</w:t>
      </w:r>
      <w:r w:rsidR="001F70E6">
        <w:rPr>
          <w:color w:val="000000" w:themeColor="text1"/>
        </w:rPr>
        <w:t xml:space="preserve"> </w:t>
      </w:r>
      <w:r w:rsidR="00394DF1">
        <w:rPr>
          <w:i/>
          <w:iCs/>
          <w:color w:val="000000" w:themeColor="text1"/>
        </w:rPr>
        <w:t xml:space="preserve">D. annectens </w:t>
      </w:r>
      <w:r w:rsidR="001F70E6">
        <w:rPr>
          <w:color w:val="000000" w:themeColor="text1"/>
        </w:rPr>
        <w:t xml:space="preserve">as </w:t>
      </w:r>
      <w:r w:rsidR="00A45C44">
        <w:rPr>
          <w:color w:val="000000" w:themeColor="text1"/>
        </w:rPr>
        <w:t>unknown (?)</w:t>
      </w:r>
      <w:r w:rsidR="00395F83">
        <w:rPr>
          <w:color w:val="000000" w:themeColor="text1"/>
        </w:rPr>
        <w:t xml:space="preserve"> </w:t>
      </w:r>
      <w:r w:rsidR="00D67B74">
        <w:rPr>
          <w:color w:val="000000" w:themeColor="text1"/>
        </w:rPr>
        <w:t>for the absence of an ectopterygoid and other associated characters). T</w:t>
      </w:r>
      <w:r w:rsidR="003A64AA">
        <w:rPr>
          <w:color w:val="000000" w:themeColor="text1"/>
        </w:rPr>
        <w:t>herefore</w:t>
      </w:r>
      <w:r w:rsidR="00D67B74">
        <w:rPr>
          <w:color w:val="000000" w:themeColor="text1"/>
        </w:rPr>
        <w:t xml:space="preserve">, </w:t>
      </w:r>
      <w:r w:rsidR="00337A4B">
        <w:rPr>
          <w:color w:val="000000" w:themeColor="text1"/>
        </w:rPr>
        <w:t>our</w:t>
      </w:r>
      <w:r w:rsidR="00D67B74">
        <w:rPr>
          <w:color w:val="000000" w:themeColor="text1"/>
        </w:rPr>
        <w:t xml:space="preserve"> analysis represents</w:t>
      </w:r>
      <w:r w:rsidR="003A64AA">
        <w:rPr>
          <w:color w:val="000000" w:themeColor="text1"/>
        </w:rPr>
        <w:t xml:space="preserve"> a new, independent datapoint in support of the traditional temnospondyl hypothesis (in contrast to </w:t>
      </w:r>
      <w:r w:rsidR="00B70030">
        <w:rPr>
          <w:color w:val="000000" w:themeColor="text1"/>
        </w:rPr>
        <w:t>other</w:t>
      </w:r>
      <w:r w:rsidR="003A64AA">
        <w:rPr>
          <w:color w:val="000000" w:themeColor="text1"/>
        </w:rPr>
        <w:t xml:space="preserve"> </w:t>
      </w:r>
      <w:r w:rsidR="008768B4">
        <w:rPr>
          <w:color w:val="000000" w:themeColor="text1"/>
        </w:rPr>
        <w:t>largely unmodified derivates</w:t>
      </w:r>
      <w:r w:rsidR="00B70030">
        <w:rPr>
          <w:color w:val="000000" w:themeColor="text1"/>
        </w:rPr>
        <w:t>, which represent</w:t>
      </w:r>
      <w:r w:rsidRPr="00062F7E">
        <w:rPr>
          <w:color w:val="000000" w:themeColor="text1"/>
        </w:rPr>
        <w:t xml:space="preserve"> pseudoreplicate</w:t>
      </w:r>
      <w:r w:rsidR="00B70030">
        <w:rPr>
          <w:color w:val="000000" w:themeColor="text1"/>
        </w:rPr>
        <w:t>s</w:t>
      </w:r>
      <w:r w:rsidR="006A2D59">
        <w:rPr>
          <w:color w:val="000000" w:themeColor="text1"/>
        </w:rPr>
        <w:t>)</w:t>
      </w:r>
      <w:r w:rsidR="00B70030">
        <w:rPr>
          <w:color w:val="000000" w:themeColor="text1"/>
        </w:rPr>
        <w:t>.</w:t>
      </w:r>
    </w:p>
    <w:p w14:paraId="5FED0BA7" w14:textId="77777777" w:rsidR="0072320A" w:rsidRPr="00062F7E" w:rsidRDefault="0072320A" w:rsidP="00662B68">
      <w:pPr>
        <w:rPr>
          <w:color w:val="000000" w:themeColor="text1"/>
        </w:rPr>
      </w:pPr>
    </w:p>
    <w:p w14:paraId="23E4DE89" w14:textId="338A4DD5" w:rsidR="0072320A" w:rsidRPr="00062F7E" w:rsidRDefault="0072320A" w:rsidP="00662B68">
      <w:pPr>
        <w:rPr>
          <w:color w:val="000000" w:themeColor="text1"/>
        </w:rPr>
      </w:pPr>
      <w:r w:rsidRPr="00662B68">
        <w:rPr>
          <w:b/>
          <w:bCs/>
          <w:color w:val="000000" w:themeColor="text1"/>
        </w:rPr>
        <w:t>Phenetic comparisons.</w:t>
      </w:r>
      <w:r w:rsidRPr="00062F7E">
        <w:rPr>
          <w:i/>
          <w:iCs/>
          <w:color w:val="000000" w:themeColor="text1"/>
        </w:rPr>
        <w:t xml:space="preserve"> </w:t>
      </w:r>
      <w:r w:rsidRPr="00062F7E">
        <w:rPr>
          <w:color w:val="000000" w:themeColor="text1"/>
        </w:rPr>
        <w:t xml:space="preserve">The interpretation of </w:t>
      </w:r>
      <w:r w:rsidRPr="00062F7E">
        <w:rPr>
          <w:i/>
          <w:iCs/>
          <w:color w:val="000000" w:themeColor="text1"/>
        </w:rPr>
        <w:t xml:space="preserve">Chinlestegophis jenkinsi </w:t>
      </w:r>
      <w:r w:rsidRPr="00062F7E">
        <w:rPr>
          <w:color w:val="000000" w:themeColor="text1"/>
        </w:rPr>
        <w:t xml:space="preserve">as a stem caecilian </w:t>
      </w:r>
      <w:r w:rsidR="00045D34">
        <w:rPr>
          <w:color w:val="000000" w:themeColor="text1"/>
        </w:rPr>
        <w:t>also were</w:t>
      </w:r>
      <w:r w:rsidRPr="00062F7E">
        <w:rPr>
          <w:color w:val="000000" w:themeColor="text1"/>
        </w:rPr>
        <w:t xml:space="preserve"> qualitatively challenged by Santos et al. (2020). The points raised there are repeated here in the context of a broader discussion that largely focuses on purported affinities of </w:t>
      </w:r>
      <w:r w:rsidRPr="00062F7E">
        <w:rPr>
          <w:i/>
          <w:iCs/>
          <w:color w:val="000000" w:themeColor="text1"/>
        </w:rPr>
        <w:t xml:space="preserve">C. jenkinsi </w:t>
      </w:r>
      <w:r w:rsidRPr="00062F7E">
        <w:rPr>
          <w:color w:val="000000" w:themeColor="text1"/>
        </w:rPr>
        <w:t>with brachyopoids and gymnophionans specifically; the temnospondyl and stereospondyl affinities, as well as the autapomorphies within the context of Stereospondyli, are not regarded as controversial by other workers. Like Santos et al.</w:t>
      </w:r>
      <w:r w:rsidR="00964377" w:rsidRPr="00062F7E">
        <w:rPr>
          <w:color w:val="000000" w:themeColor="text1"/>
        </w:rPr>
        <w:t xml:space="preserve"> (2020)</w:t>
      </w:r>
      <w:r w:rsidRPr="00062F7E">
        <w:rPr>
          <w:color w:val="000000" w:themeColor="text1"/>
        </w:rPr>
        <w:t>, much of the discussion here emphasizes that purported synapomorphies are also found in other tetrapods, both extinct and extant, and could therefore be homoplastic. The original diagnosis is listed below for reference, and the comparisons proceed in order of listed features. As a nomenclatural note, Brachyopoidea here encompasses Brachyopidae, Chigutisauridae, and Plagiosauridae (following Schoch, 2013); this merely reflects the current state of temnospondyl phylogenetics and is not an explicit endorsement of this hypothesis over the traditional composition to the exclusion of plagiosaurids</w:t>
      </w:r>
      <w:r w:rsidR="003954CF">
        <w:rPr>
          <w:color w:val="000000" w:themeColor="text1"/>
        </w:rPr>
        <w:t xml:space="preserve"> (e.g., Warren &amp; Marsicano, 2000)</w:t>
      </w:r>
      <w:r w:rsidRPr="00062F7E">
        <w:rPr>
          <w:color w:val="000000" w:themeColor="text1"/>
        </w:rPr>
        <w:t>.</w:t>
      </w:r>
    </w:p>
    <w:p w14:paraId="1E39F195" w14:textId="77777777" w:rsidR="0072320A" w:rsidRPr="00062F7E" w:rsidRDefault="0072320A" w:rsidP="00662B68">
      <w:pPr>
        <w:rPr>
          <w:color w:val="000000" w:themeColor="text1"/>
        </w:rPr>
      </w:pPr>
    </w:p>
    <w:p w14:paraId="2FF5A35E" w14:textId="138356A6" w:rsidR="0072320A" w:rsidRPr="00062F7E" w:rsidRDefault="0072320A" w:rsidP="00662B68">
      <w:pPr>
        <w:ind w:left="720"/>
        <w:rPr>
          <w:color w:val="000000" w:themeColor="text1"/>
        </w:rPr>
      </w:pPr>
      <w:r w:rsidRPr="00062F7E">
        <w:rPr>
          <w:color w:val="000000" w:themeColor="text1"/>
        </w:rPr>
        <w:t xml:space="preserve">Diagnosis of </w:t>
      </w:r>
      <w:r w:rsidRPr="00062F7E">
        <w:rPr>
          <w:i/>
          <w:iCs/>
          <w:color w:val="000000" w:themeColor="text1"/>
        </w:rPr>
        <w:t xml:space="preserve">Chinlestegophis jenkinsi </w:t>
      </w:r>
      <w:r w:rsidRPr="00062F7E">
        <w:rPr>
          <w:color w:val="000000" w:themeColor="text1"/>
        </w:rPr>
        <w:t>from Pardo et al. (2017a</w:t>
      </w:r>
      <w:r w:rsidR="00706C3A">
        <w:rPr>
          <w:color w:val="000000" w:themeColor="text1"/>
        </w:rPr>
        <w:t>: pg. E5389</w:t>
      </w:r>
      <w:r w:rsidRPr="00062F7E">
        <w:rPr>
          <w:color w:val="000000" w:themeColor="text1"/>
        </w:rPr>
        <w:t xml:space="preserve">): “Small stereospondyl with a combination of brachyopoid and caecilian characteristics. Unique features include the following: lateral line sulcus restricted to suborbital margins of jugal and postorbital; parietal–tabular narrowly contact [may be shared with </w:t>
      </w:r>
      <w:proofErr w:type="spellStart"/>
      <w:r w:rsidRPr="00062F7E">
        <w:rPr>
          <w:i/>
          <w:iCs/>
          <w:color w:val="000000" w:themeColor="text1"/>
        </w:rPr>
        <w:t>Compsoceros</w:t>
      </w:r>
      <w:proofErr w:type="spellEnd"/>
      <w:r w:rsidRPr="00062F7E">
        <w:rPr>
          <w:color w:val="000000" w:themeColor="text1"/>
        </w:rPr>
        <w:t xml:space="preserve">]; postfrontal anterior process long, forming the majority of the dorsomedial border of the orbit; finger-like process of prefrontal interlocks with notch on post-frontal. Shared features with stereospondyls include the following: parasphenoid strongly sutured to pterygoid, supratemporal excluded from otic notch, secondary upper tooth row. A shared feature with stereospondyls and caecilians is </w:t>
      </w:r>
      <w:proofErr w:type="spellStart"/>
      <w:r w:rsidRPr="00062F7E">
        <w:rPr>
          <w:color w:val="000000" w:themeColor="text1"/>
        </w:rPr>
        <w:t>opisthotics</w:t>
      </w:r>
      <w:proofErr w:type="spellEnd"/>
      <w:r w:rsidRPr="00062F7E">
        <w:rPr>
          <w:color w:val="000000" w:themeColor="text1"/>
        </w:rPr>
        <w:t xml:space="preserve"> </w:t>
      </w:r>
      <w:proofErr w:type="spellStart"/>
      <w:r w:rsidR="00FA6E2E">
        <w:rPr>
          <w:color w:val="000000" w:themeColor="text1"/>
        </w:rPr>
        <w:t>coossified</w:t>
      </w:r>
      <w:proofErr w:type="spellEnd"/>
      <w:r w:rsidR="00FA6E2E" w:rsidRPr="00062F7E">
        <w:rPr>
          <w:color w:val="000000" w:themeColor="text1"/>
        </w:rPr>
        <w:t xml:space="preserve"> </w:t>
      </w:r>
      <w:r w:rsidR="00FA6E2E">
        <w:rPr>
          <w:color w:val="000000" w:themeColor="text1"/>
        </w:rPr>
        <w:t xml:space="preserve">to </w:t>
      </w:r>
      <w:r w:rsidRPr="00062F7E">
        <w:rPr>
          <w:color w:val="000000" w:themeColor="text1"/>
        </w:rPr>
        <w:t xml:space="preserve">exoccipitals. Shared features with brachyopoids and caecilians include lacrimal </w:t>
      </w:r>
      <w:proofErr w:type="spellStart"/>
      <w:r w:rsidR="00FA6E2E">
        <w:rPr>
          <w:color w:val="000000" w:themeColor="text1"/>
        </w:rPr>
        <w:t>coossified</w:t>
      </w:r>
      <w:proofErr w:type="spellEnd"/>
      <w:r w:rsidR="00FA6E2E" w:rsidRPr="00062F7E">
        <w:rPr>
          <w:color w:val="000000" w:themeColor="text1"/>
        </w:rPr>
        <w:t xml:space="preserve"> </w:t>
      </w:r>
      <w:r w:rsidRPr="00062F7E">
        <w:rPr>
          <w:color w:val="000000" w:themeColor="text1"/>
        </w:rPr>
        <w:t>to maxilla and two small posterior processes (</w:t>
      </w:r>
      <w:r w:rsidR="00706C3A">
        <w:rPr>
          <w:color w:val="000000" w:themeColor="text1"/>
        </w:rPr>
        <w:t>‘</w:t>
      </w:r>
      <w:r w:rsidRPr="00062F7E">
        <w:rPr>
          <w:color w:val="000000" w:themeColor="text1"/>
        </w:rPr>
        <w:t>horns</w:t>
      </w:r>
      <w:r w:rsidR="00706C3A">
        <w:rPr>
          <w:color w:val="000000" w:themeColor="text1"/>
        </w:rPr>
        <w:t>’</w:t>
      </w:r>
      <w:r w:rsidRPr="00062F7E">
        <w:rPr>
          <w:color w:val="000000" w:themeColor="text1"/>
        </w:rPr>
        <w:t xml:space="preserve">) on the occipital exposure of the tabular, just posterior to otic notch (as in chigutisaurids). Shared features with </w:t>
      </w:r>
      <w:r w:rsidRPr="00062F7E">
        <w:rPr>
          <w:i/>
          <w:iCs/>
          <w:color w:val="000000" w:themeColor="text1"/>
        </w:rPr>
        <w:t>Rileymillerus</w:t>
      </w:r>
      <w:r w:rsidRPr="00062F7E">
        <w:rPr>
          <w:color w:val="000000" w:themeColor="text1"/>
        </w:rPr>
        <w:t xml:space="preserve"> and some other small temnospondyls comprise palatine exposed laterally in ventral margin of the orbit [LEP (lateral exposure of palatine)]. Shared features with </w:t>
      </w:r>
      <w:r w:rsidRPr="00062F7E">
        <w:rPr>
          <w:i/>
          <w:iCs/>
          <w:color w:val="000000" w:themeColor="text1"/>
        </w:rPr>
        <w:t>Rileymillerus</w:t>
      </w:r>
      <w:r w:rsidRPr="00062F7E">
        <w:rPr>
          <w:color w:val="000000" w:themeColor="text1"/>
        </w:rPr>
        <w:t xml:space="preserve"> and caecilians include the following: orbits small and laterally directed. Shared features with caecilians include double tooth row on mandible; quadrate completely anterior to ear; broad, parallel-sided parasphenoid cultriform process &gt;20% skull width; occipital condyles extend far beyond posterior edge of skull roof; and pterygoquadrate. Shared features with some other temnospondyls but not caecilians include large, laterally directed otic notch.”</w:t>
      </w:r>
    </w:p>
    <w:p w14:paraId="7D891680" w14:textId="77777777" w:rsidR="0072320A" w:rsidRPr="00062F7E" w:rsidRDefault="0072320A" w:rsidP="00662B68">
      <w:pPr>
        <w:rPr>
          <w:color w:val="000000" w:themeColor="text1"/>
        </w:rPr>
      </w:pPr>
    </w:p>
    <w:p w14:paraId="4991A632" w14:textId="6310472C" w:rsidR="0009175D" w:rsidRDefault="0071522B" w:rsidP="00662B68">
      <w:pPr>
        <w:rPr>
          <w:color w:val="000000" w:themeColor="text1"/>
        </w:rPr>
      </w:pPr>
      <w:proofErr w:type="spellStart"/>
      <w:r>
        <w:rPr>
          <w:b/>
          <w:bCs/>
          <w:color w:val="000000" w:themeColor="text1"/>
        </w:rPr>
        <w:t>Opisthotics</w:t>
      </w:r>
      <w:proofErr w:type="spellEnd"/>
      <w:r>
        <w:rPr>
          <w:b/>
          <w:bCs/>
          <w:color w:val="000000" w:themeColor="text1"/>
        </w:rPr>
        <w:t xml:space="preserve"> </w:t>
      </w:r>
      <w:proofErr w:type="spellStart"/>
      <w:r>
        <w:rPr>
          <w:b/>
          <w:bCs/>
          <w:color w:val="000000" w:themeColor="text1"/>
        </w:rPr>
        <w:t>coossified</w:t>
      </w:r>
      <w:proofErr w:type="spellEnd"/>
      <w:r>
        <w:rPr>
          <w:b/>
          <w:bCs/>
          <w:color w:val="000000" w:themeColor="text1"/>
        </w:rPr>
        <w:t xml:space="preserve"> to exoccipitals. </w:t>
      </w:r>
      <w:r>
        <w:rPr>
          <w:color w:val="000000" w:themeColor="text1"/>
        </w:rPr>
        <w:t xml:space="preserve">The </w:t>
      </w:r>
      <w:r w:rsidR="00F87ECE">
        <w:rPr>
          <w:color w:val="000000" w:themeColor="text1"/>
        </w:rPr>
        <w:t xml:space="preserve">developmental </w:t>
      </w:r>
      <w:r>
        <w:rPr>
          <w:color w:val="000000" w:themeColor="text1"/>
        </w:rPr>
        <w:t xml:space="preserve">fate of the opisthotic is widely variable among stereospondyls. In </w:t>
      </w:r>
      <w:r w:rsidR="007D597A">
        <w:rPr>
          <w:color w:val="000000" w:themeColor="text1"/>
        </w:rPr>
        <w:t>some</w:t>
      </w:r>
      <w:r>
        <w:rPr>
          <w:color w:val="000000" w:themeColor="text1"/>
        </w:rPr>
        <w:t xml:space="preserve"> taxa</w:t>
      </w:r>
      <w:r w:rsidR="007D597A">
        <w:rPr>
          <w:color w:val="000000" w:themeColor="text1"/>
        </w:rPr>
        <w:t xml:space="preserve"> like the iconic large capitosaur </w:t>
      </w:r>
      <w:r w:rsidR="007D597A">
        <w:rPr>
          <w:i/>
          <w:iCs/>
          <w:color w:val="000000" w:themeColor="text1"/>
        </w:rPr>
        <w:t>Mastodonsaurus</w:t>
      </w:r>
      <w:r w:rsidR="00394DF1">
        <w:rPr>
          <w:i/>
          <w:iCs/>
          <w:color w:val="000000" w:themeColor="text1"/>
        </w:rPr>
        <w:t xml:space="preserve"> giganteus</w:t>
      </w:r>
      <w:r>
        <w:rPr>
          <w:color w:val="000000" w:themeColor="text1"/>
        </w:rPr>
        <w:t xml:space="preserve">, it definitively </w:t>
      </w:r>
      <w:proofErr w:type="spellStart"/>
      <w:r>
        <w:rPr>
          <w:color w:val="000000" w:themeColor="text1"/>
        </w:rPr>
        <w:t>coossifies</w:t>
      </w:r>
      <w:proofErr w:type="spellEnd"/>
      <w:r>
        <w:rPr>
          <w:color w:val="000000" w:themeColor="text1"/>
        </w:rPr>
        <w:t xml:space="preserve"> with </w:t>
      </w:r>
      <w:r w:rsidR="007D597A">
        <w:rPr>
          <w:color w:val="000000" w:themeColor="text1"/>
        </w:rPr>
        <w:t xml:space="preserve">the </w:t>
      </w:r>
      <w:proofErr w:type="spellStart"/>
      <w:r w:rsidR="007D597A">
        <w:rPr>
          <w:color w:val="000000" w:themeColor="text1"/>
        </w:rPr>
        <w:t>prootic</w:t>
      </w:r>
      <w:proofErr w:type="spellEnd"/>
      <w:r w:rsidR="007D597A">
        <w:rPr>
          <w:color w:val="000000" w:themeColor="text1"/>
        </w:rPr>
        <w:t xml:space="preserve"> to form a single otic element that in turn </w:t>
      </w:r>
      <w:proofErr w:type="spellStart"/>
      <w:r w:rsidR="007D597A">
        <w:rPr>
          <w:color w:val="000000" w:themeColor="text1"/>
        </w:rPr>
        <w:t>co</w:t>
      </w:r>
      <w:r w:rsidR="00337A4B">
        <w:rPr>
          <w:color w:val="000000" w:themeColor="text1"/>
        </w:rPr>
        <w:t>o</w:t>
      </w:r>
      <w:r w:rsidR="007D597A">
        <w:rPr>
          <w:color w:val="000000" w:themeColor="text1"/>
        </w:rPr>
        <w:t>ssifies</w:t>
      </w:r>
      <w:proofErr w:type="spellEnd"/>
      <w:r w:rsidR="007D597A">
        <w:rPr>
          <w:color w:val="000000" w:themeColor="text1"/>
        </w:rPr>
        <w:t xml:space="preserve"> with the exoccipital (Schoch, 1999</w:t>
      </w:r>
      <w:r w:rsidR="00FD6FD4">
        <w:rPr>
          <w:color w:val="000000" w:themeColor="text1"/>
        </w:rPr>
        <w:t>a</w:t>
      </w:r>
      <w:r w:rsidR="009740BE">
        <w:rPr>
          <w:color w:val="000000" w:themeColor="text1"/>
        </w:rPr>
        <w:t>, 2002</w:t>
      </w:r>
      <w:r w:rsidR="007D597A">
        <w:rPr>
          <w:color w:val="000000" w:themeColor="text1"/>
        </w:rPr>
        <w:t xml:space="preserve">). However, </w:t>
      </w:r>
      <w:r w:rsidR="00394DF1">
        <w:rPr>
          <w:i/>
          <w:iCs/>
          <w:color w:val="000000" w:themeColor="text1"/>
        </w:rPr>
        <w:t xml:space="preserve">M. giganteus </w:t>
      </w:r>
      <w:r w:rsidR="007D597A">
        <w:rPr>
          <w:color w:val="000000" w:themeColor="text1"/>
        </w:rPr>
        <w:t>is not an appropriate representative for the generalized stereospondyl condition</w:t>
      </w:r>
      <w:r w:rsidR="00045D34">
        <w:rPr>
          <w:color w:val="000000" w:themeColor="text1"/>
        </w:rPr>
        <w:t xml:space="preserve"> because</w:t>
      </w:r>
      <w:r w:rsidR="007D597A">
        <w:rPr>
          <w:color w:val="000000" w:themeColor="text1"/>
        </w:rPr>
        <w:t xml:space="preserve"> it is unusually </w:t>
      </w:r>
      <w:r w:rsidR="00F87ECE">
        <w:rPr>
          <w:color w:val="000000" w:themeColor="text1"/>
        </w:rPr>
        <w:t>heavily</w:t>
      </w:r>
      <w:r w:rsidR="006A0550">
        <w:rPr>
          <w:color w:val="000000" w:themeColor="text1"/>
        </w:rPr>
        <w:t xml:space="preserve"> </w:t>
      </w:r>
      <w:r w:rsidR="007D597A">
        <w:rPr>
          <w:color w:val="000000" w:themeColor="text1"/>
        </w:rPr>
        <w:t>ossified for a stereospondyl, which likely results from its abnormally large size (Schoch, 1999</w:t>
      </w:r>
      <w:r w:rsidR="00FD6FD4">
        <w:rPr>
          <w:color w:val="000000" w:themeColor="text1"/>
        </w:rPr>
        <w:t>a</w:t>
      </w:r>
      <w:r w:rsidR="007D597A">
        <w:rPr>
          <w:color w:val="000000" w:themeColor="text1"/>
        </w:rPr>
        <w:t>).</w:t>
      </w:r>
      <w:r w:rsidR="000368F0">
        <w:rPr>
          <w:color w:val="000000" w:themeColor="text1"/>
        </w:rPr>
        <w:t xml:space="preserve"> </w:t>
      </w:r>
      <w:r w:rsidR="000A2367">
        <w:rPr>
          <w:color w:val="000000" w:themeColor="text1"/>
        </w:rPr>
        <w:t xml:space="preserve">Other capitosaurs do not exhibit a </w:t>
      </w:r>
      <w:proofErr w:type="spellStart"/>
      <w:r w:rsidR="000A2367">
        <w:rPr>
          <w:color w:val="000000" w:themeColor="text1"/>
        </w:rPr>
        <w:t>co</w:t>
      </w:r>
      <w:r w:rsidR="00337A4B">
        <w:rPr>
          <w:color w:val="000000" w:themeColor="text1"/>
        </w:rPr>
        <w:t>o</w:t>
      </w:r>
      <w:r w:rsidR="000A2367">
        <w:rPr>
          <w:color w:val="000000" w:themeColor="text1"/>
        </w:rPr>
        <w:t>ssified</w:t>
      </w:r>
      <w:proofErr w:type="spellEnd"/>
      <w:r w:rsidR="000A2367">
        <w:rPr>
          <w:color w:val="000000" w:themeColor="text1"/>
        </w:rPr>
        <w:t xml:space="preserve"> </w:t>
      </w:r>
      <w:proofErr w:type="spellStart"/>
      <w:r w:rsidR="000A2367">
        <w:rPr>
          <w:color w:val="000000" w:themeColor="text1"/>
        </w:rPr>
        <w:t>otic</w:t>
      </w:r>
      <w:proofErr w:type="spellEnd"/>
      <w:r w:rsidR="000A2367">
        <w:rPr>
          <w:color w:val="000000" w:themeColor="text1"/>
        </w:rPr>
        <w:t xml:space="preserve"> (e.g., Howie, 197</w:t>
      </w:r>
      <w:r w:rsidR="00FD6FD4">
        <w:rPr>
          <w:color w:val="000000" w:themeColor="text1"/>
        </w:rPr>
        <w:t>0</w:t>
      </w:r>
      <w:r w:rsidR="000A2367">
        <w:rPr>
          <w:color w:val="000000" w:themeColor="text1"/>
        </w:rPr>
        <w:t xml:space="preserve">; </w:t>
      </w:r>
      <w:r w:rsidR="009740BE">
        <w:rPr>
          <w:color w:val="000000" w:themeColor="text1"/>
        </w:rPr>
        <w:t>Warren, 1980;</w:t>
      </w:r>
      <w:r w:rsidR="00BF3C1C">
        <w:rPr>
          <w:color w:val="000000" w:themeColor="text1"/>
        </w:rPr>
        <w:t xml:space="preserve"> Morales &amp; </w:t>
      </w:r>
      <w:proofErr w:type="spellStart"/>
      <w:r w:rsidR="00BF3C1C">
        <w:rPr>
          <w:color w:val="000000" w:themeColor="text1"/>
        </w:rPr>
        <w:t>Shishkin</w:t>
      </w:r>
      <w:proofErr w:type="spellEnd"/>
      <w:r w:rsidR="00BF3C1C">
        <w:rPr>
          <w:color w:val="000000" w:themeColor="text1"/>
        </w:rPr>
        <w:t>, 2002;</w:t>
      </w:r>
      <w:r w:rsidR="009740BE">
        <w:rPr>
          <w:color w:val="000000" w:themeColor="text1"/>
        </w:rPr>
        <w:t xml:space="preserve"> </w:t>
      </w:r>
      <w:proofErr w:type="spellStart"/>
      <w:r w:rsidR="000A2367">
        <w:rPr>
          <w:color w:val="000000" w:themeColor="text1"/>
        </w:rPr>
        <w:t>Arbez</w:t>
      </w:r>
      <w:proofErr w:type="spellEnd"/>
      <w:r w:rsidR="000A2367">
        <w:rPr>
          <w:color w:val="000000" w:themeColor="text1"/>
        </w:rPr>
        <w:t xml:space="preserve"> et al., 2017) or have an otic that is not </w:t>
      </w:r>
      <w:proofErr w:type="spellStart"/>
      <w:r w:rsidR="000A2367">
        <w:rPr>
          <w:color w:val="000000" w:themeColor="text1"/>
        </w:rPr>
        <w:t>co</w:t>
      </w:r>
      <w:r w:rsidR="00337A4B">
        <w:rPr>
          <w:color w:val="000000" w:themeColor="text1"/>
        </w:rPr>
        <w:t>o</w:t>
      </w:r>
      <w:r w:rsidR="000A2367">
        <w:rPr>
          <w:color w:val="000000" w:themeColor="text1"/>
        </w:rPr>
        <w:t>ssified</w:t>
      </w:r>
      <w:proofErr w:type="spellEnd"/>
      <w:r w:rsidR="000A2367">
        <w:rPr>
          <w:color w:val="000000" w:themeColor="text1"/>
        </w:rPr>
        <w:t xml:space="preserve"> with the exoccipital </w:t>
      </w:r>
      <w:r w:rsidR="009740BE">
        <w:rPr>
          <w:color w:val="000000" w:themeColor="text1"/>
        </w:rPr>
        <w:t>(e.g., Schoch, 1997)</w:t>
      </w:r>
      <w:r w:rsidR="000A2367">
        <w:rPr>
          <w:color w:val="000000" w:themeColor="text1"/>
        </w:rPr>
        <w:t>.</w:t>
      </w:r>
      <w:r w:rsidR="0054405A">
        <w:rPr>
          <w:color w:val="000000" w:themeColor="text1"/>
        </w:rPr>
        <w:t xml:space="preserve"> In general, the otic region remains very poorly described in stereospondyls, mostly due to a lack of exposure and perhaps a lack of ossification (e.g., Chernin, 1977; Warren &amp; Hutchinson, 1983; Sengupta, 1995; Bjerring, 1999; Marsicano, 1999; Yates, 1999; Damiani &amp; Kitching, 2003; Jeannot et al., 2006; Damiani et al., 2009; </w:t>
      </w:r>
      <w:proofErr w:type="spellStart"/>
      <w:r w:rsidR="009740BE">
        <w:rPr>
          <w:color w:val="000000" w:themeColor="text1"/>
        </w:rPr>
        <w:t>Maganuco</w:t>
      </w:r>
      <w:proofErr w:type="spellEnd"/>
      <w:r w:rsidR="009740BE">
        <w:rPr>
          <w:color w:val="000000" w:themeColor="text1"/>
        </w:rPr>
        <w:t xml:space="preserve"> </w:t>
      </w:r>
      <w:r w:rsidR="009F6231">
        <w:rPr>
          <w:color w:val="000000" w:themeColor="text1"/>
        </w:rPr>
        <w:t xml:space="preserve">&amp; </w:t>
      </w:r>
      <w:proofErr w:type="spellStart"/>
      <w:r w:rsidR="009F6231">
        <w:rPr>
          <w:color w:val="000000" w:themeColor="text1"/>
        </w:rPr>
        <w:t>Pasini</w:t>
      </w:r>
      <w:proofErr w:type="spellEnd"/>
      <w:r w:rsidR="009740BE">
        <w:rPr>
          <w:color w:val="000000" w:themeColor="text1"/>
        </w:rPr>
        <w:t xml:space="preserve"> 2009; </w:t>
      </w:r>
      <w:r w:rsidR="0054405A">
        <w:rPr>
          <w:color w:val="000000" w:themeColor="text1"/>
        </w:rPr>
        <w:t>Warren et al., 2011</w:t>
      </w:r>
      <w:r w:rsidR="00CD24B7">
        <w:rPr>
          <w:color w:val="000000" w:themeColor="text1"/>
        </w:rPr>
        <w:t>;</w:t>
      </w:r>
      <w:r w:rsidR="009B6B6D">
        <w:rPr>
          <w:color w:val="000000" w:themeColor="text1"/>
        </w:rPr>
        <w:t xml:space="preserve"> </w:t>
      </w:r>
      <w:proofErr w:type="spellStart"/>
      <w:r w:rsidR="009740BE">
        <w:rPr>
          <w:color w:val="000000" w:themeColor="text1"/>
        </w:rPr>
        <w:t>Marzola</w:t>
      </w:r>
      <w:proofErr w:type="spellEnd"/>
      <w:r w:rsidR="009740BE">
        <w:rPr>
          <w:color w:val="000000" w:themeColor="text1"/>
        </w:rPr>
        <w:t xml:space="preserve"> et al., 2017; Schoch, 2018)</w:t>
      </w:r>
      <w:r w:rsidR="0054405A">
        <w:rPr>
          <w:color w:val="000000" w:themeColor="text1"/>
        </w:rPr>
        <w:t>.</w:t>
      </w:r>
    </w:p>
    <w:p w14:paraId="2507E362" w14:textId="69D52D9A" w:rsidR="0071522B" w:rsidRDefault="00DE2682" w:rsidP="00B05D39">
      <w:pPr>
        <w:ind w:firstLine="720"/>
        <w:rPr>
          <w:color w:val="000000" w:themeColor="text1"/>
        </w:rPr>
      </w:pPr>
      <w:r>
        <w:rPr>
          <w:color w:val="000000" w:themeColor="text1"/>
        </w:rPr>
        <w:t xml:space="preserve">In addition to the general paucity of described otic capsules among stereospondyls, many clades </w:t>
      </w:r>
      <w:r w:rsidR="00F353B0">
        <w:rPr>
          <w:color w:val="000000" w:themeColor="text1"/>
        </w:rPr>
        <w:t>include</w:t>
      </w:r>
      <w:r w:rsidR="000A2367">
        <w:rPr>
          <w:color w:val="000000" w:themeColor="text1"/>
        </w:rPr>
        <w:t xml:space="preserve"> members </w:t>
      </w:r>
      <w:r>
        <w:rPr>
          <w:color w:val="000000" w:themeColor="text1"/>
        </w:rPr>
        <w:t>in which the opisthotic remained cartilaginous</w:t>
      </w:r>
      <w:r w:rsidR="000A2367">
        <w:rPr>
          <w:color w:val="000000" w:themeColor="text1"/>
        </w:rPr>
        <w:t xml:space="preserve">, such as </w:t>
      </w:r>
      <w:r w:rsidR="0009175D">
        <w:rPr>
          <w:color w:val="000000" w:themeColor="text1"/>
        </w:rPr>
        <w:t>trematosaurs</w:t>
      </w:r>
      <w:r w:rsidR="000A2367">
        <w:rPr>
          <w:color w:val="000000" w:themeColor="text1"/>
        </w:rPr>
        <w:t xml:space="preserve"> (e.g., </w:t>
      </w:r>
      <w:proofErr w:type="spellStart"/>
      <w:r w:rsidR="000A2367">
        <w:rPr>
          <w:color w:val="000000" w:themeColor="text1"/>
        </w:rPr>
        <w:t>Sulej</w:t>
      </w:r>
      <w:proofErr w:type="spellEnd"/>
      <w:r w:rsidR="000A2367">
        <w:rPr>
          <w:color w:val="000000" w:themeColor="text1"/>
        </w:rPr>
        <w:t>, 2007</w:t>
      </w:r>
      <w:r w:rsidR="0009175D">
        <w:rPr>
          <w:color w:val="000000" w:themeColor="text1"/>
        </w:rPr>
        <w:t>; Schoch, 2019</w:t>
      </w:r>
      <w:r w:rsidR="00997EF1">
        <w:rPr>
          <w:color w:val="000000" w:themeColor="text1"/>
        </w:rPr>
        <w:t>b</w:t>
      </w:r>
      <w:r w:rsidR="000A2367">
        <w:rPr>
          <w:color w:val="000000" w:themeColor="text1"/>
        </w:rPr>
        <w:t>)</w:t>
      </w:r>
      <w:r w:rsidR="00F87ECE">
        <w:rPr>
          <w:color w:val="000000" w:themeColor="text1"/>
        </w:rPr>
        <w:t>,</w:t>
      </w:r>
      <w:r w:rsidR="000A2367">
        <w:rPr>
          <w:color w:val="000000" w:themeColor="text1"/>
        </w:rPr>
        <w:t xml:space="preserve"> </w:t>
      </w:r>
      <w:proofErr w:type="spellStart"/>
      <w:r w:rsidR="00C0180C">
        <w:rPr>
          <w:color w:val="000000" w:themeColor="text1"/>
        </w:rPr>
        <w:t>capitosaurs</w:t>
      </w:r>
      <w:proofErr w:type="spellEnd"/>
      <w:r w:rsidR="00C0180C">
        <w:rPr>
          <w:color w:val="000000" w:themeColor="text1"/>
        </w:rPr>
        <w:t xml:space="preserve"> (Welles &amp; </w:t>
      </w:r>
      <w:proofErr w:type="spellStart"/>
      <w:r w:rsidR="00C0180C">
        <w:rPr>
          <w:color w:val="000000" w:themeColor="text1"/>
        </w:rPr>
        <w:t>Cosgriff</w:t>
      </w:r>
      <w:proofErr w:type="spellEnd"/>
      <w:r w:rsidR="00C0180C">
        <w:rPr>
          <w:color w:val="000000" w:themeColor="text1"/>
        </w:rPr>
        <w:t>, 1965)</w:t>
      </w:r>
      <w:r w:rsidR="00F87ECE">
        <w:rPr>
          <w:color w:val="000000" w:themeColor="text1"/>
        </w:rPr>
        <w:t>,</w:t>
      </w:r>
      <w:r w:rsidR="00C0180C">
        <w:rPr>
          <w:color w:val="000000" w:themeColor="text1"/>
        </w:rPr>
        <w:t xml:space="preserve"> </w:t>
      </w:r>
      <w:r w:rsidR="00BF3C1C">
        <w:rPr>
          <w:color w:val="000000" w:themeColor="text1"/>
        </w:rPr>
        <w:t>and rhinesuchids (Dias &amp; Schultz, 2003)</w:t>
      </w:r>
      <w:r w:rsidR="000368F0">
        <w:rPr>
          <w:color w:val="000000" w:themeColor="text1"/>
        </w:rPr>
        <w:t xml:space="preserve">, and others exhibit distinct </w:t>
      </w:r>
      <w:proofErr w:type="spellStart"/>
      <w:r w:rsidR="000368F0">
        <w:rPr>
          <w:color w:val="000000" w:themeColor="text1"/>
        </w:rPr>
        <w:t>opisthotics</w:t>
      </w:r>
      <w:proofErr w:type="spellEnd"/>
      <w:r w:rsidR="000368F0">
        <w:rPr>
          <w:color w:val="000000" w:themeColor="text1"/>
        </w:rPr>
        <w:t xml:space="preserve"> not </w:t>
      </w:r>
      <w:proofErr w:type="spellStart"/>
      <w:r w:rsidR="000368F0">
        <w:rPr>
          <w:color w:val="000000" w:themeColor="text1"/>
        </w:rPr>
        <w:t>co</w:t>
      </w:r>
      <w:r w:rsidR="006A2634">
        <w:rPr>
          <w:color w:val="000000" w:themeColor="text1"/>
        </w:rPr>
        <w:t>o</w:t>
      </w:r>
      <w:r w:rsidR="000368F0">
        <w:rPr>
          <w:color w:val="000000" w:themeColor="text1"/>
        </w:rPr>
        <w:t>ssified</w:t>
      </w:r>
      <w:proofErr w:type="spellEnd"/>
      <w:r w:rsidR="000368F0">
        <w:rPr>
          <w:color w:val="000000" w:themeColor="text1"/>
        </w:rPr>
        <w:t xml:space="preserve"> with the exoccipitals</w:t>
      </w:r>
      <w:r w:rsidR="00F353B0">
        <w:rPr>
          <w:color w:val="000000" w:themeColor="text1"/>
        </w:rPr>
        <w:t xml:space="preserve"> or with the prootics</w:t>
      </w:r>
      <w:r w:rsidR="000368F0">
        <w:rPr>
          <w:color w:val="000000" w:themeColor="text1"/>
        </w:rPr>
        <w:t xml:space="preserve"> (e.g., Wilson, 1941; Hewison, 2007)</w:t>
      </w:r>
      <w:r w:rsidR="00BF3C1C">
        <w:rPr>
          <w:color w:val="000000" w:themeColor="text1"/>
        </w:rPr>
        <w:t xml:space="preserve">. </w:t>
      </w:r>
      <w:r w:rsidR="00F353B0">
        <w:rPr>
          <w:color w:val="000000" w:themeColor="text1"/>
        </w:rPr>
        <w:t>Furthermore</w:t>
      </w:r>
      <w:r w:rsidR="00BF3C1C">
        <w:rPr>
          <w:color w:val="000000" w:themeColor="text1"/>
        </w:rPr>
        <w:t xml:space="preserve">, </w:t>
      </w:r>
      <w:proofErr w:type="spellStart"/>
      <w:r w:rsidR="00BF3C1C">
        <w:rPr>
          <w:color w:val="000000" w:themeColor="text1"/>
        </w:rPr>
        <w:t>co</w:t>
      </w:r>
      <w:r w:rsidR="00843D4E">
        <w:rPr>
          <w:color w:val="000000" w:themeColor="text1"/>
        </w:rPr>
        <w:t>o</w:t>
      </w:r>
      <w:r w:rsidR="00BF3C1C">
        <w:rPr>
          <w:color w:val="000000" w:themeColor="text1"/>
        </w:rPr>
        <w:t>ssified</w:t>
      </w:r>
      <w:proofErr w:type="spellEnd"/>
      <w:r w:rsidR="00BF3C1C">
        <w:rPr>
          <w:color w:val="000000" w:themeColor="text1"/>
        </w:rPr>
        <w:t xml:space="preserve"> </w:t>
      </w:r>
      <w:proofErr w:type="spellStart"/>
      <w:r w:rsidR="00BF3C1C">
        <w:rPr>
          <w:color w:val="000000" w:themeColor="text1"/>
        </w:rPr>
        <w:t>otics</w:t>
      </w:r>
      <w:proofErr w:type="spellEnd"/>
      <w:r w:rsidR="00F353B0">
        <w:rPr>
          <w:color w:val="000000" w:themeColor="text1"/>
        </w:rPr>
        <w:t xml:space="preserve"> </w:t>
      </w:r>
      <w:r w:rsidR="008768B4">
        <w:rPr>
          <w:color w:val="000000" w:themeColor="text1"/>
        </w:rPr>
        <w:t>that are</w:t>
      </w:r>
      <w:r w:rsidR="00F87ECE">
        <w:rPr>
          <w:color w:val="000000" w:themeColor="text1"/>
        </w:rPr>
        <w:t xml:space="preserve"> </w:t>
      </w:r>
      <w:r w:rsidR="00F353B0">
        <w:rPr>
          <w:color w:val="000000" w:themeColor="text1"/>
        </w:rPr>
        <w:t xml:space="preserve">not </w:t>
      </w:r>
      <w:proofErr w:type="spellStart"/>
      <w:r w:rsidR="00F353B0">
        <w:rPr>
          <w:color w:val="000000" w:themeColor="text1"/>
        </w:rPr>
        <w:t>c</w:t>
      </w:r>
      <w:r w:rsidR="00BA6CDD">
        <w:rPr>
          <w:color w:val="000000" w:themeColor="text1"/>
        </w:rPr>
        <w:t>o</w:t>
      </w:r>
      <w:r w:rsidR="00F353B0">
        <w:rPr>
          <w:color w:val="000000" w:themeColor="text1"/>
        </w:rPr>
        <w:t>ossified</w:t>
      </w:r>
      <w:proofErr w:type="spellEnd"/>
      <w:r w:rsidR="00F353B0">
        <w:rPr>
          <w:color w:val="000000" w:themeColor="text1"/>
        </w:rPr>
        <w:t xml:space="preserve"> with the exoccipitals</w:t>
      </w:r>
      <w:r w:rsidR="00BF3C1C">
        <w:rPr>
          <w:color w:val="000000" w:themeColor="text1"/>
        </w:rPr>
        <w:t xml:space="preserve"> occur in many large and/or terrestrial non-stereospondyls, such as </w:t>
      </w:r>
      <w:r w:rsidR="00BF3C1C">
        <w:rPr>
          <w:i/>
          <w:iCs/>
          <w:color w:val="000000" w:themeColor="text1"/>
        </w:rPr>
        <w:t>Edops</w:t>
      </w:r>
      <w:r w:rsidR="00394DF1">
        <w:rPr>
          <w:i/>
          <w:iCs/>
          <w:color w:val="000000" w:themeColor="text1"/>
        </w:rPr>
        <w:t xml:space="preserve"> craigi</w:t>
      </w:r>
      <w:r w:rsidR="00BF3C1C">
        <w:rPr>
          <w:color w:val="000000" w:themeColor="text1"/>
        </w:rPr>
        <w:t xml:space="preserve"> (Romer &amp; Witter, 1942), </w:t>
      </w:r>
      <w:r w:rsidR="00BF3C1C">
        <w:rPr>
          <w:i/>
          <w:iCs/>
          <w:color w:val="000000" w:themeColor="text1"/>
        </w:rPr>
        <w:t xml:space="preserve">Eryops </w:t>
      </w:r>
      <w:r w:rsidR="00394DF1">
        <w:rPr>
          <w:i/>
          <w:iCs/>
          <w:color w:val="000000" w:themeColor="text1"/>
        </w:rPr>
        <w:t xml:space="preserve">megacephalus </w:t>
      </w:r>
      <w:r w:rsidR="00BF3C1C">
        <w:rPr>
          <w:color w:val="000000" w:themeColor="text1"/>
        </w:rPr>
        <w:t xml:space="preserve">(Sawin, 1941), and </w:t>
      </w:r>
      <w:r w:rsidR="00F87ECE">
        <w:rPr>
          <w:color w:val="000000" w:themeColor="text1"/>
        </w:rPr>
        <w:t>‘</w:t>
      </w:r>
      <w:r w:rsidR="00F87ECE" w:rsidRPr="00045D34">
        <w:rPr>
          <w:i/>
          <w:iCs/>
          <w:color w:val="000000" w:themeColor="text1"/>
        </w:rPr>
        <w:t>D</w:t>
      </w:r>
      <w:r w:rsidR="00BF3C1C">
        <w:rPr>
          <w:i/>
          <w:iCs/>
          <w:color w:val="000000" w:themeColor="text1"/>
        </w:rPr>
        <w:t>endrerpeton</w:t>
      </w:r>
      <w:r w:rsidR="00F87ECE" w:rsidRPr="00F24E1D">
        <w:rPr>
          <w:color w:val="000000" w:themeColor="text1"/>
        </w:rPr>
        <w:t>’</w:t>
      </w:r>
      <w:r w:rsidR="00BF3C1C">
        <w:rPr>
          <w:color w:val="000000" w:themeColor="text1"/>
        </w:rPr>
        <w:t xml:space="preserve"> (Robinson et al., 2005), as well as in</w:t>
      </w:r>
      <w:r w:rsidR="006A0550">
        <w:rPr>
          <w:color w:val="000000" w:themeColor="text1"/>
        </w:rPr>
        <w:t xml:space="preserve"> the aquatic</w:t>
      </w:r>
      <w:r w:rsidR="00BF3C1C">
        <w:rPr>
          <w:color w:val="000000" w:themeColor="text1"/>
        </w:rPr>
        <w:t xml:space="preserve"> </w:t>
      </w:r>
      <w:r w:rsidR="00BF3C1C">
        <w:rPr>
          <w:i/>
          <w:iCs/>
          <w:color w:val="000000" w:themeColor="text1"/>
        </w:rPr>
        <w:t>Trimerorhachis</w:t>
      </w:r>
      <w:r w:rsidR="00394DF1">
        <w:rPr>
          <w:i/>
          <w:iCs/>
          <w:color w:val="000000" w:themeColor="text1"/>
        </w:rPr>
        <w:t xml:space="preserve"> insignis</w:t>
      </w:r>
      <w:r w:rsidR="00BF3C1C">
        <w:rPr>
          <w:i/>
          <w:iCs/>
          <w:color w:val="000000" w:themeColor="text1"/>
        </w:rPr>
        <w:t xml:space="preserve"> </w:t>
      </w:r>
      <w:r w:rsidR="00BF3C1C">
        <w:rPr>
          <w:color w:val="000000" w:themeColor="text1"/>
        </w:rPr>
        <w:t xml:space="preserve">(Schoch, 1999b). </w:t>
      </w:r>
      <w:r w:rsidR="00F353B0">
        <w:rPr>
          <w:color w:val="000000" w:themeColor="text1"/>
        </w:rPr>
        <w:t>A</w:t>
      </w:r>
      <w:r w:rsidR="0027063E">
        <w:rPr>
          <w:color w:val="000000" w:themeColor="text1"/>
        </w:rPr>
        <w:t>s discussed by Witzmann et al. (2012:46), the presence of a compound otic in many stem tetrapods may indicate that this is the plesiomorphic condition for crown tetrapods</w:t>
      </w:r>
      <w:r w:rsidR="003912E6">
        <w:rPr>
          <w:color w:val="000000" w:themeColor="text1"/>
        </w:rPr>
        <w:t xml:space="preserve">. </w:t>
      </w:r>
      <w:r w:rsidR="0054405A">
        <w:rPr>
          <w:color w:val="000000" w:themeColor="text1"/>
        </w:rPr>
        <w:t xml:space="preserve">Pardo et al. (2017a) also </w:t>
      </w:r>
      <w:r w:rsidR="00045D34">
        <w:rPr>
          <w:color w:val="000000" w:themeColor="text1"/>
        </w:rPr>
        <w:t xml:space="preserve">made </w:t>
      </w:r>
      <w:r w:rsidR="0054405A">
        <w:rPr>
          <w:color w:val="000000" w:themeColor="text1"/>
        </w:rPr>
        <w:t xml:space="preserve">no mention of the prootic or of a compound </w:t>
      </w:r>
      <w:proofErr w:type="spellStart"/>
      <w:r w:rsidR="0054405A">
        <w:rPr>
          <w:color w:val="000000" w:themeColor="text1"/>
        </w:rPr>
        <w:t>otic</w:t>
      </w:r>
      <w:proofErr w:type="spellEnd"/>
      <w:r w:rsidR="0054405A">
        <w:rPr>
          <w:color w:val="000000" w:themeColor="text1"/>
        </w:rPr>
        <w:t xml:space="preserve">, and the </w:t>
      </w:r>
      <w:proofErr w:type="spellStart"/>
      <w:r w:rsidR="00163B13">
        <w:rPr>
          <w:color w:val="000000" w:themeColor="text1"/>
        </w:rPr>
        <w:t>coo</w:t>
      </w:r>
      <w:r w:rsidR="0097266E">
        <w:rPr>
          <w:color w:val="000000" w:themeColor="text1"/>
        </w:rPr>
        <w:t>ssification</w:t>
      </w:r>
      <w:proofErr w:type="spellEnd"/>
      <w:r w:rsidR="0054405A">
        <w:rPr>
          <w:color w:val="000000" w:themeColor="text1"/>
        </w:rPr>
        <w:t xml:space="preserve"> of the </w:t>
      </w:r>
      <w:proofErr w:type="spellStart"/>
      <w:r w:rsidR="0054405A">
        <w:rPr>
          <w:color w:val="000000" w:themeColor="text1"/>
        </w:rPr>
        <w:t>opisthotic</w:t>
      </w:r>
      <w:proofErr w:type="spellEnd"/>
      <w:r w:rsidR="0054405A">
        <w:rPr>
          <w:color w:val="000000" w:themeColor="text1"/>
        </w:rPr>
        <w:t xml:space="preserve"> with the exoccipital but not with the prootic would be a very peculiar condition. In short</w:t>
      </w:r>
      <w:r w:rsidR="000368F0">
        <w:rPr>
          <w:color w:val="000000" w:themeColor="text1"/>
        </w:rPr>
        <w:t xml:space="preserve">, the opisthotic and exoccipital are very rarely documented to become </w:t>
      </w:r>
      <w:proofErr w:type="spellStart"/>
      <w:r w:rsidR="000368F0">
        <w:rPr>
          <w:color w:val="000000" w:themeColor="text1"/>
        </w:rPr>
        <w:t>co</w:t>
      </w:r>
      <w:r w:rsidR="00E519AD">
        <w:rPr>
          <w:color w:val="000000" w:themeColor="text1"/>
        </w:rPr>
        <w:t>o</w:t>
      </w:r>
      <w:r w:rsidR="00163B13">
        <w:rPr>
          <w:color w:val="000000" w:themeColor="text1"/>
        </w:rPr>
        <w:t>s</w:t>
      </w:r>
      <w:r w:rsidR="000368F0">
        <w:rPr>
          <w:color w:val="000000" w:themeColor="text1"/>
        </w:rPr>
        <w:t>sified</w:t>
      </w:r>
      <w:proofErr w:type="spellEnd"/>
      <w:r w:rsidR="000368F0">
        <w:rPr>
          <w:color w:val="000000" w:themeColor="text1"/>
        </w:rPr>
        <w:t xml:space="preserve"> in </w:t>
      </w:r>
      <w:proofErr w:type="spellStart"/>
      <w:r w:rsidR="000368F0">
        <w:rPr>
          <w:color w:val="000000" w:themeColor="text1"/>
        </w:rPr>
        <w:t>stereospondyls</w:t>
      </w:r>
      <w:proofErr w:type="spellEnd"/>
      <w:r w:rsidR="000368F0">
        <w:rPr>
          <w:color w:val="000000" w:themeColor="text1"/>
        </w:rPr>
        <w:t xml:space="preserve">, and this feature </w:t>
      </w:r>
      <w:r w:rsidR="00F76EB2">
        <w:rPr>
          <w:color w:val="000000" w:themeColor="text1"/>
        </w:rPr>
        <w:t>should therefore not be treated as a stereospondyl</w:t>
      </w:r>
      <w:r w:rsidR="0054405A">
        <w:rPr>
          <w:color w:val="000000" w:themeColor="text1"/>
        </w:rPr>
        <w:t xml:space="preserve"> </w:t>
      </w:r>
      <w:r w:rsidR="00F76EB2">
        <w:rPr>
          <w:color w:val="000000" w:themeColor="text1"/>
        </w:rPr>
        <w:t>s</w:t>
      </w:r>
      <w:r w:rsidR="0054405A">
        <w:rPr>
          <w:color w:val="000000" w:themeColor="text1"/>
        </w:rPr>
        <w:t>ynapomorphy</w:t>
      </w:r>
      <w:r w:rsidR="00F76EB2">
        <w:rPr>
          <w:color w:val="000000" w:themeColor="text1"/>
        </w:rPr>
        <w:t xml:space="preserve"> or a</w:t>
      </w:r>
      <w:r w:rsidR="0054405A">
        <w:rPr>
          <w:color w:val="000000" w:themeColor="text1"/>
        </w:rPr>
        <w:t>s</w:t>
      </w:r>
      <w:r w:rsidR="00F76EB2">
        <w:rPr>
          <w:color w:val="000000" w:themeColor="text1"/>
        </w:rPr>
        <w:t xml:space="preserve"> </w:t>
      </w:r>
      <w:r w:rsidR="0054405A">
        <w:rPr>
          <w:color w:val="000000" w:themeColor="text1"/>
        </w:rPr>
        <w:t>a</w:t>
      </w:r>
      <w:r w:rsidR="00F76EB2">
        <w:rPr>
          <w:color w:val="000000" w:themeColor="text1"/>
        </w:rPr>
        <w:t xml:space="preserve"> synapomorphy with caecilians.</w:t>
      </w:r>
    </w:p>
    <w:p w14:paraId="512087D8" w14:textId="77777777" w:rsidR="0071522B" w:rsidRDefault="0071522B" w:rsidP="00662B68">
      <w:pPr>
        <w:rPr>
          <w:color w:val="000000" w:themeColor="text1"/>
        </w:rPr>
      </w:pPr>
    </w:p>
    <w:p w14:paraId="0F312609" w14:textId="64064D7C" w:rsidR="0072320A" w:rsidRPr="00062F7E" w:rsidRDefault="003912E6" w:rsidP="00662B68">
      <w:pPr>
        <w:rPr>
          <w:color w:val="000000" w:themeColor="text1"/>
        </w:rPr>
      </w:pPr>
      <w:r>
        <w:rPr>
          <w:b/>
          <w:bCs/>
          <w:color w:val="000000" w:themeColor="text1"/>
        </w:rPr>
        <w:t xml:space="preserve">Lacrimal </w:t>
      </w:r>
      <w:proofErr w:type="spellStart"/>
      <w:r>
        <w:rPr>
          <w:b/>
          <w:bCs/>
          <w:color w:val="000000" w:themeColor="text1"/>
        </w:rPr>
        <w:t>co</w:t>
      </w:r>
      <w:r w:rsidR="00337A4B">
        <w:rPr>
          <w:b/>
          <w:bCs/>
          <w:color w:val="000000" w:themeColor="text1"/>
        </w:rPr>
        <w:t>o</w:t>
      </w:r>
      <w:r>
        <w:rPr>
          <w:b/>
          <w:bCs/>
          <w:color w:val="000000" w:themeColor="text1"/>
        </w:rPr>
        <w:t>ssified</w:t>
      </w:r>
      <w:proofErr w:type="spellEnd"/>
      <w:r>
        <w:rPr>
          <w:b/>
          <w:bCs/>
          <w:color w:val="000000" w:themeColor="text1"/>
        </w:rPr>
        <w:t xml:space="preserve"> with maxilla. </w:t>
      </w:r>
      <w:r w:rsidR="0072320A" w:rsidRPr="00062F7E">
        <w:rPr>
          <w:color w:val="000000" w:themeColor="text1"/>
        </w:rPr>
        <w:t>The interpretation of the circumorbital bones (</w:t>
      </w:r>
      <w:r w:rsidR="00333C1E">
        <w:rPr>
          <w:color w:val="000000" w:themeColor="text1"/>
        </w:rPr>
        <w:t xml:space="preserve">i.e., the </w:t>
      </w:r>
      <w:r w:rsidR="0072320A" w:rsidRPr="00062F7E">
        <w:rPr>
          <w:color w:val="000000" w:themeColor="text1"/>
        </w:rPr>
        <w:t xml:space="preserve">presence/absence of a lacrimal and presence/absence of a LEP) is both contentious and critical to the interpretation of </w:t>
      </w:r>
      <w:r w:rsidR="0072320A" w:rsidRPr="00062F7E">
        <w:rPr>
          <w:i/>
          <w:iCs/>
          <w:color w:val="000000" w:themeColor="text1"/>
        </w:rPr>
        <w:t>Chinlestegophis jenkinsi</w:t>
      </w:r>
      <w:r w:rsidR="0072320A" w:rsidRPr="00062F7E">
        <w:rPr>
          <w:color w:val="000000" w:themeColor="text1"/>
        </w:rPr>
        <w:t xml:space="preserve">. Pardo et al. (2017a) argued that the lacrimal is not a distinct ossification in </w:t>
      </w:r>
      <w:r w:rsidR="00394DF1">
        <w:rPr>
          <w:i/>
          <w:iCs/>
          <w:color w:val="000000" w:themeColor="text1"/>
        </w:rPr>
        <w:t>C.</w:t>
      </w:r>
      <w:r w:rsidR="00394DF1" w:rsidRPr="00062F7E">
        <w:rPr>
          <w:i/>
          <w:iCs/>
          <w:color w:val="000000" w:themeColor="text1"/>
        </w:rPr>
        <w:t xml:space="preserve"> </w:t>
      </w:r>
      <w:proofErr w:type="spellStart"/>
      <w:r w:rsidR="0072320A" w:rsidRPr="00062F7E">
        <w:rPr>
          <w:i/>
          <w:iCs/>
          <w:color w:val="000000" w:themeColor="text1"/>
        </w:rPr>
        <w:t>jenkinsi</w:t>
      </w:r>
      <w:proofErr w:type="spellEnd"/>
      <w:r w:rsidR="0072320A" w:rsidRPr="00062F7E">
        <w:rPr>
          <w:color w:val="000000" w:themeColor="text1"/>
        </w:rPr>
        <w:t xml:space="preserve">, having </w:t>
      </w:r>
      <w:proofErr w:type="spellStart"/>
      <w:r w:rsidR="00FA6E2E">
        <w:rPr>
          <w:color w:val="000000" w:themeColor="text1"/>
        </w:rPr>
        <w:t>coossified</w:t>
      </w:r>
      <w:proofErr w:type="spellEnd"/>
      <w:r w:rsidR="00FA6E2E" w:rsidRPr="00062F7E">
        <w:rPr>
          <w:color w:val="000000" w:themeColor="text1"/>
        </w:rPr>
        <w:t xml:space="preserve"> </w:t>
      </w:r>
      <w:r w:rsidR="0072320A" w:rsidRPr="00062F7E">
        <w:rPr>
          <w:color w:val="000000" w:themeColor="text1"/>
        </w:rPr>
        <w:t xml:space="preserve">with the maxilla, with a corresponding anterior shift of the prefrontal and the postfrontal to frame the orbit anteromedially. The purported </w:t>
      </w:r>
      <w:proofErr w:type="spellStart"/>
      <w:r w:rsidR="00FA6E2E">
        <w:rPr>
          <w:color w:val="000000" w:themeColor="text1"/>
        </w:rPr>
        <w:t>coossification</w:t>
      </w:r>
      <w:proofErr w:type="spellEnd"/>
      <w:r w:rsidR="00FA6E2E" w:rsidRPr="00062F7E">
        <w:rPr>
          <w:color w:val="000000" w:themeColor="text1"/>
        </w:rPr>
        <w:t xml:space="preserve"> </w:t>
      </w:r>
      <w:r w:rsidR="0072320A" w:rsidRPr="00062F7E">
        <w:rPr>
          <w:color w:val="000000" w:themeColor="text1"/>
        </w:rPr>
        <w:t>of the lacrimal with the maxilla is based on the position of the nasolacrimal duct, typically housed within the lacrimal in temnospondyls</w:t>
      </w:r>
      <w:r w:rsidR="009E02A7">
        <w:rPr>
          <w:color w:val="000000" w:themeColor="text1"/>
        </w:rPr>
        <w:t xml:space="preserve"> </w:t>
      </w:r>
      <w:r w:rsidR="009E02A7" w:rsidRPr="00062F7E">
        <w:rPr>
          <w:color w:val="000000" w:themeColor="text1"/>
        </w:rPr>
        <w:t>(see visualization by Anderson &amp; Bolt, 2013, for example)</w:t>
      </w:r>
      <w:r w:rsidR="0072320A" w:rsidRPr="00062F7E">
        <w:rPr>
          <w:color w:val="000000" w:themeColor="text1"/>
        </w:rPr>
        <w:t xml:space="preserve">, </w:t>
      </w:r>
      <w:r w:rsidR="00D34EC1">
        <w:rPr>
          <w:color w:val="000000" w:themeColor="text1"/>
        </w:rPr>
        <w:t xml:space="preserve">and </w:t>
      </w:r>
      <w:r w:rsidR="009E02A7">
        <w:rPr>
          <w:color w:val="000000" w:themeColor="text1"/>
        </w:rPr>
        <w:t xml:space="preserve">which occurs </w:t>
      </w:r>
      <w:r w:rsidR="0072320A" w:rsidRPr="00062F7E">
        <w:rPr>
          <w:color w:val="000000" w:themeColor="text1"/>
        </w:rPr>
        <w:t>within the dorsal lamina of the maxilla</w:t>
      </w:r>
      <w:r w:rsidR="009E02A7">
        <w:rPr>
          <w:color w:val="000000" w:themeColor="text1"/>
        </w:rPr>
        <w:t xml:space="preserve"> in </w:t>
      </w:r>
      <w:r w:rsidR="009E02A7">
        <w:rPr>
          <w:i/>
          <w:iCs/>
          <w:color w:val="000000" w:themeColor="text1"/>
        </w:rPr>
        <w:t>C. jenkinsi</w:t>
      </w:r>
      <w:r w:rsidR="0072320A" w:rsidRPr="00062F7E">
        <w:rPr>
          <w:color w:val="000000" w:themeColor="text1"/>
        </w:rPr>
        <w:t xml:space="preserve">. The lacrimal is absent in brachyopids and chigutisaurids (the historic Brachyopoidea; Warren &amp; Marsicano, 2000) but is present in plagiosaurids (e.g., Jenkins et al., 2008; Damiani et al., 2009; Schoch &amp; Witzmann, 2012; Schoch et al., 2014), which nest within Brachyopoidea in recent analyses (e.g., Schoch, 2013, and derivates thereof). A lacrimal is absent in most rhytidosteids, an early diverging stereospondyl clade with substantial cranial variation (e.g., Dias-da-Silva &amp; Marsicano, 2011), as well as in some trematosaurs (e.g., Cosgriff &amp; Garbutt, 1972; Steyer, 2002). The enigmatic </w:t>
      </w:r>
      <w:r w:rsidR="0072320A" w:rsidRPr="00062F7E">
        <w:rPr>
          <w:i/>
          <w:iCs/>
          <w:color w:val="000000" w:themeColor="text1"/>
        </w:rPr>
        <w:t>Laidleria gracilis</w:t>
      </w:r>
      <w:r w:rsidR="0072320A" w:rsidRPr="00062F7E">
        <w:rPr>
          <w:color w:val="000000" w:themeColor="text1"/>
        </w:rPr>
        <w:t xml:space="preserve"> either has a very small lacrimal or has no lacrimal at all (Warren, 1998b). This taxon has often been considered a rhytidosteid if </w:t>
      </w:r>
      <w:r w:rsidR="0072320A" w:rsidRPr="00062F7E">
        <w:rPr>
          <w:color w:val="000000" w:themeColor="text1"/>
        </w:rPr>
        <w:lastRenderedPageBreak/>
        <w:t xml:space="preserve">interpreted to lack a lacrimal (e.g., Dias-da-Silva &amp; Marsicano, 2011) but has alternatively been classified as a trematosaur (e.g., Kitching, 1957; McHugh, 2012); in </w:t>
      </w:r>
      <w:r w:rsidR="00D63A5C">
        <w:rPr>
          <w:color w:val="000000" w:themeColor="text1"/>
        </w:rPr>
        <w:t>the</w:t>
      </w:r>
      <w:r w:rsidR="00D63A5C" w:rsidRPr="00062F7E">
        <w:rPr>
          <w:color w:val="000000" w:themeColor="text1"/>
        </w:rPr>
        <w:t xml:space="preserve"> </w:t>
      </w:r>
      <w:r w:rsidR="0072320A" w:rsidRPr="00062F7E">
        <w:rPr>
          <w:color w:val="000000" w:themeColor="text1"/>
        </w:rPr>
        <w:t xml:space="preserve">clade </w:t>
      </w:r>
      <w:proofErr w:type="spellStart"/>
      <w:r w:rsidR="0072320A" w:rsidRPr="00062F7E">
        <w:rPr>
          <w:color w:val="000000" w:themeColor="text1"/>
        </w:rPr>
        <w:t>Laidleriidae</w:t>
      </w:r>
      <w:proofErr w:type="spellEnd"/>
      <w:r w:rsidR="0072320A" w:rsidRPr="00062F7E">
        <w:rPr>
          <w:color w:val="000000" w:themeColor="text1"/>
        </w:rPr>
        <w:t xml:space="preserve"> with </w:t>
      </w:r>
      <w:proofErr w:type="spellStart"/>
      <w:r w:rsidR="0072320A" w:rsidRPr="00062F7E">
        <w:rPr>
          <w:i/>
          <w:iCs/>
          <w:color w:val="000000" w:themeColor="text1"/>
        </w:rPr>
        <w:t>Uruyiella</w:t>
      </w:r>
      <w:proofErr w:type="spellEnd"/>
      <w:r w:rsidR="0072320A" w:rsidRPr="00062F7E">
        <w:rPr>
          <w:i/>
          <w:iCs/>
          <w:color w:val="000000" w:themeColor="text1"/>
        </w:rPr>
        <w:t xml:space="preserve"> </w:t>
      </w:r>
      <w:proofErr w:type="spellStart"/>
      <w:r w:rsidR="0072320A" w:rsidRPr="00062F7E">
        <w:rPr>
          <w:i/>
          <w:iCs/>
          <w:color w:val="000000" w:themeColor="text1"/>
        </w:rPr>
        <w:t>liminea</w:t>
      </w:r>
      <w:proofErr w:type="spellEnd"/>
      <w:r w:rsidR="0072320A" w:rsidRPr="00062F7E">
        <w:rPr>
          <w:i/>
          <w:iCs/>
          <w:color w:val="000000" w:themeColor="text1"/>
        </w:rPr>
        <w:t xml:space="preserve"> </w:t>
      </w:r>
      <w:r w:rsidR="0072320A" w:rsidRPr="00062F7E">
        <w:rPr>
          <w:color w:val="000000" w:themeColor="text1"/>
        </w:rPr>
        <w:t>as the sister group to plagiosaurids but outside of Stereospondyli (Piñeiro et al., 2007</w:t>
      </w:r>
      <w:r w:rsidR="00787A23">
        <w:rPr>
          <w:color w:val="000000" w:themeColor="text1"/>
        </w:rPr>
        <w:t>a</w:t>
      </w:r>
      <w:r w:rsidR="0072320A" w:rsidRPr="00062F7E">
        <w:rPr>
          <w:color w:val="000000" w:themeColor="text1"/>
        </w:rPr>
        <w:t xml:space="preserve">); and as the exclusive sister taxon of plagiosaurids within Stereospondyli (e.g., Yates &amp; Warren, 2000; Schoch, 2013, and derivates thereof). </w:t>
      </w:r>
      <w:r w:rsidR="006A0550" w:rsidRPr="006A0550">
        <w:rPr>
          <w:color w:val="000000" w:themeColor="text1"/>
        </w:rPr>
        <w:t>Finally, the lacrimal is absent in tupilakosaurid dvinosaurs (e.g., Shishkin, 1967, 1973; Warren, 1998a).</w:t>
      </w:r>
    </w:p>
    <w:p w14:paraId="6B8CF2B8" w14:textId="7F4A2F01" w:rsidR="0072320A" w:rsidRPr="00D34EC1" w:rsidRDefault="0072320A" w:rsidP="00662B68">
      <w:pPr>
        <w:ind w:firstLine="720"/>
        <w:rPr>
          <w:color w:val="000000" w:themeColor="text1"/>
        </w:rPr>
      </w:pPr>
      <w:r w:rsidRPr="00062F7E">
        <w:rPr>
          <w:color w:val="000000" w:themeColor="text1"/>
        </w:rPr>
        <w:t xml:space="preserve">In none of these taxa has it been demonstrated that the lacrimal has </w:t>
      </w:r>
      <w:proofErr w:type="spellStart"/>
      <w:r w:rsidR="00FA6E2E">
        <w:rPr>
          <w:color w:val="000000" w:themeColor="text1"/>
        </w:rPr>
        <w:t>coossified</w:t>
      </w:r>
      <w:proofErr w:type="spellEnd"/>
      <w:r w:rsidR="00FA6E2E" w:rsidRPr="00062F7E">
        <w:rPr>
          <w:color w:val="000000" w:themeColor="text1"/>
        </w:rPr>
        <w:t xml:space="preserve"> </w:t>
      </w:r>
      <w:r w:rsidRPr="00062F7E">
        <w:rPr>
          <w:color w:val="000000" w:themeColor="text1"/>
        </w:rPr>
        <w:t xml:space="preserve">with the maxilla via the proxy of the nasolacrimal duct that was utilized in </w:t>
      </w:r>
      <w:r w:rsidRPr="00062F7E">
        <w:rPr>
          <w:i/>
          <w:iCs/>
          <w:color w:val="000000" w:themeColor="text1"/>
        </w:rPr>
        <w:t xml:space="preserve">Chinlestegophis jenkinsi </w:t>
      </w:r>
      <w:r w:rsidRPr="00062F7E">
        <w:rPr>
          <w:color w:val="000000" w:themeColor="text1"/>
        </w:rPr>
        <w:t xml:space="preserve">(high-resolution CT analyses of temnospondyls are rare in general). Therefore, </w:t>
      </w:r>
      <w:r w:rsidR="00045D34">
        <w:rPr>
          <w:color w:val="000000" w:themeColor="text1"/>
        </w:rPr>
        <w:t>whereas</w:t>
      </w:r>
      <w:r w:rsidR="00045D34" w:rsidRPr="00062F7E">
        <w:rPr>
          <w:color w:val="000000" w:themeColor="text1"/>
        </w:rPr>
        <w:t xml:space="preserve"> </w:t>
      </w:r>
      <w:r w:rsidRPr="00062F7E">
        <w:rPr>
          <w:color w:val="000000" w:themeColor="text1"/>
        </w:rPr>
        <w:t xml:space="preserve">the absence of a distinct lacrimal is indeed a shared feature, a lacrimal </w:t>
      </w:r>
      <w:proofErr w:type="spellStart"/>
      <w:r w:rsidR="00FA6E2E">
        <w:rPr>
          <w:color w:val="000000" w:themeColor="text1"/>
        </w:rPr>
        <w:t>coossified</w:t>
      </w:r>
      <w:proofErr w:type="spellEnd"/>
      <w:r w:rsidR="00FA6E2E" w:rsidRPr="00062F7E">
        <w:rPr>
          <w:color w:val="000000" w:themeColor="text1"/>
        </w:rPr>
        <w:t xml:space="preserve"> </w:t>
      </w:r>
      <w:r w:rsidRPr="00062F7E">
        <w:rPr>
          <w:color w:val="000000" w:themeColor="text1"/>
        </w:rPr>
        <w:t>with the maxilla is not an unequivocally shared feature (let alone a synapomorphy) with Brachyopoidea (</w:t>
      </w:r>
      <w:r w:rsidR="00E76331">
        <w:rPr>
          <w:color w:val="000000" w:themeColor="text1"/>
        </w:rPr>
        <w:t>as opposed to</w:t>
      </w:r>
      <w:r w:rsidRPr="00062F7E">
        <w:rPr>
          <w:color w:val="000000" w:themeColor="text1"/>
        </w:rPr>
        <w:t xml:space="preserve"> the diagnosis of </w:t>
      </w:r>
      <w:r w:rsidRPr="00062F7E">
        <w:rPr>
          <w:i/>
          <w:iCs/>
          <w:color w:val="000000" w:themeColor="text1"/>
        </w:rPr>
        <w:t>C. jenkinsi</w:t>
      </w:r>
      <w:r w:rsidRPr="00062F7E">
        <w:rPr>
          <w:color w:val="000000" w:themeColor="text1"/>
        </w:rPr>
        <w:t xml:space="preserve">). A dorsal/medial expansion of the maxilla (sometimes the ‘dorsal lamina’) posterior to the naris, as found in brachyopids and chigutisaurids, cannot be reliably assumed to represent the </w:t>
      </w:r>
      <w:proofErr w:type="spellStart"/>
      <w:r w:rsidR="00FA6E2E">
        <w:rPr>
          <w:color w:val="000000" w:themeColor="text1"/>
        </w:rPr>
        <w:t>coossified</w:t>
      </w:r>
      <w:proofErr w:type="spellEnd"/>
      <w:r w:rsidR="00FA6E2E" w:rsidRPr="00062F7E">
        <w:rPr>
          <w:color w:val="000000" w:themeColor="text1"/>
        </w:rPr>
        <w:t xml:space="preserve"> </w:t>
      </w:r>
      <w:r w:rsidRPr="00062F7E">
        <w:rPr>
          <w:color w:val="000000" w:themeColor="text1"/>
        </w:rPr>
        <w:t xml:space="preserve">lacrimal. This expansion also occurs in taxa with in which the lacrimal is both present and well-separated from the naris, as the maxilla frequently expands to meet the nasal such as in many capitosaurs and trematosaurs (e.g., Case, 1931; </w:t>
      </w:r>
      <w:proofErr w:type="spellStart"/>
      <w:r w:rsidRPr="00062F7E">
        <w:rPr>
          <w:color w:val="000000" w:themeColor="text1"/>
        </w:rPr>
        <w:t>Dutuit</w:t>
      </w:r>
      <w:proofErr w:type="spellEnd"/>
      <w:r w:rsidRPr="00062F7E">
        <w:rPr>
          <w:color w:val="000000" w:themeColor="text1"/>
        </w:rPr>
        <w:t xml:space="preserve">, 1976; Damiani, 2001, 2008; Morales &amp; Shishkin, 2002; Steyer, 2003; Liu &amp; Wang, 2005; </w:t>
      </w:r>
      <w:proofErr w:type="spellStart"/>
      <w:r w:rsidRPr="00062F7E">
        <w:rPr>
          <w:color w:val="000000" w:themeColor="text1"/>
        </w:rPr>
        <w:t>Sulej</w:t>
      </w:r>
      <w:proofErr w:type="spellEnd"/>
      <w:r w:rsidRPr="00062F7E">
        <w:rPr>
          <w:color w:val="000000" w:themeColor="text1"/>
        </w:rPr>
        <w:t xml:space="preserve"> &amp; </w:t>
      </w:r>
      <w:proofErr w:type="spellStart"/>
      <w:r w:rsidRPr="00062F7E">
        <w:rPr>
          <w:color w:val="000000" w:themeColor="text1"/>
        </w:rPr>
        <w:t>Majer</w:t>
      </w:r>
      <w:proofErr w:type="spellEnd"/>
      <w:r w:rsidRPr="00062F7E">
        <w:rPr>
          <w:color w:val="000000" w:themeColor="text1"/>
        </w:rPr>
        <w:t xml:space="preserve">, 2005; </w:t>
      </w:r>
      <w:proofErr w:type="spellStart"/>
      <w:r w:rsidRPr="00062F7E">
        <w:rPr>
          <w:color w:val="000000" w:themeColor="text1"/>
        </w:rPr>
        <w:t>Sulej</w:t>
      </w:r>
      <w:proofErr w:type="spellEnd"/>
      <w:r w:rsidRPr="00062F7E">
        <w:rPr>
          <w:color w:val="000000" w:themeColor="text1"/>
        </w:rPr>
        <w:t>, 2007; Novikov, 2012</w:t>
      </w:r>
      <w:r w:rsidR="008928C2">
        <w:rPr>
          <w:color w:val="000000" w:themeColor="text1"/>
        </w:rPr>
        <w:t>b</w:t>
      </w:r>
      <w:r w:rsidRPr="00062F7E">
        <w:rPr>
          <w:color w:val="000000" w:themeColor="text1"/>
        </w:rPr>
        <w:t>; Liu, 2016; Lucas et al., 2016) or taxa with anteriorly narrowing lacrimals that meet the naris (e.g., some dissoroph</w:t>
      </w:r>
      <w:r w:rsidR="006A0550">
        <w:rPr>
          <w:color w:val="000000" w:themeColor="text1"/>
        </w:rPr>
        <w:t>o</w:t>
      </w:r>
      <w:r w:rsidRPr="00062F7E">
        <w:rPr>
          <w:color w:val="000000" w:themeColor="text1"/>
        </w:rPr>
        <w:t>ids;</w:t>
      </w:r>
      <w:r w:rsidRPr="00062F7E">
        <w:rPr>
          <w:i/>
          <w:iCs/>
          <w:color w:val="000000" w:themeColor="text1"/>
        </w:rPr>
        <w:t xml:space="preserve"> </w:t>
      </w:r>
      <w:r w:rsidR="006A0550">
        <w:rPr>
          <w:i/>
          <w:iCs/>
          <w:color w:val="000000" w:themeColor="text1"/>
        </w:rPr>
        <w:t>Dendrerpeton</w:t>
      </w:r>
      <w:r w:rsidR="00A978C1">
        <w:rPr>
          <w:i/>
          <w:iCs/>
          <w:color w:val="000000" w:themeColor="text1"/>
        </w:rPr>
        <w:t xml:space="preserve"> </w:t>
      </w:r>
      <w:r w:rsidRPr="00062F7E">
        <w:rPr>
          <w:i/>
          <w:iCs/>
          <w:color w:val="000000" w:themeColor="text1"/>
        </w:rPr>
        <w:t>helogenes</w:t>
      </w:r>
      <w:r w:rsidRPr="00062F7E">
        <w:rPr>
          <w:color w:val="000000" w:themeColor="text1"/>
        </w:rPr>
        <w:t xml:space="preserve">; </w:t>
      </w:r>
      <w:r w:rsidRPr="00062F7E">
        <w:rPr>
          <w:i/>
          <w:iCs/>
          <w:color w:val="000000" w:themeColor="text1"/>
        </w:rPr>
        <w:t>Doleserpeton annectens</w:t>
      </w:r>
      <w:r w:rsidRPr="00062F7E">
        <w:rPr>
          <w:color w:val="000000" w:themeColor="text1"/>
        </w:rPr>
        <w:t>;</w:t>
      </w:r>
      <w:r w:rsidRPr="00062F7E">
        <w:rPr>
          <w:i/>
          <w:iCs/>
          <w:color w:val="000000" w:themeColor="text1"/>
        </w:rPr>
        <w:t xml:space="preserve"> </w:t>
      </w:r>
      <w:r w:rsidRPr="00062F7E">
        <w:rPr>
          <w:color w:val="000000" w:themeColor="text1"/>
        </w:rPr>
        <w:t>Holmes et al., 1998; Reisz et al., 2009; Sigurdsen &amp; Bolt, 2010; Holmes et al., 2013; Anderson et al., 2020)</w:t>
      </w:r>
      <w:r w:rsidR="00D34EC1">
        <w:rPr>
          <w:color w:val="000000" w:themeColor="text1"/>
        </w:rPr>
        <w:t xml:space="preserve">. </w:t>
      </w:r>
    </w:p>
    <w:p w14:paraId="2D05D421" w14:textId="77777777" w:rsidR="003912E6" w:rsidRDefault="003912E6" w:rsidP="003912E6">
      <w:pPr>
        <w:rPr>
          <w:color w:val="000000" w:themeColor="text1"/>
        </w:rPr>
      </w:pPr>
    </w:p>
    <w:p w14:paraId="194879AD" w14:textId="3ECA6331" w:rsidR="0072320A" w:rsidRPr="00062F7E" w:rsidRDefault="003912E6" w:rsidP="007F06D1">
      <w:pPr>
        <w:rPr>
          <w:color w:val="000000" w:themeColor="text1"/>
        </w:rPr>
      </w:pPr>
      <w:r w:rsidRPr="00D415F2">
        <w:rPr>
          <w:b/>
          <w:bCs/>
          <w:color w:val="000000" w:themeColor="text1"/>
        </w:rPr>
        <w:t xml:space="preserve">Presence of a lateral exposure of the palatine. </w:t>
      </w:r>
      <w:r w:rsidR="0072320A" w:rsidRPr="00D415F2">
        <w:rPr>
          <w:color w:val="000000" w:themeColor="text1"/>
        </w:rPr>
        <w:t xml:space="preserve">A lateral exposure of the palatine (LEP) is interpreted to occur at the anteroventral corner of the orbit of </w:t>
      </w:r>
      <w:r w:rsidR="0072320A" w:rsidRPr="00D415F2">
        <w:rPr>
          <w:i/>
          <w:iCs/>
          <w:color w:val="000000" w:themeColor="text1"/>
        </w:rPr>
        <w:t>Chinlestegophis jenkinsi</w:t>
      </w:r>
      <w:r w:rsidR="0072320A" w:rsidRPr="00D415F2">
        <w:rPr>
          <w:color w:val="000000" w:themeColor="text1"/>
        </w:rPr>
        <w:t xml:space="preserve">. The identification of the LEP is particularly controversial because it rarely occurs outside of Dissorophoidea, the longstanding candidate clade for a monophyletic lissamphibian origin. A similarly positioned but proportionately smaller element was identified as a LEP in </w:t>
      </w:r>
      <w:r w:rsidR="0072320A" w:rsidRPr="00D415F2">
        <w:rPr>
          <w:i/>
          <w:iCs/>
          <w:color w:val="000000" w:themeColor="text1"/>
        </w:rPr>
        <w:t>Rileymillerus cosgriffi</w:t>
      </w:r>
      <w:r w:rsidR="0072320A" w:rsidRPr="00D415F2">
        <w:rPr>
          <w:color w:val="000000" w:themeColor="text1"/>
        </w:rPr>
        <w:t xml:space="preserve"> (Bolt &amp; Chatterjee, 2000). A LEP is also found in the </w:t>
      </w:r>
      <w:proofErr w:type="spellStart"/>
      <w:r w:rsidR="0072320A" w:rsidRPr="00D415F2">
        <w:rPr>
          <w:color w:val="000000" w:themeColor="text1"/>
        </w:rPr>
        <w:t>eobrachyopid</w:t>
      </w:r>
      <w:proofErr w:type="spellEnd"/>
      <w:r w:rsidR="0072320A" w:rsidRPr="00D415F2">
        <w:rPr>
          <w:color w:val="000000" w:themeColor="text1"/>
        </w:rPr>
        <w:t xml:space="preserve"> </w:t>
      </w:r>
      <w:proofErr w:type="spellStart"/>
      <w:r w:rsidR="0072320A" w:rsidRPr="00D415F2">
        <w:rPr>
          <w:color w:val="000000" w:themeColor="text1"/>
        </w:rPr>
        <w:t>dvinosaurs</w:t>
      </w:r>
      <w:proofErr w:type="spellEnd"/>
      <w:r w:rsidR="0072320A" w:rsidRPr="00D415F2">
        <w:rPr>
          <w:color w:val="000000" w:themeColor="text1"/>
        </w:rPr>
        <w:t xml:space="preserve"> (</w:t>
      </w:r>
      <w:proofErr w:type="spellStart"/>
      <w:r w:rsidR="0072320A" w:rsidRPr="00D415F2">
        <w:rPr>
          <w:color w:val="000000" w:themeColor="text1"/>
        </w:rPr>
        <w:t>Sequeira</w:t>
      </w:r>
      <w:proofErr w:type="spellEnd"/>
      <w:r w:rsidR="0072320A" w:rsidRPr="00D415F2">
        <w:rPr>
          <w:color w:val="000000" w:themeColor="text1"/>
        </w:rPr>
        <w:t>, 19</w:t>
      </w:r>
      <w:r w:rsidR="006A0550">
        <w:rPr>
          <w:color w:val="000000" w:themeColor="text1"/>
        </w:rPr>
        <w:t>9</w:t>
      </w:r>
      <w:r w:rsidR="0072320A" w:rsidRPr="00D415F2">
        <w:rPr>
          <w:color w:val="000000" w:themeColor="text1"/>
        </w:rPr>
        <w:t>8; Englehorn et al., 2008</w:t>
      </w:r>
      <w:r w:rsidR="00B66C33">
        <w:rPr>
          <w:color w:val="000000" w:themeColor="text1"/>
        </w:rPr>
        <w:t xml:space="preserve">; Extended Data Fig. </w:t>
      </w:r>
      <w:r w:rsidR="00EB7BB6">
        <w:rPr>
          <w:color w:val="000000" w:themeColor="text1"/>
        </w:rPr>
        <w:t>9</w:t>
      </w:r>
      <w:r w:rsidR="0072320A" w:rsidRPr="00D415F2">
        <w:rPr>
          <w:color w:val="000000" w:themeColor="text1"/>
        </w:rPr>
        <w:t>) and some tupilakosaurid dvinosaurs (e.g., Shishkin, 196</w:t>
      </w:r>
      <w:r w:rsidR="00CB0AB6" w:rsidRPr="00D415F2">
        <w:rPr>
          <w:color w:val="000000" w:themeColor="text1"/>
        </w:rPr>
        <w:t>7</w:t>
      </w:r>
      <w:r w:rsidR="0072320A" w:rsidRPr="00D415F2">
        <w:rPr>
          <w:color w:val="000000" w:themeColor="text1"/>
        </w:rPr>
        <w:t xml:space="preserve">, 1973; Warren, 1998a); these exposures are more similarly sized to that of </w:t>
      </w:r>
      <w:r w:rsidR="00394DF1" w:rsidRPr="00D415F2">
        <w:rPr>
          <w:i/>
          <w:iCs/>
          <w:color w:val="000000" w:themeColor="text1"/>
        </w:rPr>
        <w:t xml:space="preserve">C. </w:t>
      </w:r>
      <w:r w:rsidR="0072320A" w:rsidRPr="00D415F2">
        <w:rPr>
          <w:i/>
          <w:iCs/>
          <w:color w:val="000000" w:themeColor="text1"/>
        </w:rPr>
        <w:t xml:space="preserve">jenkinsi </w:t>
      </w:r>
      <w:r w:rsidR="0072320A" w:rsidRPr="00D415F2">
        <w:rPr>
          <w:color w:val="000000" w:themeColor="text1"/>
        </w:rPr>
        <w:t>or dissorophoids</w:t>
      </w:r>
      <w:r w:rsidR="00B66C33">
        <w:rPr>
          <w:color w:val="000000" w:themeColor="text1"/>
        </w:rPr>
        <w:t xml:space="preserve"> (Extended Data Fig. </w:t>
      </w:r>
      <w:r w:rsidR="00EB7BB6">
        <w:rPr>
          <w:color w:val="000000" w:themeColor="text1"/>
        </w:rPr>
        <w:t>9</w:t>
      </w:r>
      <w:r w:rsidR="00B66C33">
        <w:rPr>
          <w:color w:val="000000" w:themeColor="text1"/>
        </w:rPr>
        <w:t>)</w:t>
      </w:r>
      <w:r w:rsidR="0072320A" w:rsidRPr="00D415F2">
        <w:rPr>
          <w:color w:val="000000" w:themeColor="text1"/>
        </w:rPr>
        <w:t xml:space="preserve">. While dvinosaurs were once thought to be closely related to brachyopids (hence </w:t>
      </w:r>
      <w:proofErr w:type="spellStart"/>
      <w:r w:rsidR="0072320A" w:rsidRPr="00D415F2">
        <w:rPr>
          <w:color w:val="000000" w:themeColor="text1"/>
        </w:rPr>
        <w:t>Eobrachyopidae</w:t>
      </w:r>
      <w:proofErr w:type="spellEnd"/>
      <w:r w:rsidR="0072320A" w:rsidRPr="00D415F2">
        <w:rPr>
          <w:color w:val="000000" w:themeColor="text1"/>
        </w:rPr>
        <w:t>), they are now considered to be only distantly related (e.g., Schoch, 2013, and derivates thereof; but see dissenting view of Milner on p. 95 of Schoch &amp; Milner, 2014</w:t>
      </w:r>
      <w:r w:rsidR="00145304" w:rsidRPr="00D415F2">
        <w:rPr>
          <w:color w:val="000000" w:themeColor="text1"/>
        </w:rPr>
        <w:t>, for example</w:t>
      </w:r>
      <w:r w:rsidR="0072320A" w:rsidRPr="00D415F2">
        <w:rPr>
          <w:color w:val="000000" w:themeColor="text1"/>
        </w:rPr>
        <w:t xml:space="preserve">). A LEP also occurs in the </w:t>
      </w:r>
      <w:r w:rsidR="0074177F" w:rsidRPr="00D415F2">
        <w:rPr>
          <w:color w:val="000000" w:themeColor="text1"/>
        </w:rPr>
        <w:t>uncertainly-</w:t>
      </w:r>
      <w:r w:rsidR="0072320A" w:rsidRPr="00D415F2">
        <w:rPr>
          <w:color w:val="000000" w:themeColor="text1"/>
        </w:rPr>
        <w:t xml:space="preserve">placed </w:t>
      </w:r>
      <w:proofErr w:type="spellStart"/>
      <w:r w:rsidR="0072320A" w:rsidRPr="00D415F2">
        <w:rPr>
          <w:i/>
          <w:iCs/>
          <w:color w:val="000000" w:themeColor="text1"/>
        </w:rPr>
        <w:t>Perryella</w:t>
      </w:r>
      <w:proofErr w:type="spellEnd"/>
      <w:r w:rsidR="0072320A" w:rsidRPr="00D415F2">
        <w:rPr>
          <w:i/>
          <w:iCs/>
          <w:color w:val="000000" w:themeColor="text1"/>
        </w:rPr>
        <w:t xml:space="preserve"> </w:t>
      </w:r>
      <w:proofErr w:type="spellStart"/>
      <w:r w:rsidR="0072320A" w:rsidRPr="00D415F2">
        <w:rPr>
          <w:i/>
          <w:iCs/>
          <w:color w:val="000000" w:themeColor="text1"/>
        </w:rPr>
        <w:t>olsoni</w:t>
      </w:r>
      <w:proofErr w:type="spellEnd"/>
      <w:r w:rsidR="0072320A" w:rsidRPr="00D415F2">
        <w:rPr>
          <w:i/>
          <w:iCs/>
          <w:color w:val="000000" w:themeColor="text1"/>
        </w:rPr>
        <w:t xml:space="preserve"> </w:t>
      </w:r>
      <w:r w:rsidR="0072320A" w:rsidRPr="00D415F2">
        <w:rPr>
          <w:color w:val="000000" w:themeColor="text1"/>
        </w:rPr>
        <w:t xml:space="preserve">(historically </w:t>
      </w:r>
      <w:proofErr w:type="spellStart"/>
      <w:r w:rsidR="0072320A" w:rsidRPr="00D415F2">
        <w:rPr>
          <w:color w:val="000000" w:themeColor="text1"/>
        </w:rPr>
        <w:t>Temnospondyli</w:t>
      </w:r>
      <w:proofErr w:type="spellEnd"/>
      <w:r w:rsidR="0072320A" w:rsidRPr="00D415F2">
        <w:rPr>
          <w:color w:val="000000" w:themeColor="text1"/>
        </w:rPr>
        <w:t xml:space="preserve"> </w:t>
      </w:r>
      <w:proofErr w:type="spellStart"/>
      <w:r w:rsidR="0072320A" w:rsidRPr="00D415F2">
        <w:rPr>
          <w:i/>
          <w:iCs/>
          <w:color w:val="000000" w:themeColor="text1"/>
        </w:rPr>
        <w:t>incertae</w:t>
      </w:r>
      <w:proofErr w:type="spellEnd"/>
      <w:r w:rsidR="0072320A" w:rsidRPr="00D415F2">
        <w:rPr>
          <w:i/>
          <w:iCs/>
          <w:color w:val="000000" w:themeColor="text1"/>
        </w:rPr>
        <w:t xml:space="preserve"> </w:t>
      </w:r>
      <w:proofErr w:type="spellStart"/>
      <w:r w:rsidR="0072320A" w:rsidRPr="00D415F2">
        <w:rPr>
          <w:i/>
          <w:iCs/>
          <w:color w:val="000000" w:themeColor="text1"/>
        </w:rPr>
        <w:t>sedis</w:t>
      </w:r>
      <w:proofErr w:type="spellEnd"/>
      <w:r w:rsidR="0072320A" w:rsidRPr="00D415F2">
        <w:rPr>
          <w:color w:val="000000" w:themeColor="text1"/>
        </w:rPr>
        <w:t xml:space="preserve"> or a </w:t>
      </w:r>
      <w:proofErr w:type="spellStart"/>
      <w:r w:rsidR="0072320A" w:rsidRPr="00D415F2">
        <w:rPr>
          <w:color w:val="000000" w:themeColor="text1"/>
        </w:rPr>
        <w:t>dvinosaur</w:t>
      </w:r>
      <w:proofErr w:type="spellEnd"/>
      <w:r w:rsidR="0072320A" w:rsidRPr="00D415F2">
        <w:rPr>
          <w:color w:val="000000" w:themeColor="text1"/>
        </w:rPr>
        <w:t xml:space="preserve">; e.g., Carlson, 1987; Ruta &amp; Bolt, 2006), </w:t>
      </w:r>
      <w:proofErr w:type="spellStart"/>
      <w:r w:rsidR="0072320A" w:rsidRPr="00D415F2">
        <w:rPr>
          <w:i/>
          <w:iCs/>
          <w:color w:val="000000" w:themeColor="text1"/>
        </w:rPr>
        <w:t>Macrerpeton</w:t>
      </w:r>
      <w:proofErr w:type="spellEnd"/>
      <w:r w:rsidR="0072320A" w:rsidRPr="00D415F2">
        <w:rPr>
          <w:i/>
          <w:iCs/>
          <w:color w:val="000000" w:themeColor="text1"/>
        </w:rPr>
        <w:t xml:space="preserve"> </w:t>
      </w:r>
      <w:proofErr w:type="spellStart"/>
      <w:r w:rsidR="0072320A" w:rsidRPr="00D415F2">
        <w:rPr>
          <w:i/>
          <w:iCs/>
          <w:color w:val="000000" w:themeColor="text1"/>
        </w:rPr>
        <w:t>huxleyi</w:t>
      </w:r>
      <w:proofErr w:type="spellEnd"/>
      <w:r w:rsidR="0072320A" w:rsidRPr="00D415F2">
        <w:rPr>
          <w:i/>
          <w:iCs/>
          <w:color w:val="000000" w:themeColor="text1"/>
        </w:rPr>
        <w:t xml:space="preserve"> </w:t>
      </w:r>
      <w:r w:rsidR="0072320A" w:rsidRPr="00D415F2">
        <w:rPr>
          <w:color w:val="000000" w:themeColor="text1"/>
        </w:rPr>
        <w:t xml:space="preserve">(historically an edopoid; e.g., Romer, 1947; Hook &amp; Baird, 1986; Hook, 1993), and </w:t>
      </w:r>
      <w:r w:rsidR="0072320A" w:rsidRPr="00D415F2">
        <w:rPr>
          <w:i/>
          <w:iCs/>
          <w:color w:val="000000" w:themeColor="text1"/>
        </w:rPr>
        <w:t xml:space="preserve">Stegops newberryi </w:t>
      </w:r>
      <w:r w:rsidR="0072320A" w:rsidRPr="00D415F2">
        <w:rPr>
          <w:color w:val="000000" w:themeColor="text1"/>
        </w:rPr>
        <w:t xml:space="preserve">(historically a zatracheid; e.g., Romer, 1947). All three were considered indeterminate dissorophoids by Schoch &amp; Milner (2014), based in part on the presence of a LEP (see also Schoch &amp; Milner, 2021, for recent redescription of </w:t>
      </w:r>
      <w:r w:rsidR="00394DF1" w:rsidRPr="00D415F2">
        <w:rPr>
          <w:i/>
          <w:iCs/>
          <w:color w:val="000000" w:themeColor="text1"/>
        </w:rPr>
        <w:t xml:space="preserve">M. </w:t>
      </w:r>
      <w:r w:rsidR="0072320A" w:rsidRPr="00D415F2">
        <w:rPr>
          <w:i/>
          <w:iCs/>
          <w:color w:val="000000" w:themeColor="text1"/>
        </w:rPr>
        <w:t>huxleyi</w:t>
      </w:r>
      <w:r w:rsidR="0072320A" w:rsidRPr="00D415F2">
        <w:rPr>
          <w:color w:val="000000" w:themeColor="text1"/>
        </w:rPr>
        <w:t>).</w:t>
      </w:r>
    </w:p>
    <w:p w14:paraId="0C70AD01" w14:textId="0304638E" w:rsidR="0072320A" w:rsidRPr="00B66C33" w:rsidRDefault="0072320A" w:rsidP="00662B68">
      <w:pPr>
        <w:ind w:firstLine="720"/>
        <w:rPr>
          <w:color w:val="000000" w:themeColor="text1"/>
        </w:rPr>
      </w:pPr>
      <w:r w:rsidRPr="00062F7E">
        <w:rPr>
          <w:color w:val="000000" w:themeColor="text1"/>
        </w:rPr>
        <w:t xml:space="preserve">The above discussion of the lacrimal and the LEP are meant to illustrate that each character has a more complicated distribution among Temnospondyli than is presented in either the main text or the supporting information of Pardo et al. (2017a). </w:t>
      </w:r>
      <w:r w:rsidR="009E02A7">
        <w:rPr>
          <w:color w:val="000000" w:themeColor="text1"/>
        </w:rPr>
        <w:t xml:space="preserve">Even </w:t>
      </w:r>
      <w:r w:rsidRPr="00062F7E">
        <w:rPr>
          <w:color w:val="000000" w:themeColor="text1"/>
        </w:rPr>
        <w:t xml:space="preserve">the putative combination of an absent lacrimal and a present LEP is </w:t>
      </w:r>
      <w:r w:rsidR="009E02A7">
        <w:rPr>
          <w:color w:val="000000" w:themeColor="text1"/>
        </w:rPr>
        <w:t>not exclusive to</w:t>
      </w:r>
      <w:r w:rsidRPr="00062F7E">
        <w:rPr>
          <w:color w:val="000000" w:themeColor="text1"/>
        </w:rPr>
        <w:t xml:space="preserve"> </w:t>
      </w:r>
      <w:r w:rsidRPr="00062F7E">
        <w:rPr>
          <w:i/>
          <w:iCs/>
          <w:color w:val="000000" w:themeColor="text1"/>
        </w:rPr>
        <w:t xml:space="preserve">Chinlestegophis jenkinsi </w:t>
      </w:r>
      <w:r w:rsidRPr="00062F7E">
        <w:rPr>
          <w:color w:val="000000" w:themeColor="text1"/>
        </w:rPr>
        <w:t xml:space="preserve">and </w:t>
      </w:r>
      <w:r w:rsidRPr="00062F7E">
        <w:rPr>
          <w:i/>
          <w:iCs/>
          <w:color w:val="000000" w:themeColor="text1"/>
        </w:rPr>
        <w:t>Rileymillerus cosgriffi</w:t>
      </w:r>
      <w:r w:rsidRPr="00062F7E">
        <w:rPr>
          <w:color w:val="000000" w:themeColor="text1"/>
        </w:rPr>
        <w:t>.</w:t>
      </w:r>
      <w:r w:rsidR="009E02A7">
        <w:rPr>
          <w:color w:val="000000" w:themeColor="text1"/>
        </w:rPr>
        <w:t xml:space="preserve"> Tupilakosaurid dvinosaurs also exhibit this combination (e.g., Shishkin, 196</w:t>
      </w:r>
      <w:r w:rsidR="00A9369B">
        <w:rPr>
          <w:color w:val="000000" w:themeColor="text1"/>
        </w:rPr>
        <w:t>7</w:t>
      </w:r>
      <w:r w:rsidR="009E02A7">
        <w:rPr>
          <w:color w:val="000000" w:themeColor="text1"/>
        </w:rPr>
        <w:t xml:space="preserve">, 1973; Warren, 1998a; Milner &amp; Sequeira, 2004), but no tupilakosaurid was </w:t>
      </w:r>
      <w:r w:rsidR="009E02A7">
        <w:rPr>
          <w:color w:val="000000" w:themeColor="text1"/>
        </w:rPr>
        <w:lastRenderedPageBreak/>
        <w:t>sampled by Pardo et al.</w:t>
      </w:r>
      <w:r w:rsidR="00385FAC">
        <w:rPr>
          <w:color w:val="000000" w:themeColor="text1"/>
        </w:rPr>
        <w:t xml:space="preserve"> (2017a)</w:t>
      </w:r>
      <w:r w:rsidR="0056543B">
        <w:rPr>
          <w:color w:val="000000" w:themeColor="text1"/>
        </w:rPr>
        <w:t>, even though two tupilakosaurids were originally sampled by Schoch (2013</w:t>
      </w:r>
      <w:r w:rsidR="006A0550">
        <w:rPr>
          <w:color w:val="000000" w:themeColor="text1"/>
        </w:rPr>
        <w:t>):</w:t>
      </w:r>
      <w:r w:rsidR="0056543B">
        <w:rPr>
          <w:color w:val="000000" w:themeColor="text1"/>
        </w:rPr>
        <w:t xml:space="preserve"> </w:t>
      </w:r>
      <w:r w:rsidR="0056543B">
        <w:rPr>
          <w:i/>
          <w:iCs/>
          <w:color w:val="000000" w:themeColor="text1"/>
        </w:rPr>
        <w:t>Thabanchuia oomie</w:t>
      </w:r>
      <w:r w:rsidR="00014B31">
        <w:rPr>
          <w:color w:val="000000" w:themeColor="text1"/>
        </w:rPr>
        <w:t xml:space="preserve"> and</w:t>
      </w:r>
      <w:r w:rsidR="0056543B">
        <w:rPr>
          <w:color w:val="000000" w:themeColor="text1"/>
        </w:rPr>
        <w:t xml:space="preserve"> </w:t>
      </w:r>
      <w:r w:rsidR="0056543B">
        <w:rPr>
          <w:i/>
          <w:iCs/>
          <w:color w:val="000000" w:themeColor="text1"/>
        </w:rPr>
        <w:t>Tupilakosaurus wetlugensis</w:t>
      </w:r>
      <w:r w:rsidR="00385FAC">
        <w:rPr>
          <w:color w:val="000000" w:themeColor="text1"/>
        </w:rPr>
        <w:t>.</w:t>
      </w:r>
      <w:r w:rsidR="009E02A7">
        <w:rPr>
          <w:color w:val="000000" w:themeColor="text1"/>
        </w:rPr>
        <w:t xml:space="preserve"> The size and anterior extent of the LEP is variable among the tupilakosaurids, whereas i</w:t>
      </w:r>
      <w:r w:rsidRPr="00062F7E">
        <w:rPr>
          <w:color w:val="000000" w:themeColor="text1"/>
        </w:rPr>
        <w:t xml:space="preserve">n </w:t>
      </w:r>
      <w:r w:rsidR="009E02A7">
        <w:rPr>
          <w:color w:val="000000" w:themeColor="text1"/>
        </w:rPr>
        <w:t>the non-dvinosaurs</w:t>
      </w:r>
      <w:r w:rsidRPr="00062F7E">
        <w:rPr>
          <w:color w:val="000000" w:themeColor="text1"/>
        </w:rPr>
        <w:t xml:space="preserve">, the LEP occupies </w:t>
      </w:r>
      <w:r w:rsidR="009E02A7">
        <w:rPr>
          <w:color w:val="000000" w:themeColor="text1"/>
        </w:rPr>
        <w:t xml:space="preserve">a relatively small </w:t>
      </w:r>
      <w:r w:rsidRPr="00062F7E">
        <w:rPr>
          <w:color w:val="000000" w:themeColor="text1"/>
        </w:rPr>
        <w:t xml:space="preserve">part of the space anteroventral to the orbit that is </w:t>
      </w:r>
      <w:r w:rsidR="00985694">
        <w:rPr>
          <w:color w:val="000000" w:themeColor="text1"/>
        </w:rPr>
        <w:t>typically</w:t>
      </w:r>
      <w:r w:rsidRPr="00062F7E">
        <w:rPr>
          <w:color w:val="000000" w:themeColor="text1"/>
        </w:rPr>
        <w:t xml:space="preserve"> occupied by the lacrimal. Schoch (2008a:103) disputed the interpretation of a LEP in </w:t>
      </w:r>
      <w:r w:rsidR="003F6070">
        <w:rPr>
          <w:i/>
          <w:iCs/>
          <w:color w:val="000000" w:themeColor="text1"/>
        </w:rPr>
        <w:t xml:space="preserve">R. </w:t>
      </w:r>
      <w:r w:rsidRPr="00062F7E">
        <w:rPr>
          <w:i/>
          <w:iCs/>
          <w:color w:val="000000" w:themeColor="text1"/>
        </w:rPr>
        <w:t xml:space="preserve">cosgriffi </w:t>
      </w:r>
      <w:r w:rsidRPr="00062F7E">
        <w:rPr>
          <w:color w:val="000000" w:themeColor="text1"/>
        </w:rPr>
        <w:t xml:space="preserve">and instead interpreted it as an unusually short lacrimal, like that observed in some metoposaurids, trematosaurids, and the metoposauroid </w:t>
      </w:r>
      <w:r w:rsidRPr="00062F7E">
        <w:rPr>
          <w:i/>
          <w:iCs/>
          <w:color w:val="000000" w:themeColor="text1"/>
        </w:rPr>
        <w:t>Callistomordax kugleri</w:t>
      </w:r>
      <w:r w:rsidRPr="00062F7E">
        <w:rPr>
          <w:color w:val="000000" w:themeColor="text1"/>
        </w:rPr>
        <w:t>.</w:t>
      </w:r>
      <w:r w:rsidR="0056543B">
        <w:rPr>
          <w:color w:val="000000" w:themeColor="text1"/>
        </w:rPr>
        <w:t xml:space="preserve"> This follo</w:t>
      </w:r>
      <w:r w:rsidR="006A0550">
        <w:rPr>
          <w:color w:val="000000" w:themeColor="text1"/>
        </w:rPr>
        <w:t>wed</w:t>
      </w:r>
      <w:r w:rsidR="0056543B">
        <w:rPr>
          <w:color w:val="000000" w:themeColor="text1"/>
        </w:rPr>
        <w:t xml:space="preserve"> Schoch (2006:32), who identified a lacrimal </w:t>
      </w:r>
      <w:proofErr w:type="spellStart"/>
      <w:r w:rsidR="0056543B">
        <w:rPr>
          <w:color w:val="000000" w:themeColor="text1"/>
        </w:rPr>
        <w:t>overplated</w:t>
      </w:r>
      <w:proofErr w:type="spellEnd"/>
      <w:r w:rsidR="0056543B">
        <w:rPr>
          <w:color w:val="000000" w:themeColor="text1"/>
        </w:rPr>
        <w:t xml:space="preserve"> by the prefrontal, producing a short dorsal exposure, in the trematosaur </w:t>
      </w:r>
      <w:r w:rsidR="0056543B">
        <w:rPr>
          <w:i/>
          <w:iCs/>
          <w:color w:val="000000" w:themeColor="text1"/>
        </w:rPr>
        <w:t>Trematolestes</w:t>
      </w:r>
      <w:r w:rsidR="003F6070">
        <w:rPr>
          <w:i/>
          <w:iCs/>
          <w:color w:val="000000" w:themeColor="text1"/>
        </w:rPr>
        <w:t xml:space="preserve"> hagdorni</w:t>
      </w:r>
      <w:r w:rsidR="0056543B">
        <w:rPr>
          <w:color w:val="000000" w:themeColor="text1"/>
        </w:rPr>
        <w:t xml:space="preserve">; he further suggested that complete </w:t>
      </w:r>
      <w:proofErr w:type="spellStart"/>
      <w:r w:rsidR="0056543B">
        <w:rPr>
          <w:color w:val="000000" w:themeColor="text1"/>
        </w:rPr>
        <w:t>overplating</w:t>
      </w:r>
      <w:proofErr w:type="spellEnd"/>
      <w:r w:rsidR="0056543B">
        <w:rPr>
          <w:color w:val="000000" w:themeColor="text1"/>
        </w:rPr>
        <w:t xml:space="preserve"> might </w:t>
      </w:r>
      <w:r w:rsidR="00284BAC">
        <w:rPr>
          <w:color w:val="000000" w:themeColor="text1"/>
        </w:rPr>
        <w:t>explain the apparent loss in other trematosaurs (but made no comment on other temnospondyls without lacrimals).</w:t>
      </w:r>
      <w:r w:rsidRPr="00062F7E">
        <w:rPr>
          <w:color w:val="000000" w:themeColor="text1"/>
        </w:rPr>
        <w:t xml:space="preserve"> </w:t>
      </w:r>
      <w:r w:rsidR="00284BAC">
        <w:rPr>
          <w:color w:val="000000" w:themeColor="text1"/>
        </w:rPr>
        <w:t>Schoch’s (2008</w:t>
      </w:r>
      <w:r w:rsidR="00F4144C">
        <w:rPr>
          <w:color w:val="000000" w:themeColor="text1"/>
        </w:rPr>
        <w:t>a</w:t>
      </w:r>
      <w:r w:rsidR="00284BAC">
        <w:rPr>
          <w:color w:val="000000" w:themeColor="text1"/>
        </w:rPr>
        <w:t>)</w:t>
      </w:r>
      <w:r w:rsidR="00284BAC" w:rsidRPr="00062F7E">
        <w:rPr>
          <w:color w:val="000000" w:themeColor="text1"/>
        </w:rPr>
        <w:t xml:space="preserve"> </w:t>
      </w:r>
      <w:r w:rsidRPr="00062F7E">
        <w:rPr>
          <w:color w:val="000000" w:themeColor="text1"/>
        </w:rPr>
        <w:t xml:space="preserve">analysis therefore recovered </w:t>
      </w:r>
      <w:r w:rsidRPr="00062F7E">
        <w:rPr>
          <w:i/>
          <w:iCs/>
          <w:color w:val="000000" w:themeColor="text1"/>
        </w:rPr>
        <w:t>R</w:t>
      </w:r>
      <w:r w:rsidR="00637740">
        <w:rPr>
          <w:i/>
          <w:iCs/>
          <w:color w:val="000000" w:themeColor="text1"/>
        </w:rPr>
        <w:t>ileymillerus</w:t>
      </w:r>
      <w:r w:rsidRPr="00062F7E">
        <w:rPr>
          <w:i/>
          <w:iCs/>
          <w:color w:val="000000" w:themeColor="text1"/>
        </w:rPr>
        <w:t xml:space="preserve"> cosgriffi </w:t>
      </w:r>
      <w:r w:rsidRPr="00062F7E">
        <w:rPr>
          <w:color w:val="000000" w:themeColor="text1"/>
        </w:rPr>
        <w:t xml:space="preserve">as a trematosaur closely related to metoposaurids, and this </w:t>
      </w:r>
      <w:r w:rsidR="00985694">
        <w:rPr>
          <w:color w:val="000000" w:themeColor="text1"/>
        </w:rPr>
        <w:t xml:space="preserve">interpretation and </w:t>
      </w:r>
      <w:r w:rsidRPr="00062F7E">
        <w:rPr>
          <w:color w:val="000000" w:themeColor="text1"/>
        </w:rPr>
        <w:t xml:space="preserve">topology </w:t>
      </w:r>
      <w:r w:rsidR="00985694">
        <w:rPr>
          <w:color w:val="000000" w:themeColor="text1"/>
        </w:rPr>
        <w:t>were</w:t>
      </w:r>
      <w:r w:rsidR="00985694" w:rsidRPr="00062F7E">
        <w:rPr>
          <w:color w:val="000000" w:themeColor="text1"/>
        </w:rPr>
        <w:t xml:space="preserve"> </w:t>
      </w:r>
      <w:r w:rsidRPr="00062F7E">
        <w:rPr>
          <w:color w:val="000000" w:themeColor="text1"/>
        </w:rPr>
        <w:t xml:space="preserve">then propagated (e.g., </w:t>
      </w:r>
      <w:r w:rsidR="008768B4">
        <w:rPr>
          <w:color w:val="000000" w:themeColor="text1"/>
        </w:rPr>
        <w:t xml:space="preserve">McHugh, 2012; </w:t>
      </w:r>
      <w:r w:rsidRPr="00062F7E">
        <w:rPr>
          <w:color w:val="000000" w:themeColor="text1"/>
        </w:rPr>
        <w:t xml:space="preserve">Schoch, 2013). Schoch et al. (2020) </w:t>
      </w:r>
      <w:r w:rsidR="00224789">
        <w:rPr>
          <w:color w:val="000000" w:themeColor="text1"/>
        </w:rPr>
        <w:t>recoded</w:t>
      </w:r>
      <w:r w:rsidRPr="00062F7E">
        <w:rPr>
          <w:color w:val="000000" w:themeColor="text1"/>
        </w:rPr>
        <w:t xml:space="preserve"> the lacrimal and the LEP as unknown for both </w:t>
      </w:r>
      <w:r w:rsidR="00394DF1">
        <w:rPr>
          <w:i/>
          <w:iCs/>
          <w:color w:val="000000" w:themeColor="text1"/>
        </w:rPr>
        <w:t xml:space="preserve">Ch. </w:t>
      </w:r>
      <w:r w:rsidRPr="00062F7E">
        <w:rPr>
          <w:i/>
          <w:iCs/>
          <w:color w:val="000000" w:themeColor="text1"/>
        </w:rPr>
        <w:t xml:space="preserve">jenkinsi </w:t>
      </w:r>
      <w:r w:rsidRPr="00062F7E">
        <w:rPr>
          <w:color w:val="000000" w:themeColor="text1"/>
        </w:rPr>
        <w:t xml:space="preserve">and </w:t>
      </w:r>
      <w:r w:rsidR="00394DF1">
        <w:rPr>
          <w:i/>
          <w:iCs/>
          <w:color w:val="000000" w:themeColor="text1"/>
        </w:rPr>
        <w:t xml:space="preserve">R. </w:t>
      </w:r>
      <w:r w:rsidRPr="00062F7E">
        <w:rPr>
          <w:i/>
          <w:iCs/>
          <w:color w:val="000000" w:themeColor="text1"/>
        </w:rPr>
        <w:t>cosgriffi</w:t>
      </w:r>
      <w:r w:rsidRPr="00062F7E">
        <w:rPr>
          <w:color w:val="000000" w:themeColor="text1"/>
        </w:rPr>
        <w:t xml:space="preserve"> as part of their revisions to the matrix of Pardo et al.</w:t>
      </w:r>
      <w:r w:rsidR="00107357">
        <w:rPr>
          <w:color w:val="000000" w:themeColor="text1"/>
        </w:rPr>
        <w:t xml:space="preserve"> </w:t>
      </w:r>
      <w:r w:rsidR="003B6E14">
        <w:rPr>
          <w:color w:val="000000" w:themeColor="text1"/>
        </w:rPr>
        <w:t>(2017a)</w:t>
      </w:r>
      <w:r w:rsidR="00162FD8">
        <w:rPr>
          <w:color w:val="000000" w:themeColor="text1"/>
        </w:rPr>
        <w:t>.</w:t>
      </w:r>
      <w:r w:rsidRPr="00062F7E">
        <w:rPr>
          <w:color w:val="000000" w:themeColor="text1"/>
        </w:rPr>
        <w:t xml:space="preserve"> These </w:t>
      </w:r>
      <w:r w:rsidR="00E76331">
        <w:rPr>
          <w:color w:val="000000" w:themeColor="text1"/>
        </w:rPr>
        <w:t>coding</w:t>
      </w:r>
      <w:r w:rsidR="00E76331" w:rsidRPr="00062F7E">
        <w:rPr>
          <w:color w:val="000000" w:themeColor="text1"/>
        </w:rPr>
        <w:t xml:space="preserve"> </w:t>
      </w:r>
      <w:r w:rsidRPr="00062F7E">
        <w:rPr>
          <w:color w:val="000000" w:themeColor="text1"/>
        </w:rPr>
        <w:t>changes likely contributed</w:t>
      </w:r>
      <w:r w:rsidR="006A0550">
        <w:rPr>
          <w:color w:val="000000" w:themeColor="text1"/>
        </w:rPr>
        <w:t xml:space="preserve"> (in part)</w:t>
      </w:r>
      <w:r w:rsidRPr="00062F7E">
        <w:rPr>
          <w:color w:val="000000" w:themeColor="text1"/>
        </w:rPr>
        <w:t xml:space="preserve"> to the return to the traditional temnospondyl monophyly hypothesis in the same way that their shared </w:t>
      </w:r>
      <w:r w:rsidR="00224789">
        <w:rPr>
          <w:color w:val="000000" w:themeColor="text1"/>
        </w:rPr>
        <w:t>coding</w:t>
      </w:r>
      <w:r w:rsidRPr="00062F7E">
        <w:rPr>
          <w:color w:val="000000" w:themeColor="text1"/>
        </w:rPr>
        <w:t xml:space="preserve"> by Pardo et al.</w:t>
      </w:r>
      <w:r w:rsidR="00964377" w:rsidRPr="00062F7E">
        <w:rPr>
          <w:color w:val="000000" w:themeColor="text1"/>
        </w:rPr>
        <w:t xml:space="preserve"> (2017a) </w:t>
      </w:r>
      <w:r w:rsidRPr="00062F7E">
        <w:rPr>
          <w:color w:val="000000" w:themeColor="text1"/>
        </w:rPr>
        <w:t xml:space="preserve">contributed to their position </w:t>
      </w:r>
      <w:r w:rsidR="006A0550">
        <w:rPr>
          <w:color w:val="000000" w:themeColor="text1"/>
        </w:rPr>
        <w:t xml:space="preserve">as </w:t>
      </w:r>
      <w:r w:rsidR="008768B4" w:rsidRPr="00062F7E">
        <w:rPr>
          <w:color w:val="000000" w:themeColor="text1"/>
        </w:rPr>
        <w:t>stem caecilians</w:t>
      </w:r>
      <w:r w:rsidR="008768B4">
        <w:rPr>
          <w:color w:val="000000" w:themeColor="text1"/>
        </w:rPr>
        <w:t xml:space="preserve"> and the </w:t>
      </w:r>
      <w:r w:rsidR="006A0550">
        <w:rPr>
          <w:color w:val="000000" w:themeColor="text1"/>
        </w:rPr>
        <w:t>sister group to</w:t>
      </w:r>
      <w:r w:rsidRPr="00062F7E">
        <w:rPr>
          <w:color w:val="000000" w:themeColor="text1"/>
        </w:rPr>
        <w:t xml:space="preserve"> Brachyopoidea. Pardo et al.</w:t>
      </w:r>
      <w:r w:rsidR="00964377" w:rsidRPr="00062F7E">
        <w:rPr>
          <w:color w:val="000000" w:themeColor="text1"/>
        </w:rPr>
        <w:t xml:space="preserve"> (2017a)</w:t>
      </w:r>
      <w:r w:rsidRPr="00062F7E">
        <w:rPr>
          <w:color w:val="000000" w:themeColor="text1"/>
        </w:rPr>
        <w:t xml:space="preserve"> state</w:t>
      </w:r>
      <w:r w:rsidR="00E76331">
        <w:rPr>
          <w:color w:val="000000" w:themeColor="text1"/>
        </w:rPr>
        <w:t>d</w:t>
      </w:r>
      <w:r w:rsidRPr="00062F7E">
        <w:rPr>
          <w:color w:val="000000" w:themeColor="text1"/>
        </w:rPr>
        <w:t xml:space="preserve"> that the lateral exposure is contiguous with a dentigerous palatal element, the most compelling line of evidence for interpretation as a LEP, but if so, the palatine is badly fractured based on the presented</w:t>
      </w:r>
      <w:r w:rsidR="000F64F6">
        <w:rPr>
          <w:color w:val="000000" w:themeColor="text1"/>
        </w:rPr>
        <w:t xml:space="preserve"> rendered</w:t>
      </w:r>
      <w:r w:rsidRPr="00062F7E">
        <w:rPr>
          <w:color w:val="000000" w:themeColor="text1"/>
        </w:rPr>
        <w:t xml:space="preserve"> volumes (movies S5 and S6 therein) and could be interpreted as lacking a dorsal exposure. The condition in </w:t>
      </w:r>
      <w:r w:rsidR="00394DF1">
        <w:rPr>
          <w:i/>
          <w:iCs/>
          <w:color w:val="000000" w:themeColor="text1"/>
        </w:rPr>
        <w:t>R.</w:t>
      </w:r>
      <w:r w:rsidR="00394DF1" w:rsidRPr="00062F7E">
        <w:rPr>
          <w:i/>
          <w:iCs/>
          <w:color w:val="000000" w:themeColor="text1"/>
        </w:rPr>
        <w:t xml:space="preserve"> </w:t>
      </w:r>
      <w:r w:rsidRPr="00062F7E">
        <w:rPr>
          <w:i/>
          <w:iCs/>
          <w:color w:val="000000" w:themeColor="text1"/>
        </w:rPr>
        <w:t>cosgriffi</w:t>
      </w:r>
      <w:r w:rsidRPr="00062F7E">
        <w:rPr>
          <w:color w:val="000000" w:themeColor="text1"/>
        </w:rPr>
        <w:t xml:space="preserve"> is impossible to determine from the non-reconstruction figures of Bolt &amp; Chatterjee</w:t>
      </w:r>
      <w:r w:rsidR="00964377" w:rsidRPr="00062F7E">
        <w:rPr>
          <w:color w:val="000000" w:themeColor="text1"/>
        </w:rPr>
        <w:t xml:space="preserve"> (2000)</w:t>
      </w:r>
      <w:r w:rsidRPr="00062F7E">
        <w:rPr>
          <w:color w:val="000000" w:themeColor="text1"/>
        </w:rPr>
        <w:t xml:space="preserve">. </w:t>
      </w:r>
      <w:r w:rsidR="00284BAC">
        <w:rPr>
          <w:color w:val="000000" w:themeColor="text1"/>
        </w:rPr>
        <w:t xml:space="preserve">As detailed in </w:t>
      </w:r>
      <w:r w:rsidR="00E76331">
        <w:rPr>
          <w:color w:val="000000" w:themeColor="text1"/>
        </w:rPr>
        <w:t xml:space="preserve">Supplementary </w:t>
      </w:r>
      <w:r w:rsidR="00284BAC">
        <w:rPr>
          <w:color w:val="000000" w:themeColor="text1"/>
        </w:rPr>
        <w:t xml:space="preserve">Information </w:t>
      </w:r>
      <w:r w:rsidR="00EC324E">
        <w:rPr>
          <w:color w:val="000000" w:themeColor="text1"/>
        </w:rPr>
        <w:t>4</w:t>
      </w:r>
      <w:r w:rsidR="00284BAC">
        <w:rPr>
          <w:color w:val="000000" w:themeColor="text1"/>
        </w:rPr>
        <w:t xml:space="preserve">, we restored these </w:t>
      </w:r>
      <w:r w:rsidR="00224789">
        <w:rPr>
          <w:color w:val="000000" w:themeColor="text1"/>
        </w:rPr>
        <w:t>code</w:t>
      </w:r>
      <w:r w:rsidR="00284BAC">
        <w:rPr>
          <w:color w:val="000000" w:themeColor="text1"/>
        </w:rPr>
        <w:t>s because we found no unequivocal reason to overturn them</w:t>
      </w:r>
      <w:r w:rsidR="00BC3D67">
        <w:rPr>
          <w:color w:val="000000" w:themeColor="text1"/>
        </w:rPr>
        <w:t xml:space="preserve"> (the approach we took to </w:t>
      </w:r>
      <w:r w:rsidR="00E76331">
        <w:rPr>
          <w:color w:val="000000" w:themeColor="text1"/>
        </w:rPr>
        <w:t xml:space="preserve">recoding </w:t>
      </w:r>
      <w:r w:rsidR="00BC3D67">
        <w:rPr>
          <w:color w:val="000000" w:themeColor="text1"/>
        </w:rPr>
        <w:t>broadly)</w:t>
      </w:r>
      <w:r w:rsidR="00284BAC">
        <w:rPr>
          <w:color w:val="000000" w:themeColor="text1"/>
        </w:rPr>
        <w:t>, but the issue warrants further attention.</w:t>
      </w:r>
      <w:r w:rsidR="00B66C33" w:rsidRPr="00B66C33">
        <w:rPr>
          <w:rFonts w:eastAsiaTheme="minorHAnsi"/>
          <w:b/>
          <w:bCs/>
        </w:rPr>
        <w:t xml:space="preserve"> </w:t>
      </w:r>
      <w:r w:rsidR="00B66C33" w:rsidRPr="00957316">
        <w:rPr>
          <w:rFonts w:eastAsiaTheme="minorHAnsi"/>
        </w:rPr>
        <w:t xml:space="preserve">Extended Data Fig. </w:t>
      </w:r>
      <w:r w:rsidR="00EB7BB6">
        <w:rPr>
          <w:rFonts w:eastAsiaTheme="minorHAnsi"/>
        </w:rPr>
        <w:t>9</w:t>
      </w:r>
      <w:r w:rsidR="00B66C33" w:rsidRPr="00957316">
        <w:rPr>
          <w:rFonts w:eastAsiaTheme="minorHAnsi"/>
        </w:rPr>
        <w:t xml:space="preserve">. </w:t>
      </w:r>
      <w:r w:rsidR="003D4C6A">
        <w:rPr>
          <w:rFonts w:eastAsiaTheme="minorHAnsi"/>
        </w:rPr>
        <w:t>i</w:t>
      </w:r>
      <w:r w:rsidR="00B66C33" w:rsidRPr="00957316">
        <w:rPr>
          <w:rFonts w:eastAsiaTheme="minorHAnsi"/>
        </w:rPr>
        <w:t xml:space="preserve">llustrates the </w:t>
      </w:r>
      <w:r w:rsidR="00B66C33" w:rsidRPr="00957316">
        <w:t>phylogenetic distribution and comparative morphology of a lateral exposure of the palatine (LEP) and the loss of the lacrimal in Temnospondyli.</w:t>
      </w:r>
    </w:p>
    <w:p w14:paraId="0064D591" w14:textId="77777777" w:rsidR="003912E6" w:rsidRDefault="003912E6" w:rsidP="00662B68">
      <w:pPr>
        <w:rPr>
          <w:color w:val="000000" w:themeColor="text1"/>
        </w:rPr>
      </w:pPr>
    </w:p>
    <w:p w14:paraId="4C647886" w14:textId="7EBBC48A" w:rsidR="00ED7DFF" w:rsidRDefault="003912E6" w:rsidP="00662B68">
      <w:pPr>
        <w:rPr>
          <w:color w:val="000000" w:themeColor="text1"/>
        </w:rPr>
      </w:pPr>
      <w:r>
        <w:rPr>
          <w:b/>
          <w:bCs/>
          <w:color w:val="000000" w:themeColor="text1"/>
        </w:rPr>
        <w:t xml:space="preserve">Presence of paired projections on the occipital face of the tabular. </w:t>
      </w:r>
      <w:r w:rsidR="0072320A" w:rsidRPr="00062F7E">
        <w:rPr>
          <w:color w:val="000000" w:themeColor="text1"/>
        </w:rPr>
        <w:t>Pardo et al. (2017a) stated that two small posterior processes (</w:t>
      </w:r>
      <w:r w:rsidR="00465AB6">
        <w:rPr>
          <w:color w:val="000000" w:themeColor="text1"/>
        </w:rPr>
        <w:t>‘</w:t>
      </w:r>
      <w:r w:rsidR="0072320A" w:rsidRPr="00062F7E">
        <w:rPr>
          <w:color w:val="000000" w:themeColor="text1"/>
        </w:rPr>
        <w:t>horns</w:t>
      </w:r>
      <w:r w:rsidR="008064EE">
        <w:rPr>
          <w:color w:val="000000" w:themeColor="text1"/>
        </w:rPr>
        <w:t>’</w:t>
      </w:r>
      <w:r w:rsidR="0072320A" w:rsidRPr="00062F7E">
        <w:rPr>
          <w:color w:val="000000" w:themeColor="text1"/>
        </w:rPr>
        <w:t xml:space="preserve">) on the occipital face of the tabular of </w:t>
      </w:r>
      <w:r w:rsidR="0072320A" w:rsidRPr="00062F7E">
        <w:rPr>
          <w:i/>
          <w:iCs/>
          <w:color w:val="000000" w:themeColor="text1"/>
        </w:rPr>
        <w:t>Chinlestegophis jenkinsi</w:t>
      </w:r>
      <w:r w:rsidR="0072320A" w:rsidRPr="00062F7E">
        <w:rPr>
          <w:color w:val="000000" w:themeColor="text1"/>
        </w:rPr>
        <w:t xml:space="preserve">, posterior to the otic notch, are shared with brachyopoids and caecilians. The syntax of this part of the diagnosis suggests that these authors believe that these processes are common to brachyopoids, but only in chigutisaurids are they found posterior to the otic notch. However, this feature does not occur in any chigutisaurids, either posterior to the notch or anywhere else (e.g., </w:t>
      </w:r>
      <w:proofErr w:type="spellStart"/>
      <w:r w:rsidR="0072320A" w:rsidRPr="00062F7E">
        <w:rPr>
          <w:i/>
          <w:iCs/>
          <w:color w:val="000000" w:themeColor="text1"/>
        </w:rPr>
        <w:t>Compsocerops</w:t>
      </w:r>
      <w:proofErr w:type="spellEnd"/>
      <w:r w:rsidR="0072320A" w:rsidRPr="00062F7E">
        <w:rPr>
          <w:i/>
          <w:iCs/>
          <w:color w:val="000000" w:themeColor="text1"/>
        </w:rPr>
        <w:t xml:space="preserve"> </w:t>
      </w:r>
      <w:proofErr w:type="spellStart"/>
      <w:r w:rsidR="0072320A" w:rsidRPr="00062F7E">
        <w:rPr>
          <w:i/>
          <w:iCs/>
          <w:color w:val="000000" w:themeColor="text1"/>
        </w:rPr>
        <w:t>cosgriffi</w:t>
      </w:r>
      <w:proofErr w:type="spellEnd"/>
      <w:r w:rsidR="0072320A" w:rsidRPr="00062F7E">
        <w:rPr>
          <w:color w:val="000000" w:themeColor="text1"/>
        </w:rPr>
        <w:t xml:space="preserve">, </w:t>
      </w:r>
      <w:proofErr w:type="spellStart"/>
      <w:r w:rsidR="0072320A" w:rsidRPr="00062F7E">
        <w:rPr>
          <w:i/>
          <w:iCs/>
          <w:color w:val="000000" w:themeColor="text1"/>
        </w:rPr>
        <w:t>Keratobrachyops</w:t>
      </w:r>
      <w:proofErr w:type="spellEnd"/>
      <w:r w:rsidR="0072320A" w:rsidRPr="00062F7E">
        <w:rPr>
          <w:i/>
          <w:iCs/>
          <w:color w:val="000000" w:themeColor="text1"/>
        </w:rPr>
        <w:t xml:space="preserve"> australis</w:t>
      </w:r>
      <w:r w:rsidR="0072320A" w:rsidRPr="00062F7E">
        <w:rPr>
          <w:color w:val="000000" w:themeColor="text1"/>
        </w:rPr>
        <w:t xml:space="preserve">, </w:t>
      </w:r>
      <w:proofErr w:type="spellStart"/>
      <w:r w:rsidR="0072320A" w:rsidRPr="00062F7E">
        <w:rPr>
          <w:i/>
          <w:iCs/>
          <w:color w:val="000000" w:themeColor="text1"/>
        </w:rPr>
        <w:t>Kuttycephalus</w:t>
      </w:r>
      <w:proofErr w:type="spellEnd"/>
      <w:r w:rsidR="0072320A" w:rsidRPr="00062F7E">
        <w:rPr>
          <w:i/>
          <w:iCs/>
          <w:color w:val="000000" w:themeColor="text1"/>
        </w:rPr>
        <w:t xml:space="preserve"> triangularis</w:t>
      </w:r>
      <w:r w:rsidR="0072320A" w:rsidRPr="00062F7E">
        <w:rPr>
          <w:color w:val="000000" w:themeColor="text1"/>
        </w:rPr>
        <w:t xml:space="preserve">, </w:t>
      </w:r>
      <w:proofErr w:type="spellStart"/>
      <w:r w:rsidR="0072320A" w:rsidRPr="00062F7E">
        <w:rPr>
          <w:i/>
          <w:iCs/>
          <w:color w:val="000000" w:themeColor="text1"/>
        </w:rPr>
        <w:t>Pelorocephalus</w:t>
      </w:r>
      <w:proofErr w:type="spellEnd"/>
      <w:r w:rsidR="0072320A" w:rsidRPr="00062F7E">
        <w:rPr>
          <w:i/>
          <w:iCs/>
          <w:color w:val="000000" w:themeColor="text1"/>
        </w:rPr>
        <w:t xml:space="preserve"> </w:t>
      </w:r>
      <w:proofErr w:type="spellStart"/>
      <w:r w:rsidR="0072320A" w:rsidRPr="00062F7E">
        <w:rPr>
          <w:i/>
          <w:iCs/>
          <w:color w:val="000000" w:themeColor="text1"/>
        </w:rPr>
        <w:t>mendozensis</w:t>
      </w:r>
      <w:proofErr w:type="spellEnd"/>
      <w:r w:rsidR="0072320A" w:rsidRPr="00062F7E">
        <w:rPr>
          <w:color w:val="000000" w:themeColor="text1"/>
        </w:rPr>
        <w:t xml:space="preserve">, </w:t>
      </w:r>
      <w:proofErr w:type="spellStart"/>
      <w:r w:rsidR="0072320A" w:rsidRPr="00062F7E">
        <w:rPr>
          <w:i/>
          <w:iCs/>
          <w:color w:val="000000" w:themeColor="text1"/>
        </w:rPr>
        <w:t>Pelorocephalus</w:t>
      </w:r>
      <w:proofErr w:type="spellEnd"/>
      <w:r w:rsidR="0072320A" w:rsidRPr="00062F7E">
        <w:rPr>
          <w:i/>
          <w:iCs/>
          <w:color w:val="000000" w:themeColor="text1"/>
        </w:rPr>
        <w:t xml:space="preserve"> </w:t>
      </w:r>
      <w:proofErr w:type="spellStart"/>
      <w:r w:rsidR="0072320A" w:rsidRPr="00062F7E">
        <w:rPr>
          <w:i/>
          <w:iCs/>
          <w:color w:val="000000" w:themeColor="text1"/>
        </w:rPr>
        <w:t>tenax</w:t>
      </w:r>
      <w:proofErr w:type="spellEnd"/>
      <w:r w:rsidR="0072320A" w:rsidRPr="00062F7E">
        <w:rPr>
          <w:color w:val="000000" w:themeColor="text1"/>
        </w:rPr>
        <w:t>;</w:t>
      </w:r>
      <w:r w:rsidR="0072320A" w:rsidRPr="00062F7E">
        <w:rPr>
          <w:i/>
          <w:iCs/>
          <w:color w:val="000000" w:themeColor="text1"/>
        </w:rPr>
        <w:t xml:space="preserve"> </w:t>
      </w:r>
      <w:r w:rsidR="0072320A" w:rsidRPr="00062F7E">
        <w:rPr>
          <w:color w:val="000000" w:themeColor="text1"/>
        </w:rPr>
        <w:t xml:space="preserve">Warren, 1981; Sengupta, 1995; Marsicano, 1999). The condition is indeterminate and/or not reconstructed as such in </w:t>
      </w:r>
      <w:proofErr w:type="spellStart"/>
      <w:r w:rsidR="0072320A" w:rsidRPr="00062F7E">
        <w:rPr>
          <w:i/>
          <w:iCs/>
          <w:color w:val="000000" w:themeColor="text1"/>
        </w:rPr>
        <w:t>Koolasuchus</w:t>
      </w:r>
      <w:proofErr w:type="spellEnd"/>
      <w:r w:rsidR="0072320A" w:rsidRPr="00062F7E">
        <w:rPr>
          <w:i/>
          <w:iCs/>
          <w:color w:val="000000" w:themeColor="text1"/>
        </w:rPr>
        <w:t xml:space="preserve"> </w:t>
      </w:r>
      <w:proofErr w:type="spellStart"/>
      <w:r w:rsidR="0072320A" w:rsidRPr="00062F7E">
        <w:rPr>
          <w:i/>
          <w:iCs/>
          <w:color w:val="000000" w:themeColor="text1"/>
        </w:rPr>
        <w:t>cleelandi</w:t>
      </w:r>
      <w:proofErr w:type="spellEnd"/>
      <w:r w:rsidR="0072320A" w:rsidRPr="00062F7E">
        <w:rPr>
          <w:color w:val="000000" w:themeColor="text1"/>
        </w:rPr>
        <w:t xml:space="preserve">, </w:t>
      </w:r>
      <w:proofErr w:type="spellStart"/>
      <w:r w:rsidR="0072320A" w:rsidRPr="00062F7E">
        <w:rPr>
          <w:i/>
          <w:iCs/>
          <w:color w:val="000000" w:themeColor="text1"/>
        </w:rPr>
        <w:t>Pelorocephalus</w:t>
      </w:r>
      <w:proofErr w:type="spellEnd"/>
      <w:r w:rsidR="0072320A" w:rsidRPr="00062F7E">
        <w:rPr>
          <w:i/>
          <w:iCs/>
          <w:color w:val="000000" w:themeColor="text1"/>
        </w:rPr>
        <w:t xml:space="preserve"> </w:t>
      </w:r>
      <w:proofErr w:type="spellStart"/>
      <w:r w:rsidR="0072320A" w:rsidRPr="00062F7E">
        <w:rPr>
          <w:i/>
          <w:iCs/>
          <w:color w:val="000000" w:themeColor="text1"/>
        </w:rPr>
        <w:t>cacheutensis</w:t>
      </w:r>
      <w:proofErr w:type="spellEnd"/>
      <w:r w:rsidR="0072320A" w:rsidRPr="00062F7E">
        <w:rPr>
          <w:color w:val="000000" w:themeColor="text1"/>
        </w:rPr>
        <w:t>,</w:t>
      </w:r>
      <w:r w:rsidR="0072320A" w:rsidRPr="00062F7E">
        <w:rPr>
          <w:i/>
          <w:iCs/>
          <w:color w:val="000000" w:themeColor="text1"/>
        </w:rPr>
        <w:t xml:space="preserve"> </w:t>
      </w:r>
      <w:r w:rsidR="0072320A" w:rsidRPr="00062F7E">
        <w:rPr>
          <w:color w:val="000000" w:themeColor="text1"/>
        </w:rPr>
        <w:t xml:space="preserve">and </w:t>
      </w:r>
      <w:proofErr w:type="spellStart"/>
      <w:r w:rsidR="0072320A" w:rsidRPr="00062F7E">
        <w:rPr>
          <w:i/>
          <w:iCs/>
          <w:color w:val="000000" w:themeColor="text1"/>
        </w:rPr>
        <w:t>Siderops</w:t>
      </w:r>
      <w:proofErr w:type="spellEnd"/>
      <w:r w:rsidR="0072320A" w:rsidRPr="00062F7E">
        <w:rPr>
          <w:i/>
          <w:iCs/>
          <w:color w:val="000000" w:themeColor="text1"/>
        </w:rPr>
        <w:t xml:space="preserve"> </w:t>
      </w:r>
      <w:proofErr w:type="spellStart"/>
      <w:r w:rsidR="0072320A" w:rsidRPr="00062F7E">
        <w:rPr>
          <w:i/>
          <w:iCs/>
          <w:color w:val="000000" w:themeColor="text1"/>
        </w:rPr>
        <w:t>kehli</w:t>
      </w:r>
      <w:proofErr w:type="spellEnd"/>
      <w:r w:rsidR="0072320A" w:rsidRPr="00062F7E">
        <w:rPr>
          <w:i/>
          <w:iCs/>
          <w:color w:val="000000" w:themeColor="text1"/>
        </w:rPr>
        <w:t xml:space="preserve"> </w:t>
      </w:r>
      <w:r w:rsidR="0072320A" w:rsidRPr="00062F7E">
        <w:rPr>
          <w:color w:val="000000" w:themeColor="text1"/>
        </w:rPr>
        <w:t xml:space="preserve">(Warren &amp; Hutchinson, 1983; Warren et al., 1997; Marsicano, 1999). The tabular horns of chigutisaurids do project well past the level of the relatively open otic notch, but this technically also occurs in any taxon in which the tabular horn posteriorly brackets the otic notch, including in </w:t>
      </w:r>
      <w:r w:rsidR="00AD2FA8" w:rsidRPr="00A155FA">
        <w:rPr>
          <w:color w:val="000000" w:themeColor="text1"/>
        </w:rPr>
        <w:t>many other stereospondyls (especially capitosaurs; e.g., Schoch &amp; Milner, 2000:figs. 92–94) and in</w:t>
      </w:r>
      <w:r w:rsidR="00AD2FA8" w:rsidRPr="00062F7E">
        <w:rPr>
          <w:color w:val="000000" w:themeColor="text1"/>
        </w:rPr>
        <w:t xml:space="preserve"> </w:t>
      </w:r>
      <w:r w:rsidR="0072320A" w:rsidRPr="00062F7E">
        <w:rPr>
          <w:color w:val="000000" w:themeColor="text1"/>
        </w:rPr>
        <w:t>some morphologically and phylogenetically disparate clades such as olsoniform dissorophoids (e.g., Berman et al., 1985; Reisz et al., 2009). The chigutisaurid condition</w:t>
      </w:r>
      <w:r w:rsidR="008768B4">
        <w:rPr>
          <w:color w:val="000000" w:themeColor="text1"/>
        </w:rPr>
        <w:t>, in which the projection is confluent with the skull roof and thus ornamented dorsally,</w:t>
      </w:r>
      <w:r w:rsidR="0072320A" w:rsidRPr="00062F7E">
        <w:rPr>
          <w:color w:val="000000" w:themeColor="text1"/>
        </w:rPr>
        <w:t xml:space="preserve"> is not of clear homology to the condition of </w:t>
      </w:r>
      <w:r w:rsidR="00394DF1">
        <w:rPr>
          <w:i/>
          <w:iCs/>
          <w:color w:val="000000" w:themeColor="text1"/>
        </w:rPr>
        <w:t xml:space="preserve">C. </w:t>
      </w:r>
      <w:r w:rsidR="0072320A" w:rsidRPr="00062F7E">
        <w:rPr>
          <w:i/>
          <w:iCs/>
          <w:color w:val="000000" w:themeColor="text1"/>
        </w:rPr>
        <w:t xml:space="preserve">jenkinsi </w:t>
      </w:r>
      <w:r w:rsidR="0072320A" w:rsidRPr="00062F7E">
        <w:rPr>
          <w:color w:val="000000" w:themeColor="text1"/>
        </w:rPr>
        <w:t>in which it is not even certain that</w:t>
      </w:r>
      <w:r w:rsidR="00937682">
        <w:rPr>
          <w:color w:val="000000" w:themeColor="text1"/>
        </w:rPr>
        <w:t xml:space="preserve"> one or both of</w:t>
      </w:r>
      <w:r w:rsidR="0072320A" w:rsidRPr="00062F7E">
        <w:rPr>
          <w:color w:val="000000" w:themeColor="text1"/>
        </w:rPr>
        <w:t xml:space="preserve"> the posterior </w:t>
      </w:r>
      <w:r w:rsidR="0072320A" w:rsidRPr="00062F7E">
        <w:rPr>
          <w:color w:val="000000" w:themeColor="text1"/>
        </w:rPr>
        <w:lastRenderedPageBreak/>
        <w:t>projections are homologous with the classic temnospondyl tabular horn</w:t>
      </w:r>
      <w:r w:rsidR="005F52A4">
        <w:rPr>
          <w:color w:val="000000" w:themeColor="text1"/>
        </w:rPr>
        <w:t>, as neither is confluent with the skull roof or ornamented</w:t>
      </w:r>
      <w:r w:rsidR="0072320A" w:rsidRPr="00062F7E">
        <w:rPr>
          <w:color w:val="000000" w:themeColor="text1"/>
        </w:rPr>
        <w:t xml:space="preserve">. Neither are these processes from an occipital exposure of the tabular a typical plagiosaurid (e.g., Damiani et al., 2009; Schoch &amp; Witzmann, 2012; Witzmann et al., 2012; Schoch et al., 2014) or brachyopid (e.g., Damiani &amp; Warren, 1996; Warren </w:t>
      </w:r>
      <w:r w:rsidR="00E76331">
        <w:rPr>
          <w:color w:val="000000" w:themeColor="text1"/>
        </w:rPr>
        <w:t>&amp;</w:t>
      </w:r>
      <w:r w:rsidR="00E76331" w:rsidRPr="00062F7E">
        <w:rPr>
          <w:color w:val="000000" w:themeColor="text1"/>
        </w:rPr>
        <w:t xml:space="preserve"> </w:t>
      </w:r>
      <w:r w:rsidR="0072320A" w:rsidRPr="00062F7E">
        <w:rPr>
          <w:color w:val="000000" w:themeColor="text1"/>
        </w:rPr>
        <w:t xml:space="preserve">Marsicano, 1998; 2000; Warren et al., 2011) feature. </w:t>
      </w:r>
    </w:p>
    <w:p w14:paraId="59A9B9F5" w14:textId="4554E906" w:rsidR="0072320A" w:rsidRPr="00062F7E" w:rsidRDefault="0072320A" w:rsidP="00662B68">
      <w:pPr>
        <w:ind w:firstLine="720"/>
        <w:rPr>
          <w:color w:val="000000" w:themeColor="text1"/>
        </w:rPr>
      </w:pPr>
      <w:r w:rsidRPr="00062F7E">
        <w:rPr>
          <w:color w:val="000000" w:themeColor="text1"/>
        </w:rPr>
        <w:t xml:space="preserve">Pardo et al. </w:t>
      </w:r>
      <w:r w:rsidR="00964377" w:rsidRPr="00062F7E">
        <w:rPr>
          <w:color w:val="000000" w:themeColor="text1"/>
        </w:rPr>
        <w:t xml:space="preserve">(2017a) </w:t>
      </w:r>
      <w:r w:rsidRPr="00062F7E">
        <w:rPr>
          <w:color w:val="000000" w:themeColor="text1"/>
        </w:rPr>
        <w:t>cite</w:t>
      </w:r>
      <w:r w:rsidR="00E76331">
        <w:rPr>
          <w:color w:val="000000" w:themeColor="text1"/>
        </w:rPr>
        <w:t>d</w:t>
      </w:r>
      <w:r w:rsidRPr="00062F7E">
        <w:rPr>
          <w:color w:val="000000" w:themeColor="text1"/>
        </w:rPr>
        <w:t xml:space="preserve"> </w:t>
      </w:r>
      <w:r w:rsidRPr="00062F7E">
        <w:rPr>
          <w:i/>
          <w:iCs/>
          <w:color w:val="000000" w:themeColor="text1"/>
        </w:rPr>
        <w:t xml:space="preserve">Batrachosuchus </w:t>
      </w:r>
      <w:r w:rsidRPr="00062F7E">
        <w:rPr>
          <w:color w:val="000000" w:themeColor="text1"/>
        </w:rPr>
        <w:t xml:space="preserve">and </w:t>
      </w:r>
      <w:r w:rsidRPr="00062F7E">
        <w:rPr>
          <w:i/>
          <w:iCs/>
          <w:color w:val="000000" w:themeColor="text1"/>
        </w:rPr>
        <w:t>Vigilius</w:t>
      </w:r>
      <w:r w:rsidRPr="00062F7E">
        <w:rPr>
          <w:color w:val="000000" w:themeColor="text1"/>
        </w:rPr>
        <w:t xml:space="preserve">, both brachyopids, as having these processes. </w:t>
      </w:r>
      <w:r w:rsidRPr="00062F7E">
        <w:rPr>
          <w:i/>
          <w:iCs/>
          <w:color w:val="000000" w:themeColor="text1"/>
        </w:rPr>
        <w:t xml:space="preserve">Batrachosuchus </w:t>
      </w:r>
      <w:r w:rsidRPr="00062F7E">
        <w:rPr>
          <w:color w:val="000000" w:themeColor="text1"/>
        </w:rPr>
        <w:t>does</w:t>
      </w:r>
      <w:r w:rsidR="00ED7DFF">
        <w:rPr>
          <w:color w:val="000000" w:themeColor="text1"/>
        </w:rPr>
        <w:t xml:space="preserve"> sometimes</w:t>
      </w:r>
      <w:r w:rsidRPr="00062F7E">
        <w:rPr>
          <w:color w:val="000000" w:themeColor="text1"/>
        </w:rPr>
        <w:t xml:space="preserve"> have paired processes on the occipital face, but only one of these is on the tabular</w:t>
      </w:r>
      <w:r w:rsidR="00985694">
        <w:rPr>
          <w:color w:val="000000" w:themeColor="text1"/>
        </w:rPr>
        <w:t xml:space="preserve">. In </w:t>
      </w:r>
      <w:proofErr w:type="spellStart"/>
      <w:r w:rsidR="00985694">
        <w:rPr>
          <w:i/>
          <w:iCs/>
          <w:color w:val="000000" w:themeColor="text1"/>
        </w:rPr>
        <w:t>Batrachosuchus</w:t>
      </w:r>
      <w:proofErr w:type="spellEnd"/>
      <w:r w:rsidR="00985694">
        <w:rPr>
          <w:i/>
          <w:iCs/>
          <w:color w:val="000000" w:themeColor="text1"/>
        </w:rPr>
        <w:t xml:space="preserve"> </w:t>
      </w:r>
      <w:proofErr w:type="spellStart"/>
      <w:r w:rsidR="00985694">
        <w:rPr>
          <w:i/>
          <w:iCs/>
          <w:color w:val="000000" w:themeColor="text1"/>
        </w:rPr>
        <w:t>concordi</w:t>
      </w:r>
      <w:proofErr w:type="spellEnd"/>
      <w:r w:rsidR="00985694">
        <w:rPr>
          <w:color w:val="000000" w:themeColor="text1"/>
        </w:rPr>
        <w:t>,</w:t>
      </w:r>
      <w:r w:rsidR="00985694">
        <w:rPr>
          <w:i/>
          <w:iCs/>
          <w:color w:val="000000" w:themeColor="text1"/>
        </w:rPr>
        <w:t xml:space="preserve"> </w:t>
      </w:r>
      <w:r w:rsidR="00B9076B">
        <w:rPr>
          <w:color w:val="000000" w:themeColor="text1"/>
        </w:rPr>
        <w:t xml:space="preserve">the only other posterior projection from the occiput is </w:t>
      </w:r>
      <w:r w:rsidRPr="00062F7E">
        <w:rPr>
          <w:color w:val="000000" w:themeColor="text1"/>
        </w:rPr>
        <w:t>clearly laterally offset and on the squamosal (Chernin, 1977:fig. 1).</w:t>
      </w:r>
      <w:r w:rsidR="00B9076B">
        <w:rPr>
          <w:color w:val="000000" w:themeColor="text1"/>
        </w:rPr>
        <w:t xml:space="preserve"> In </w:t>
      </w:r>
      <w:proofErr w:type="spellStart"/>
      <w:r w:rsidR="00ED7DFF">
        <w:rPr>
          <w:i/>
          <w:iCs/>
          <w:color w:val="000000" w:themeColor="text1"/>
        </w:rPr>
        <w:t>Batrachosuchus</w:t>
      </w:r>
      <w:proofErr w:type="spellEnd"/>
      <w:r w:rsidR="00ED7DFF">
        <w:rPr>
          <w:i/>
          <w:iCs/>
          <w:color w:val="000000" w:themeColor="text1"/>
        </w:rPr>
        <w:t xml:space="preserve"> </w:t>
      </w:r>
      <w:proofErr w:type="spellStart"/>
      <w:r w:rsidR="00ED7DFF">
        <w:rPr>
          <w:i/>
          <w:iCs/>
          <w:color w:val="000000" w:themeColor="text1"/>
        </w:rPr>
        <w:t>henwoodi</w:t>
      </w:r>
      <w:proofErr w:type="spellEnd"/>
      <w:r w:rsidR="00B9076B">
        <w:rPr>
          <w:color w:val="000000" w:themeColor="text1"/>
        </w:rPr>
        <w:t>, the quadrate ramus of the pterygoid</w:t>
      </w:r>
      <w:r w:rsidR="000E6C6D">
        <w:rPr>
          <w:color w:val="000000" w:themeColor="text1"/>
        </w:rPr>
        <w:t xml:space="preserve"> probably</w:t>
      </w:r>
      <w:r w:rsidR="00B9076B">
        <w:rPr>
          <w:color w:val="000000" w:themeColor="text1"/>
        </w:rPr>
        <w:t xml:space="preserve"> project</w:t>
      </w:r>
      <w:r w:rsidR="000E6C6D">
        <w:rPr>
          <w:color w:val="000000" w:themeColor="text1"/>
        </w:rPr>
        <w:t>ed</w:t>
      </w:r>
      <w:r w:rsidR="00B9076B">
        <w:rPr>
          <w:color w:val="000000" w:themeColor="text1"/>
        </w:rPr>
        <w:t xml:space="preserve"> posteriorly such that it is exposed in dorsal view (</w:t>
      </w:r>
      <w:r w:rsidR="00ED7DFF">
        <w:rPr>
          <w:color w:val="000000" w:themeColor="text1"/>
        </w:rPr>
        <w:t>Warren &amp; Marsicano, 1998:fig. 3</w:t>
      </w:r>
      <w:r w:rsidR="00B9076B">
        <w:rPr>
          <w:color w:val="000000" w:themeColor="text1"/>
        </w:rPr>
        <w:t xml:space="preserve">); </w:t>
      </w:r>
      <w:r w:rsidR="00E92C0D">
        <w:rPr>
          <w:color w:val="000000" w:themeColor="text1"/>
        </w:rPr>
        <w:t xml:space="preserve">it </w:t>
      </w:r>
      <w:r w:rsidR="00B9076B">
        <w:rPr>
          <w:color w:val="000000" w:themeColor="text1"/>
        </w:rPr>
        <w:t>seemingly lack</w:t>
      </w:r>
      <w:r w:rsidR="000E6C6D">
        <w:rPr>
          <w:color w:val="000000" w:themeColor="text1"/>
        </w:rPr>
        <w:t>s</w:t>
      </w:r>
      <w:r w:rsidR="00B9076B">
        <w:rPr>
          <w:color w:val="000000" w:themeColor="text1"/>
        </w:rPr>
        <w:t xml:space="preserve"> any posterior projection from the occipital surface of the tabular.</w:t>
      </w:r>
      <w:r w:rsidR="002225CF">
        <w:rPr>
          <w:color w:val="000000" w:themeColor="text1"/>
        </w:rPr>
        <w:t xml:space="preserve"> This is similar to </w:t>
      </w:r>
      <w:r w:rsidR="002225CF">
        <w:rPr>
          <w:i/>
          <w:iCs/>
          <w:color w:val="000000" w:themeColor="text1"/>
        </w:rPr>
        <w:t>Bathignathus watsoni</w:t>
      </w:r>
      <w:r w:rsidR="002225CF">
        <w:rPr>
          <w:color w:val="000000" w:themeColor="text1"/>
        </w:rPr>
        <w:t xml:space="preserve"> (formerly placed in </w:t>
      </w:r>
      <w:r w:rsidR="002225CF">
        <w:rPr>
          <w:i/>
          <w:iCs/>
          <w:color w:val="000000" w:themeColor="text1"/>
        </w:rPr>
        <w:t>Batrac</w:t>
      </w:r>
      <w:r w:rsidR="00161905">
        <w:rPr>
          <w:i/>
          <w:iCs/>
          <w:color w:val="000000" w:themeColor="text1"/>
        </w:rPr>
        <w:t>h</w:t>
      </w:r>
      <w:r w:rsidR="002225CF">
        <w:rPr>
          <w:i/>
          <w:iCs/>
          <w:color w:val="000000" w:themeColor="text1"/>
        </w:rPr>
        <w:t>osuchus</w:t>
      </w:r>
      <w:r w:rsidR="002225CF">
        <w:rPr>
          <w:color w:val="000000" w:themeColor="text1"/>
        </w:rPr>
        <w:t xml:space="preserve">; e.g., </w:t>
      </w:r>
      <w:r w:rsidR="00AD2FA8" w:rsidRPr="00A155FA">
        <w:rPr>
          <w:color w:val="000000" w:themeColor="text1"/>
        </w:rPr>
        <w:t xml:space="preserve">Watson, 1956:fig. 5; </w:t>
      </w:r>
      <w:r w:rsidR="002225CF">
        <w:rPr>
          <w:color w:val="000000" w:themeColor="text1"/>
        </w:rPr>
        <w:t>Welles &amp; Estes, 1969:fig. 17)</w:t>
      </w:r>
      <w:r w:rsidR="00F72B26">
        <w:rPr>
          <w:color w:val="000000" w:themeColor="text1"/>
        </w:rPr>
        <w:t xml:space="preserve">, which was likely used as the basis for a reconstruction of </w:t>
      </w:r>
      <w:proofErr w:type="spellStart"/>
      <w:r w:rsidR="00F72B26">
        <w:rPr>
          <w:i/>
          <w:iCs/>
          <w:color w:val="000000" w:themeColor="text1"/>
        </w:rPr>
        <w:t>Bathignathus</w:t>
      </w:r>
      <w:proofErr w:type="spellEnd"/>
      <w:r w:rsidR="00F72B26">
        <w:rPr>
          <w:i/>
          <w:iCs/>
          <w:color w:val="000000" w:themeColor="text1"/>
        </w:rPr>
        <w:t xml:space="preserve"> </w:t>
      </w:r>
      <w:proofErr w:type="spellStart"/>
      <w:r w:rsidR="00F72B26">
        <w:rPr>
          <w:i/>
          <w:iCs/>
          <w:color w:val="000000" w:themeColor="text1"/>
        </w:rPr>
        <w:t>poikilops</w:t>
      </w:r>
      <w:proofErr w:type="spellEnd"/>
      <w:r w:rsidR="00F72B26">
        <w:rPr>
          <w:color w:val="000000" w:themeColor="text1"/>
        </w:rPr>
        <w:t xml:space="preserve"> that has a dorsally exposed quadrate ramus but no tabular processes (Damiani &amp; Jeannot, 2002:fig. 3)</w:t>
      </w:r>
      <w:r w:rsidR="002225CF">
        <w:rPr>
          <w:color w:val="000000" w:themeColor="text1"/>
        </w:rPr>
        <w:t>.</w:t>
      </w:r>
      <w:r w:rsidR="00E92C0D">
        <w:rPr>
          <w:color w:val="000000" w:themeColor="text1"/>
        </w:rPr>
        <w:t xml:space="preserve"> </w:t>
      </w:r>
      <w:r w:rsidR="00DB118E">
        <w:rPr>
          <w:color w:val="000000" w:themeColor="text1"/>
        </w:rPr>
        <w:t xml:space="preserve">The posterior projection </w:t>
      </w:r>
      <w:r w:rsidR="003E788A">
        <w:rPr>
          <w:color w:val="000000" w:themeColor="text1"/>
        </w:rPr>
        <w:t xml:space="preserve">of </w:t>
      </w:r>
      <w:r w:rsidR="00DB118E">
        <w:rPr>
          <w:color w:val="000000" w:themeColor="text1"/>
        </w:rPr>
        <w:t xml:space="preserve">the quadrate ramus is also observed in </w:t>
      </w:r>
      <w:r w:rsidR="00DB118E">
        <w:rPr>
          <w:i/>
          <w:iCs/>
          <w:color w:val="000000" w:themeColor="text1"/>
        </w:rPr>
        <w:t>Co</w:t>
      </w:r>
      <w:r w:rsidR="00367C9A">
        <w:rPr>
          <w:i/>
          <w:iCs/>
          <w:color w:val="000000" w:themeColor="text1"/>
        </w:rPr>
        <w:t>mpsocerops</w:t>
      </w:r>
      <w:r w:rsidR="00DB118E">
        <w:rPr>
          <w:i/>
          <w:iCs/>
          <w:color w:val="000000" w:themeColor="text1"/>
        </w:rPr>
        <w:t xml:space="preserve"> cosgriffi </w:t>
      </w:r>
      <w:r w:rsidR="00DB118E">
        <w:rPr>
          <w:color w:val="000000" w:themeColor="text1"/>
        </w:rPr>
        <w:t>(Sengupta, 1995:318, fig. 4)</w:t>
      </w:r>
      <w:r w:rsidR="00367C9A">
        <w:rPr>
          <w:color w:val="000000" w:themeColor="text1"/>
        </w:rPr>
        <w:t xml:space="preserve"> and</w:t>
      </w:r>
      <w:r w:rsidR="00DB118E">
        <w:rPr>
          <w:color w:val="000000" w:themeColor="text1"/>
        </w:rPr>
        <w:t xml:space="preserve"> </w:t>
      </w:r>
      <w:r w:rsidRPr="00062F7E">
        <w:rPr>
          <w:i/>
          <w:iCs/>
          <w:color w:val="000000" w:themeColor="text1"/>
        </w:rPr>
        <w:t>Vigilius</w:t>
      </w:r>
      <w:r w:rsidR="00394DF1">
        <w:rPr>
          <w:i/>
          <w:iCs/>
          <w:color w:val="000000" w:themeColor="text1"/>
        </w:rPr>
        <w:t xml:space="preserve"> wellesi</w:t>
      </w:r>
      <w:r w:rsidRPr="00062F7E">
        <w:rPr>
          <w:i/>
          <w:iCs/>
          <w:color w:val="000000" w:themeColor="text1"/>
        </w:rPr>
        <w:t xml:space="preserve"> </w:t>
      </w:r>
      <w:r w:rsidRPr="00062F7E">
        <w:rPr>
          <w:color w:val="000000" w:themeColor="text1"/>
        </w:rPr>
        <w:t xml:space="preserve">(e.g., </w:t>
      </w:r>
      <w:r w:rsidR="00985694">
        <w:rPr>
          <w:color w:val="000000" w:themeColor="text1"/>
        </w:rPr>
        <w:t>Welles &amp; Estes, 196</w:t>
      </w:r>
      <w:r w:rsidR="00013F96">
        <w:rPr>
          <w:color w:val="000000" w:themeColor="text1"/>
        </w:rPr>
        <w:t>9</w:t>
      </w:r>
      <w:r w:rsidR="00985694">
        <w:rPr>
          <w:color w:val="000000" w:themeColor="text1"/>
        </w:rPr>
        <w:t xml:space="preserve">:fig. 26; </w:t>
      </w:r>
      <w:r w:rsidRPr="00062F7E">
        <w:rPr>
          <w:color w:val="000000" w:themeColor="text1"/>
        </w:rPr>
        <w:t>Warren &amp; Marsicano, 2000:</w:t>
      </w:r>
      <w:r w:rsidR="00964377" w:rsidRPr="00062F7E">
        <w:rPr>
          <w:color w:val="000000" w:themeColor="text1"/>
        </w:rPr>
        <w:t xml:space="preserve"> </w:t>
      </w:r>
      <w:r w:rsidRPr="00062F7E">
        <w:rPr>
          <w:color w:val="000000" w:themeColor="text1"/>
        </w:rPr>
        <w:t>fig. 3D)</w:t>
      </w:r>
      <w:r w:rsidR="00161905">
        <w:rPr>
          <w:color w:val="000000" w:themeColor="text1"/>
        </w:rPr>
        <w:t xml:space="preserve">. In </w:t>
      </w:r>
      <w:r w:rsidR="00394DF1">
        <w:rPr>
          <w:i/>
          <w:iCs/>
          <w:color w:val="000000" w:themeColor="text1"/>
        </w:rPr>
        <w:t>V. wellesi</w:t>
      </w:r>
      <w:r w:rsidR="00161905">
        <w:rPr>
          <w:color w:val="000000" w:themeColor="text1"/>
        </w:rPr>
        <w:t>,</w:t>
      </w:r>
      <w:r w:rsidRPr="00062F7E">
        <w:rPr>
          <w:color w:val="000000" w:themeColor="text1"/>
        </w:rPr>
        <w:t xml:space="preserve"> the </w:t>
      </w:r>
      <w:r w:rsidR="00161905">
        <w:rPr>
          <w:color w:val="000000" w:themeColor="text1"/>
        </w:rPr>
        <w:t>only other occipital projection visible in dorsal view</w:t>
      </w:r>
      <w:r w:rsidR="00161905" w:rsidRPr="00062F7E">
        <w:rPr>
          <w:color w:val="000000" w:themeColor="text1"/>
        </w:rPr>
        <w:t xml:space="preserve"> </w:t>
      </w:r>
      <w:r w:rsidRPr="00062F7E">
        <w:rPr>
          <w:color w:val="000000" w:themeColor="text1"/>
        </w:rPr>
        <w:t>is laterally offset from the first</w:t>
      </w:r>
      <w:r w:rsidR="00161905">
        <w:rPr>
          <w:color w:val="000000" w:themeColor="text1"/>
        </w:rPr>
        <w:t xml:space="preserve"> (the quadrate ramus of the pterygoid)</w:t>
      </w:r>
      <w:r w:rsidRPr="00062F7E">
        <w:rPr>
          <w:color w:val="000000" w:themeColor="text1"/>
        </w:rPr>
        <w:t xml:space="preserve"> and therefore </w:t>
      </w:r>
      <w:r w:rsidR="00161905">
        <w:rPr>
          <w:color w:val="000000" w:themeColor="text1"/>
        </w:rPr>
        <w:t>is</w:t>
      </w:r>
      <w:r w:rsidRPr="00062F7E">
        <w:rPr>
          <w:color w:val="000000" w:themeColor="text1"/>
        </w:rPr>
        <w:t xml:space="preserve"> from the squamosal</w:t>
      </w:r>
      <w:r w:rsidR="00DB118E">
        <w:rPr>
          <w:color w:val="000000" w:themeColor="text1"/>
        </w:rPr>
        <w:t xml:space="preserve">, as in </w:t>
      </w:r>
      <w:proofErr w:type="spellStart"/>
      <w:r w:rsidR="00DB118E">
        <w:rPr>
          <w:i/>
          <w:iCs/>
          <w:color w:val="000000" w:themeColor="text1"/>
        </w:rPr>
        <w:t>B</w:t>
      </w:r>
      <w:r w:rsidR="00161905">
        <w:rPr>
          <w:i/>
          <w:iCs/>
          <w:color w:val="000000" w:themeColor="text1"/>
        </w:rPr>
        <w:t>atr</w:t>
      </w:r>
      <w:r w:rsidR="00BD697E">
        <w:rPr>
          <w:i/>
          <w:iCs/>
          <w:color w:val="000000" w:themeColor="text1"/>
        </w:rPr>
        <w:t>achosuchus</w:t>
      </w:r>
      <w:proofErr w:type="spellEnd"/>
      <w:r w:rsidR="00DB118E">
        <w:rPr>
          <w:i/>
          <w:iCs/>
          <w:color w:val="000000" w:themeColor="text1"/>
        </w:rPr>
        <w:t xml:space="preserve"> </w:t>
      </w:r>
      <w:proofErr w:type="spellStart"/>
      <w:r w:rsidR="00DB118E">
        <w:rPr>
          <w:i/>
          <w:iCs/>
          <w:color w:val="000000" w:themeColor="text1"/>
        </w:rPr>
        <w:t>concordi</w:t>
      </w:r>
      <w:proofErr w:type="spellEnd"/>
      <w:r w:rsidR="00AD2FA8" w:rsidRPr="00A155FA">
        <w:rPr>
          <w:i/>
          <w:iCs/>
          <w:color w:val="000000" w:themeColor="text1"/>
        </w:rPr>
        <w:t xml:space="preserve"> </w:t>
      </w:r>
      <w:r w:rsidR="00AD2FA8" w:rsidRPr="00A155FA">
        <w:rPr>
          <w:color w:val="000000" w:themeColor="text1"/>
        </w:rPr>
        <w:t xml:space="preserve">and </w:t>
      </w:r>
      <w:r w:rsidR="00AD2FA8" w:rsidRPr="00A155FA">
        <w:rPr>
          <w:i/>
          <w:iCs/>
          <w:color w:val="000000" w:themeColor="text1"/>
        </w:rPr>
        <w:t>Bath. watsoni</w:t>
      </w:r>
      <w:r w:rsidR="00161905">
        <w:rPr>
          <w:color w:val="000000" w:themeColor="text1"/>
        </w:rPr>
        <w:t>; t</w:t>
      </w:r>
      <w:r w:rsidR="00DB118E">
        <w:rPr>
          <w:color w:val="000000" w:themeColor="text1"/>
        </w:rPr>
        <w:t>here is no projection from the occipital surface of the tabular (Welles &amp; Estes, 196</w:t>
      </w:r>
      <w:r w:rsidR="00013F96">
        <w:rPr>
          <w:color w:val="000000" w:themeColor="text1"/>
        </w:rPr>
        <w:t>9</w:t>
      </w:r>
      <w:r w:rsidR="00DB118E">
        <w:rPr>
          <w:color w:val="000000" w:themeColor="text1"/>
        </w:rPr>
        <w:t>:fig. 27).</w:t>
      </w:r>
      <w:r w:rsidR="005F52A4">
        <w:rPr>
          <w:color w:val="000000" w:themeColor="text1"/>
        </w:rPr>
        <w:t xml:space="preserve"> In these taxa, the squamosal forms a posteriorly convex margin but not a distinct process.</w:t>
      </w:r>
      <w:r w:rsidRPr="00062F7E">
        <w:rPr>
          <w:color w:val="000000" w:themeColor="text1"/>
        </w:rPr>
        <w:t xml:space="preserve"> </w:t>
      </w:r>
      <w:r w:rsidR="00161905">
        <w:rPr>
          <w:i/>
          <w:iCs/>
          <w:color w:val="000000" w:themeColor="text1"/>
        </w:rPr>
        <w:t>Batrachosuchus browni</w:t>
      </w:r>
      <w:r w:rsidR="00161905">
        <w:rPr>
          <w:color w:val="000000" w:themeColor="text1"/>
        </w:rPr>
        <w:t>, the taxon depicted by Pardo et al. (2017</w:t>
      </w:r>
      <w:r w:rsidR="00096D66">
        <w:rPr>
          <w:color w:val="000000" w:themeColor="text1"/>
        </w:rPr>
        <w:t>a</w:t>
      </w:r>
      <w:r w:rsidR="00161905">
        <w:rPr>
          <w:color w:val="000000" w:themeColor="text1"/>
        </w:rPr>
        <w:t>:fig. 3) has only one very underdeveloped process from the</w:t>
      </w:r>
      <w:r w:rsidR="00AD2FA8">
        <w:rPr>
          <w:color w:val="000000" w:themeColor="text1"/>
        </w:rPr>
        <w:t xml:space="preserve"> skull roof portion of the</w:t>
      </w:r>
      <w:r w:rsidR="00161905">
        <w:rPr>
          <w:color w:val="000000" w:themeColor="text1"/>
        </w:rPr>
        <w:t xml:space="preserve"> tabular, as evidenced from both their figure in dorsal view and earlier figures in all views by Chernin (1977:fig. 5).</w:t>
      </w:r>
      <w:r w:rsidR="00DB118E">
        <w:rPr>
          <w:color w:val="000000" w:themeColor="text1"/>
        </w:rPr>
        <w:t xml:space="preserve">The dual projections from the occipital surface of the tabular in </w:t>
      </w:r>
      <w:r w:rsidR="00DB118E">
        <w:rPr>
          <w:i/>
          <w:iCs/>
          <w:color w:val="000000" w:themeColor="text1"/>
        </w:rPr>
        <w:t>Chinlestegophis jenkinsi</w:t>
      </w:r>
      <w:r w:rsidR="00DB118E" w:rsidRPr="00062F7E">
        <w:rPr>
          <w:color w:val="000000" w:themeColor="text1"/>
        </w:rPr>
        <w:t xml:space="preserve"> </w:t>
      </w:r>
      <w:r w:rsidRPr="00062F7E">
        <w:rPr>
          <w:color w:val="000000" w:themeColor="text1"/>
        </w:rPr>
        <w:t>can therefore not be considered to be shared with any brachyopid, let alone with most brachyopids</w:t>
      </w:r>
      <w:r w:rsidR="00DD3F18">
        <w:rPr>
          <w:color w:val="000000" w:themeColor="text1"/>
        </w:rPr>
        <w:t>, most chigutisaurids,</w:t>
      </w:r>
      <w:r w:rsidRPr="00062F7E">
        <w:rPr>
          <w:color w:val="000000" w:themeColor="text1"/>
        </w:rPr>
        <w:t xml:space="preserve"> or</w:t>
      </w:r>
      <w:r w:rsidR="00DD3F18">
        <w:rPr>
          <w:color w:val="000000" w:themeColor="text1"/>
        </w:rPr>
        <w:t xml:space="preserve"> most</w:t>
      </w:r>
      <w:r w:rsidRPr="00062F7E">
        <w:rPr>
          <w:color w:val="000000" w:themeColor="text1"/>
        </w:rPr>
        <w:t xml:space="preserve"> brachyopoids.</w:t>
      </w:r>
    </w:p>
    <w:p w14:paraId="556EDC54" w14:textId="77777777" w:rsidR="003912E6" w:rsidRDefault="0072320A" w:rsidP="00662B68">
      <w:pPr>
        <w:rPr>
          <w:color w:val="000000" w:themeColor="text1"/>
        </w:rPr>
      </w:pPr>
      <w:r w:rsidRPr="00062F7E">
        <w:rPr>
          <w:color w:val="000000" w:themeColor="text1"/>
        </w:rPr>
        <w:tab/>
      </w:r>
    </w:p>
    <w:p w14:paraId="5F4FC77D" w14:textId="25A6BC53" w:rsidR="0072320A" w:rsidRPr="00062F7E" w:rsidRDefault="003912E6" w:rsidP="00662B68">
      <w:pPr>
        <w:rPr>
          <w:color w:val="000000" w:themeColor="text1"/>
        </w:rPr>
      </w:pPr>
      <w:r>
        <w:rPr>
          <w:b/>
          <w:bCs/>
          <w:color w:val="000000" w:themeColor="text1"/>
        </w:rPr>
        <w:t xml:space="preserve">Small, laterally facing orbits. </w:t>
      </w:r>
      <w:r w:rsidR="0072320A" w:rsidRPr="00062F7E">
        <w:rPr>
          <w:color w:val="000000" w:themeColor="text1"/>
        </w:rPr>
        <w:t xml:space="preserve">The small, laterally facing orbits </w:t>
      </w:r>
      <w:r w:rsidR="00932D61">
        <w:rPr>
          <w:color w:val="000000" w:themeColor="text1"/>
        </w:rPr>
        <w:t xml:space="preserve">of </w:t>
      </w:r>
      <w:r w:rsidR="00932D61" w:rsidRPr="00662B68">
        <w:rPr>
          <w:i/>
          <w:iCs/>
          <w:color w:val="000000" w:themeColor="text1"/>
        </w:rPr>
        <w:t>C</w:t>
      </w:r>
      <w:r w:rsidR="008B267D">
        <w:rPr>
          <w:i/>
          <w:iCs/>
          <w:color w:val="000000" w:themeColor="text1"/>
        </w:rPr>
        <w:t>hin</w:t>
      </w:r>
      <w:r w:rsidR="00FB51E8">
        <w:rPr>
          <w:i/>
          <w:iCs/>
          <w:color w:val="000000" w:themeColor="text1"/>
        </w:rPr>
        <w:t>lestegophis</w:t>
      </w:r>
      <w:r w:rsidR="00932D61" w:rsidRPr="00662B68">
        <w:rPr>
          <w:i/>
          <w:iCs/>
          <w:color w:val="000000" w:themeColor="text1"/>
        </w:rPr>
        <w:t xml:space="preserve"> jenkinsi</w:t>
      </w:r>
      <w:r w:rsidR="00932D61">
        <w:rPr>
          <w:color w:val="000000" w:themeColor="text1"/>
        </w:rPr>
        <w:t xml:space="preserve"> </w:t>
      </w:r>
      <w:r w:rsidR="0072320A" w:rsidRPr="00062F7E">
        <w:rPr>
          <w:color w:val="000000" w:themeColor="text1"/>
        </w:rPr>
        <w:t xml:space="preserve">are a rare feature among temnospondyls and generically shared with caecilians in certain comparative contexts (i.e., the orbits of </w:t>
      </w:r>
      <w:r w:rsidR="00394DF1">
        <w:rPr>
          <w:i/>
          <w:iCs/>
          <w:color w:val="000000" w:themeColor="text1"/>
        </w:rPr>
        <w:t>C.</w:t>
      </w:r>
      <w:r w:rsidR="00394DF1" w:rsidRPr="00062F7E">
        <w:rPr>
          <w:i/>
          <w:iCs/>
          <w:color w:val="000000" w:themeColor="text1"/>
        </w:rPr>
        <w:t xml:space="preserve"> </w:t>
      </w:r>
      <w:r w:rsidR="0072320A" w:rsidRPr="00062F7E">
        <w:rPr>
          <w:i/>
          <w:iCs/>
          <w:color w:val="000000" w:themeColor="text1"/>
        </w:rPr>
        <w:t>jenkinsi</w:t>
      </w:r>
      <w:r w:rsidR="0072320A" w:rsidRPr="00062F7E">
        <w:rPr>
          <w:color w:val="000000" w:themeColor="text1"/>
        </w:rPr>
        <w:t xml:space="preserve"> are still much bigger than those of caecilians but are certainly smaller than most other temnospondyls). Most small-bodied temnospondyls (either juveniles or diminutive adults) exhibit proportionately large orbits, like in amphibamiform dissorophoids (e.g., Anderson et al., 2008</w:t>
      </w:r>
      <w:r w:rsidR="002639C2">
        <w:rPr>
          <w:color w:val="000000" w:themeColor="text1"/>
        </w:rPr>
        <w:t>a, 2008b</w:t>
      </w:r>
      <w:r w:rsidR="0072320A" w:rsidRPr="00062F7E">
        <w:rPr>
          <w:color w:val="000000" w:themeColor="text1"/>
        </w:rPr>
        <w:t>; Sigurdsen &amp; Bolt, 2010), a feature also found in batrachians, especially anurans. Dissorophoids in general trended towards large, laterally facing orbits. Orbit size scales with negative allometry</w:t>
      </w:r>
      <w:r w:rsidR="00AD2FA8">
        <w:rPr>
          <w:color w:val="000000" w:themeColor="text1"/>
        </w:rPr>
        <w:t xml:space="preserve"> relative</w:t>
      </w:r>
      <w:r w:rsidR="0072320A" w:rsidRPr="00062F7E">
        <w:rPr>
          <w:color w:val="000000" w:themeColor="text1"/>
        </w:rPr>
        <w:t xml:space="preserve"> to skull size in temnospondyls, as in tetrapods at large, so very large taxa have orbits perhaps even proportionately smaller than </w:t>
      </w:r>
      <w:r w:rsidR="00394DF1">
        <w:rPr>
          <w:i/>
          <w:iCs/>
          <w:color w:val="000000" w:themeColor="text1"/>
        </w:rPr>
        <w:t>C.</w:t>
      </w:r>
      <w:r w:rsidR="00394DF1" w:rsidRPr="00062F7E">
        <w:rPr>
          <w:i/>
          <w:iCs/>
          <w:color w:val="000000" w:themeColor="text1"/>
        </w:rPr>
        <w:t xml:space="preserve"> </w:t>
      </w:r>
      <w:r w:rsidR="0072320A" w:rsidRPr="00062F7E">
        <w:rPr>
          <w:i/>
          <w:iCs/>
          <w:color w:val="000000" w:themeColor="text1"/>
        </w:rPr>
        <w:t xml:space="preserve">jenkinsi </w:t>
      </w:r>
      <w:r w:rsidR="0072320A" w:rsidRPr="00062F7E">
        <w:rPr>
          <w:color w:val="000000" w:themeColor="text1"/>
        </w:rPr>
        <w:t xml:space="preserve">(e.g., </w:t>
      </w:r>
      <w:proofErr w:type="spellStart"/>
      <w:r w:rsidR="0072320A" w:rsidRPr="00062F7E">
        <w:rPr>
          <w:i/>
          <w:iCs/>
          <w:color w:val="000000" w:themeColor="text1"/>
        </w:rPr>
        <w:t>Dasyceps</w:t>
      </w:r>
      <w:proofErr w:type="spellEnd"/>
      <w:r w:rsidR="0072320A" w:rsidRPr="00062F7E">
        <w:rPr>
          <w:i/>
          <w:iCs/>
          <w:color w:val="000000" w:themeColor="text1"/>
        </w:rPr>
        <w:t xml:space="preserve"> </w:t>
      </w:r>
      <w:proofErr w:type="spellStart"/>
      <w:r w:rsidR="0072320A" w:rsidRPr="00062F7E">
        <w:rPr>
          <w:i/>
          <w:iCs/>
          <w:color w:val="000000" w:themeColor="text1"/>
        </w:rPr>
        <w:t>bucklandi</w:t>
      </w:r>
      <w:proofErr w:type="spellEnd"/>
      <w:r w:rsidR="0072320A" w:rsidRPr="00062F7E">
        <w:rPr>
          <w:color w:val="000000" w:themeColor="text1"/>
        </w:rPr>
        <w:t xml:space="preserve">, </w:t>
      </w:r>
      <w:proofErr w:type="spellStart"/>
      <w:r w:rsidR="0072320A" w:rsidRPr="00062F7E">
        <w:rPr>
          <w:i/>
          <w:iCs/>
          <w:color w:val="000000" w:themeColor="text1"/>
        </w:rPr>
        <w:t>Nigerpeton</w:t>
      </w:r>
      <w:proofErr w:type="spellEnd"/>
      <w:r w:rsidR="0072320A" w:rsidRPr="00062F7E">
        <w:rPr>
          <w:i/>
          <w:iCs/>
          <w:color w:val="000000" w:themeColor="text1"/>
        </w:rPr>
        <w:t xml:space="preserve"> </w:t>
      </w:r>
      <w:proofErr w:type="spellStart"/>
      <w:r w:rsidR="0072320A" w:rsidRPr="00062F7E">
        <w:rPr>
          <w:i/>
          <w:iCs/>
          <w:color w:val="000000" w:themeColor="text1"/>
        </w:rPr>
        <w:t>ricqlesi</w:t>
      </w:r>
      <w:proofErr w:type="spellEnd"/>
      <w:r w:rsidR="0072320A" w:rsidRPr="00062F7E">
        <w:rPr>
          <w:color w:val="000000" w:themeColor="text1"/>
        </w:rPr>
        <w:t>,</w:t>
      </w:r>
      <w:r w:rsidR="0072320A" w:rsidRPr="00062F7E">
        <w:rPr>
          <w:i/>
          <w:iCs/>
          <w:color w:val="000000" w:themeColor="text1"/>
        </w:rPr>
        <w:t xml:space="preserve"> </w:t>
      </w:r>
      <w:r w:rsidR="0072320A" w:rsidRPr="00062F7E">
        <w:rPr>
          <w:color w:val="000000" w:themeColor="text1"/>
        </w:rPr>
        <w:t xml:space="preserve">and </w:t>
      </w:r>
      <w:proofErr w:type="spellStart"/>
      <w:r w:rsidR="0072320A" w:rsidRPr="00062F7E">
        <w:rPr>
          <w:i/>
          <w:iCs/>
          <w:color w:val="000000" w:themeColor="text1"/>
        </w:rPr>
        <w:t>Saharastega</w:t>
      </w:r>
      <w:proofErr w:type="spellEnd"/>
      <w:r w:rsidR="0072320A" w:rsidRPr="00062F7E">
        <w:rPr>
          <w:i/>
          <w:iCs/>
          <w:color w:val="000000" w:themeColor="text1"/>
        </w:rPr>
        <w:t xml:space="preserve"> </w:t>
      </w:r>
      <w:proofErr w:type="spellStart"/>
      <w:r w:rsidR="0072320A" w:rsidRPr="00062F7E">
        <w:rPr>
          <w:i/>
          <w:iCs/>
          <w:color w:val="000000" w:themeColor="text1"/>
        </w:rPr>
        <w:t>moradiensis</w:t>
      </w:r>
      <w:proofErr w:type="spellEnd"/>
      <w:r w:rsidR="0072320A" w:rsidRPr="00062F7E">
        <w:rPr>
          <w:color w:val="000000" w:themeColor="text1"/>
        </w:rPr>
        <w:t>; Paton, 1975; Sidor et al., 2005), but these are flat-headed taxa, and thus the orbits face dorsally.</w:t>
      </w:r>
      <w:r w:rsidR="0072320A" w:rsidRPr="00062F7E">
        <w:rPr>
          <w:i/>
          <w:iCs/>
          <w:color w:val="000000" w:themeColor="text1"/>
        </w:rPr>
        <w:t xml:space="preserve"> </w:t>
      </w:r>
    </w:p>
    <w:p w14:paraId="73CCCE07" w14:textId="77777777" w:rsidR="003912E6" w:rsidRDefault="003912E6" w:rsidP="003912E6">
      <w:pPr>
        <w:rPr>
          <w:color w:val="000000" w:themeColor="text1"/>
        </w:rPr>
      </w:pPr>
    </w:p>
    <w:p w14:paraId="487900D2" w14:textId="3806D2BB" w:rsidR="007E057A" w:rsidRDefault="003912E6" w:rsidP="00D04466">
      <w:pPr>
        <w:rPr>
          <w:color w:val="000000" w:themeColor="text1"/>
        </w:rPr>
      </w:pPr>
      <w:r>
        <w:rPr>
          <w:b/>
          <w:bCs/>
          <w:color w:val="000000" w:themeColor="text1"/>
        </w:rPr>
        <w:t xml:space="preserve">Second tooth row on the lower jaw. </w:t>
      </w:r>
      <w:r w:rsidR="0072320A" w:rsidRPr="00062F7E">
        <w:rPr>
          <w:color w:val="000000" w:themeColor="text1"/>
        </w:rPr>
        <w:t xml:space="preserve">Pardo et al. (2020) noted a double tooth row on the mandible to be shared between </w:t>
      </w:r>
      <w:r w:rsidR="0072320A" w:rsidRPr="00062F7E">
        <w:rPr>
          <w:i/>
          <w:iCs/>
          <w:color w:val="000000" w:themeColor="text1"/>
        </w:rPr>
        <w:t xml:space="preserve">Chinlestegophis jenkinsi </w:t>
      </w:r>
      <w:r w:rsidR="0072320A" w:rsidRPr="00062F7E">
        <w:rPr>
          <w:color w:val="000000" w:themeColor="text1"/>
        </w:rPr>
        <w:t>and caecilians. Conversely, Santos et al. (2020) argued that this occurred in other peripherally related temnospondyls (citing Yates &amp; Warren, 2000; character state 101-2 therein). Yates &amp; Warren</w:t>
      </w:r>
      <w:r w:rsidR="00964377" w:rsidRPr="00062F7E">
        <w:rPr>
          <w:color w:val="000000" w:themeColor="text1"/>
        </w:rPr>
        <w:t xml:space="preserve"> (2000)</w:t>
      </w:r>
      <w:r w:rsidR="0072320A" w:rsidRPr="00062F7E">
        <w:rPr>
          <w:color w:val="000000" w:themeColor="text1"/>
        </w:rPr>
        <w:t xml:space="preserve"> </w:t>
      </w:r>
      <w:r w:rsidR="00224789">
        <w:rPr>
          <w:color w:val="000000" w:themeColor="text1"/>
        </w:rPr>
        <w:t>code</w:t>
      </w:r>
      <w:r w:rsidR="0072320A" w:rsidRPr="00062F7E">
        <w:rPr>
          <w:color w:val="000000" w:themeColor="text1"/>
        </w:rPr>
        <w:t xml:space="preserve"> this state in five terminal OTUs: </w:t>
      </w:r>
      <w:r w:rsidR="0072320A" w:rsidRPr="00062F7E">
        <w:rPr>
          <w:i/>
          <w:iCs/>
          <w:color w:val="000000" w:themeColor="text1"/>
        </w:rPr>
        <w:t xml:space="preserve">Dvinosaurus </w:t>
      </w:r>
      <w:r w:rsidR="0072320A" w:rsidRPr="00062F7E">
        <w:rPr>
          <w:color w:val="000000" w:themeColor="text1"/>
        </w:rPr>
        <w:t>(</w:t>
      </w:r>
      <w:r w:rsidR="00224789">
        <w:rPr>
          <w:color w:val="000000" w:themeColor="text1"/>
        </w:rPr>
        <w:t>coded</w:t>
      </w:r>
      <w:r w:rsidR="0072320A" w:rsidRPr="00062F7E">
        <w:rPr>
          <w:color w:val="000000" w:themeColor="text1"/>
        </w:rPr>
        <w:t xml:space="preserve"> based on </w:t>
      </w:r>
      <w:r w:rsidR="0072320A" w:rsidRPr="00062F7E">
        <w:rPr>
          <w:i/>
          <w:iCs/>
          <w:color w:val="000000" w:themeColor="text1"/>
        </w:rPr>
        <w:t>D</w:t>
      </w:r>
      <w:r w:rsidR="003544A7">
        <w:rPr>
          <w:i/>
          <w:iCs/>
          <w:color w:val="000000" w:themeColor="text1"/>
        </w:rPr>
        <w:t>vinosaur</w:t>
      </w:r>
      <w:r w:rsidR="00185BFF">
        <w:rPr>
          <w:i/>
          <w:iCs/>
          <w:color w:val="000000" w:themeColor="text1"/>
        </w:rPr>
        <w:t>us</w:t>
      </w:r>
      <w:r w:rsidR="007B0DB9">
        <w:rPr>
          <w:i/>
          <w:iCs/>
          <w:color w:val="000000" w:themeColor="text1"/>
        </w:rPr>
        <w:t xml:space="preserve"> </w:t>
      </w:r>
      <w:r w:rsidR="0072320A" w:rsidRPr="00062F7E">
        <w:rPr>
          <w:i/>
          <w:iCs/>
          <w:color w:val="000000" w:themeColor="text1"/>
        </w:rPr>
        <w:t>primus</w:t>
      </w:r>
      <w:r w:rsidR="0072320A" w:rsidRPr="00062F7E">
        <w:rPr>
          <w:color w:val="000000" w:themeColor="text1"/>
        </w:rPr>
        <w:t xml:space="preserve">), </w:t>
      </w:r>
      <w:r w:rsidR="0072320A" w:rsidRPr="00062F7E">
        <w:rPr>
          <w:i/>
          <w:iCs/>
          <w:color w:val="000000" w:themeColor="text1"/>
        </w:rPr>
        <w:t>Almasaurus</w:t>
      </w:r>
      <w:r w:rsidR="0072320A" w:rsidRPr="00062F7E">
        <w:rPr>
          <w:color w:val="000000" w:themeColor="text1"/>
        </w:rPr>
        <w:t xml:space="preserve">, </w:t>
      </w:r>
      <w:r w:rsidR="0072320A" w:rsidRPr="00062F7E">
        <w:rPr>
          <w:color w:val="000000" w:themeColor="text1"/>
        </w:rPr>
        <w:lastRenderedPageBreak/>
        <w:t xml:space="preserve">Plagiosauridae, </w:t>
      </w:r>
      <w:r w:rsidR="0072320A" w:rsidRPr="00062F7E">
        <w:rPr>
          <w:i/>
          <w:iCs/>
          <w:color w:val="000000" w:themeColor="text1"/>
        </w:rPr>
        <w:t>Siderops</w:t>
      </w:r>
      <w:r w:rsidR="0072320A" w:rsidRPr="00062F7E">
        <w:rPr>
          <w:color w:val="000000" w:themeColor="text1"/>
        </w:rPr>
        <w:t xml:space="preserve">, and </w:t>
      </w:r>
      <w:r w:rsidR="00465AB6">
        <w:rPr>
          <w:color w:val="000000" w:themeColor="text1"/>
        </w:rPr>
        <w:t>‘</w:t>
      </w:r>
      <w:r w:rsidR="0072320A" w:rsidRPr="00062F7E">
        <w:rPr>
          <w:color w:val="000000" w:themeColor="text1"/>
        </w:rPr>
        <w:t>Undescribed Genus</w:t>
      </w:r>
      <w:r w:rsidR="00465AB6">
        <w:rPr>
          <w:color w:val="000000" w:themeColor="text1"/>
        </w:rPr>
        <w:t>’</w:t>
      </w:r>
      <w:r w:rsidR="0072320A" w:rsidRPr="00062F7E">
        <w:rPr>
          <w:color w:val="000000" w:themeColor="text1"/>
        </w:rPr>
        <w:t xml:space="preserve"> (=</w:t>
      </w:r>
      <w:r w:rsidR="0072320A" w:rsidRPr="00062F7E">
        <w:rPr>
          <w:i/>
          <w:iCs/>
          <w:color w:val="000000" w:themeColor="text1"/>
        </w:rPr>
        <w:t>Thabanchuia oomie</w:t>
      </w:r>
      <w:r w:rsidR="0072320A" w:rsidRPr="00062F7E">
        <w:rPr>
          <w:color w:val="000000" w:themeColor="text1"/>
        </w:rPr>
        <w:t xml:space="preserve">). </w:t>
      </w:r>
      <w:r w:rsidR="00CD5B3C">
        <w:rPr>
          <w:color w:val="000000" w:themeColor="text1"/>
        </w:rPr>
        <w:t>The condition in two of these taxa</w:t>
      </w:r>
      <w:r w:rsidR="00B81A61">
        <w:rPr>
          <w:color w:val="000000" w:themeColor="text1"/>
        </w:rPr>
        <w:t xml:space="preserve">, </w:t>
      </w:r>
      <w:r w:rsidR="00B81A61">
        <w:rPr>
          <w:i/>
          <w:iCs/>
          <w:color w:val="000000" w:themeColor="text1"/>
        </w:rPr>
        <w:t>Thabanchuia</w:t>
      </w:r>
      <w:r w:rsidR="00B81A61">
        <w:rPr>
          <w:color w:val="000000" w:themeColor="text1"/>
        </w:rPr>
        <w:t xml:space="preserve"> and </w:t>
      </w:r>
      <w:r w:rsidR="00B81A61">
        <w:rPr>
          <w:i/>
          <w:iCs/>
          <w:color w:val="000000" w:themeColor="text1"/>
        </w:rPr>
        <w:t>Siderops</w:t>
      </w:r>
      <w:r w:rsidR="00CD5B3C">
        <w:rPr>
          <w:color w:val="000000" w:themeColor="text1"/>
        </w:rPr>
        <w:t xml:space="preserve"> is of dubious equivalency. </w:t>
      </w:r>
      <w:r w:rsidR="00BA2613" w:rsidRPr="00062F7E">
        <w:rPr>
          <w:color w:val="000000" w:themeColor="text1"/>
        </w:rPr>
        <w:t xml:space="preserve">There is no evidence for a row of coronoid teeth in </w:t>
      </w:r>
      <w:r w:rsidR="00394DF1">
        <w:rPr>
          <w:i/>
          <w:iCs/>
          <w:color w:val="000000" w:themeColor="text1"/>
        </w:rPr>
        <w:t>T.</w:t>
      </w:r>
      <w:r w:rsidR="00394DF1" w:rsidRPr="00062F7E">
        <w:rPr>
          <w:i/>
          <w:iCs/>
          <w:color w:val="000000" w:themeColor="text1"/>
        </w:rPr>
        <w:t xml:space="preserve"> </w:t>
      </w:r>
      <w:r w:rsidR="00BA2613" w:rsidRPr="00062F7E">
        <w:rPr>
          <w:i/>
          <w:iCs/>
          <w:color w:val="000000" w:themeColor="text1"/>
        </w:rPr>
        <w:t>oomie</w:t>
      </w:r>
      <w:r w:rsidR="00BA2613" w:rsidRPr="00062F7E">
        <w:rPr>
          <w:color w:val="000000" w:themeColor="text1"/>
        </w:rPr>
        <w:t xml:space="preserve">, only </w:t>
      </w:r>
      <w:r w:rsidR="00161905">
        <w:rPr>
          <w:color w:val="000000" w:themeColor="text1"/>
        </w:rPr>
        <w:t xml:space="preserve">a few </w:t>
      </w:r>
      <w:r w:rsidR="00BA2613" w:rsidRPr="00062F7E">
        <w:rPr>
          <w:color w:val="000000" w:themeColor="text1"/>
        </w:rPr>
        <w:t>large ‘tusks’</w:t>
      </w:r>
      <w:r w:rsidR="008711F4">
        <w:rPr>
          <w:color w:val="000000" w:themeColor="text1"/>
        </w:rPr>
        <w:t xml:space="preserve"> (Warren, 1998a),</w:t>
      </w:r>
      <w:r w:rsidR="00BA2613" w:rsidRPr="00062F7E">
        <w:rPr>
          <w:color w:val="000000" w:themeColor="text1"/>
        </w:rPr>
        <w:t xml:space="preserve"> which are atypical on the coronoids in temnospondyls. </w:t>
      </w:r>
      <w:r w:rsidR="008711F4">
        <w:rPr>
          <w:color w:val="000000" w:themeColor="text1"/>
        </w:rPr>
        <w:t xml:space="preserve">The original phylogenetic </w:t>
      </w:r>
      <w:r w:rsidR="00F24E1D">
        <w:rPr>
          <w:color w:val="000000" w:themeColor="text1"/>
        </w:rPr>
        <w:t xml:space="preserve">coding </w:t>
      </w:r>
      <w:r w:rsidR="008711F4">
        <w:rPr>
          <w:color w:val="000000" w:themeColor="text1"/>
        </w:rPr>
        <w:t>may be a matter of semantics regarding the differences between ‘teeth,’ ‘denticles,’ and ‘fangs/tusks,’ but as interpreted by Warren</w:t>
      </w:r>
      <w:r w:rsidR="00DB0077">
        <w:rPr>
          <w:color w:val="000000" w:themeColor="text1"/>
        </w:rPr>
        <w:t xml:space="preserve"> (</w:t>
      </w:r>
      <w:r w:rsidR="00825AD0">
        <w:rPr>
          <w:color w:val="000000" w:themeColor="text1"/>
        </w:rPr>
        <w:t>1998a),</w:t>
      </w:r>
      <w:r w:rsidR="008711F4">
        <w:rPr>
          <w:color w:val="000000" w:themeColor="text1"/>
        </w:rPr>
        <w:t xml:space="preserve"> there is no </w:t>
      </w:r>
      <w:r w:rsidR="00132005">
        <w:rPr>
          <w:color w:val="000000" w:themeColor="text1"/>
        </w:rPr>
        <w:t>‘</w:t>
      </w:r>
      <w:r w:rsidR="008711F4">
        <w:rPr>
          <w:color w:val="000000" w:themeColor="text1"/>
        </w:rPr>
        <w:t>row</w:t>
      </w:r>
      <w:r w:rsidR="00132005">
        <w:rPr>
          <w:color w:val="000000" w:themeColor="text1"/>
        </w:rPr>
        <w:t>’</w:t>
      </w:r>
      <w:r w:rsidR="008711F4">
        <w:rPr>
          <w:color w:val="000000" w:themeColor="text1"/>
        </w:rPr>
        <w:t>.</w:t>
      </w:r>
      <w:r w:rsidR="008711F4" w:rsidRPr="00062F7E">
        <w:rPr>
          <w:color w:val="000000" w:themeColor="text1"/>
        </w:rPr>
        <w:t xml:space="preserve"> </w:t>
      </w:r>
      <w:r w:rsidR="00BA2613">
        <w:rPr>
          <w:color w:val="000000" w:themeColor="text1"/>
        </w:rPr>
        <w:t xml:space="preserve">The condition of </w:t>
      </w:r>
      <w:r w:rsidR="00BA2613">
        <w:rPr>
          <w:i/>
          <w:iCs/>
          <w:color w:val="000000" w:themeColor="text1"/>
        </w:rPr>
        <w:t>Siderops</w:t>
      </w:r>
      <w:r w:rsidR="00394DF1">
        <w:rPr>
          <w:i/>
          <w:iCs/>
          <w:color w:val="000000" w:themeColor="text1"/>
        </w:rPr>
        <w:t xml:space="preserve"> kehli</w:t>
      </w:r>
      <w:r w:rsidR="00BA2613">
        <w:rPr>
          <w:i/>
          <w:iCs/>
          <w:color w:val="000000" w:themeColor="text1"/>
        </w:rPr>
        <w:t xml:space="preserve"> </w:t>
      </w:r>
      <w:r w:rsidR="00BA2613">
        <w:rPr>
          <w:color w:val="000000" w:themeColor="text1"/>
        </w:rPr>
        <w:t xml:space="preserve">is of </w:t>
      </w:r>
      <w:r w:rsidR="00A0099C">
        <w:rPr>
          <w:color w:val="000000" w:themeColor="text1"/>
        </w:rPr>
        <w:t xml:space="preserve">also </w:t>
      </w:r>
      <w:r w:rsidR="00BA2613">
        <w:rPr>
          <w:color w:val="000000" w:themeColor="text1"/>
        </w:rPr>
        <w:t xml:space="preserve">questionable, as the row is loosely organized and also includes a patch of denticles on the middle coronoid (Warren &amp; Hutchinson, 1983). </w:t>
      </w:r>
      <w:r w:rsidR="00B81A61" w:rsidRPr="00B81A61">
        <w:rPr>
          <w:color w:val="000000" w:themeColor="text1"/>
        </w:rPr>
        <w:t xml:space="preserve">This condition of a </w:t>
      </w:r>
      <w:r w:rsidR="00132005">
        <w:rPr>
          <w:color w:val="000000" w:themeColor="text1"/>
        </w:rPr>
        <w:t>‘</w:t>
      </w:r>
      <w:r w:rsidR="00B81A61" w:rsidRPr="00B81A61">
        <w:rPr>
          <w:color w:val="000000" w:themeColor="text1"/>
        </w:rPr>
        <w:t>mixed</w:t>
      </w:r>
      <w:r w:rsidR="00132005">
        <w:rPr>
          <w:color w:val="000000" w:themeColor="text1"/>
        </w:rPr>
        <w:t>’</w:t>
      </w:r>
      <w:r w:rsidR="00B81A61" w:rsidRPr="00B81A61">
        <w:rPr>
          <w:color w:val="000000" w:themeColor="text1"/>
        </w:rPr>
        <w:t xml:space="preserve"> dentition with </w:t>
      </w:r>
      <w:r w:rsidR="00B81A61">
        <w:rPr>
          <w:color w:val="000000" w:themeColor="text1"/>
        </w:rPr>
        <w:t>loosely organized</w:t>
      </w:r>
      <w:r w:rsidR="00B81A61" w:rsidRPr="00B81A61">
        <w:rPr>
          <w:color w:val="000000" w:themeColor="text1"/>
        </w:rPr>
        <w:t xml:space="preserve"> teeth and denticle fields seems to occur among several other stereospondyl lineages, such as lydekkerinids (Jeannot et al., 2006; Hewison, 2007) and brachyopids (Warren et al., 2011)</w:t>
      </w:r>
      <w:r w:rsidR="007B6721">
        <w:rPr>
          <w:color w:val="000000" w:themeColor="text1"/>
        </w:rPr>
        <w:t>,</w:t>
      </w:r>
      <w:r w:rsidR="00B81A61" w:rsidRPr="00B81A61">
        <w:rPr>
          <w:color w:val="000000" w:themeColor="text1"/>
        </w:rPr>
        <w:t xml:space="preserve"> and also occurs in the probable chigutisaurid </w:t>
      </w:r>
      <w:r w:rsidR="00B81A61" w:rsidRPr="007F06D1">
        <w:rPr>
          <w:i/>
          <w:iCs/>
          <w:color w:val="000000" w:themeColor="text1"/>
        </w:rPr>
        <w:t>Keratobrachyops</w:t>
      </w:r>
      <w:r w:rsidR="00B81A61" w:rsidRPr="00B81A61">
        <w:rPr>
          <w:color w:val="000000" w:themeColor="text1"/>
        </w:rPr>
        <w:t xml:space="preserve"> </w:t>
      </w:r>
      <w:r w:rsidR="00394DF1">
        <w:rPr>
          <w:i/>
          <w:iCs/>
          <w:color w:val="000000" w:themeColor="text1"/>
        </w:rPr>
        <w:t xml:space="preserve">australis </w:t>
      </w:r>
      <w:r w:rsidR="00B81A61" w:rsidRPr="00B81A61">
        <w:rPr>
          <w:color w:val="000000" w:themeColor="text1"/>
        </w:rPr>
        <w:t>(Warren, 1981).</w:t>
      </w:r>
    </w:p>
    <w:p w14:paraId="633FCDDF" w14:textId="72111DE5" w:rsidR="00135493" w:rsidRDefault="00BA2613" w:rsidP="00662B68">
      <w:pPr>
        <w:ind w:firstLine="720"/>
        <w:rPr>
          <w:color w:val="000000" w:themeColor="text1"/>
        </w:rPr>
      </w:pPr>
      <w:r>
        <w:rPr>
          <w:color w:val="000000" w:themeColor="text1"/>
        </w:rPr>
        <w:t>In</w:t>
      </w:r>
      <w:r w:rsidR="0072320A" w:rsidRPr="00062F7E">
        <w:rPr>
          <w:color w:val="000000" w:themeColor="text1"/>
        </w:rPr>
        <w:t xml:space="preserve"> </w:t>
      </w:r>
      <w:r w:rsidR="00CD5B3C">
        <w:rPr>
          <w:color w:val="000000" w:themeColor="text1"/>
        </w:rPr>
        <w:t>the other three</w:t>
      </w:r>
      <w:r w:rsidR="00A0099C">
        <w:rPr>
          <w:color w:val="000000" w:themeColor="text1"/>
        </w:rPr>
        <w:t xml:space="preserve"> taxa</w:t>
      </w:r>
      <w:r w:rsidR="00CD5B3C">
        <w:rPr>
          <w:color w:val="000000" w:themeColor="text1"/>
        </w:rPr>
        <w:t xml:space="preserve">, </w:t>
      </w:r>
      <w:r w:rsidR="0072320A" w:rsidRPr="00062F7E">
        <w:rPr>
          <w:i/>
          <w:iCs/>
          <w:color w:val="000000" w:themeColor="text1"/>
        </w:rPr>
        <w:t>Dvinosaurus</w:t>
      </w:r>
      <w:r w:rsidR="00394DF1">
        <w:rPr>
          <w:i/>
          <w:iCs/>
          <w:color w:val="000000" w:themeColor="text1"/>
        </w:rPr>
        <w:t xml:space="preserve"> primus</w:t>
      </w:r>
      <w:r w:rsidR="0072320A" w:rsidRPr="00062F7E">
        <w:rPr>
          <w:color w:val="000000" w:themeColor="text1"/>
        </w:rPr>
        <w:t xml:space="preserve">, </w:t>
      </w:r>
      <w:r w:rsidR="0072320A" w:rsidRPr="00062F7E">
        <w:rPr>
          <w:i/>
          <w:iCs/>
          <w:color w:val="000000" w:themeColor="text1"/>
        </w:rPr>
        <w:t>Almasaurus</w:t>
      </w:r>
      <w:r w:rsidR="00394DF1">
        <w:rPr>
          <w:i/>
          <w:iCs/>
          <w:color w:val="000000" w:themeColor="text1"/>
        </w:rPr>
        <w:t xml:space="preserve"> habbazi</w:t>
      </w:r>
      <w:r w:rsidR="0072320A" w:rsidRPr="00062F7E">
        <w:rPr>
          <w:color w:val="000000" w:themeColor="text1"/>
        </w:rPr>
        <w:t xml:space="preserve">, and the plagiosaurid </w:t>
      </w:r>
      <w:r w:rsidR="0072320A" w:rsidRPr="00062F7E">
        <w:rPr>
          <w:i/>
          <w:iCs/>
          <w:color w:val="000000" w:themeColor="text1"/>
        </w:rPr>
        <w:t>Gerrothorax</w:t>
      </w:r>
      <w:r w:rsidR="00394DF1">
        <w:rPr>
          <w:i/>
          <w:iCs/>
          <w:color w:val="000000" w:themeColor="text1"/>
        </w:rPr>
        <w:t xml:space="preserve"> pulcherrimus</w:t>
      </w:r>
      <w:r w:rsidR="0072320A" w:rsidRPr="00062F7E">
        <w:rPr>
          <w:color w:val="000000" w:themeColor="text1"/>
        </w:rPr>
        <w:t xml:space="preserve"> </w:t>
      </w:r>
      <w:r w:rsidR="00B81A61">
        <w:rPr>
          <w:color w:val="000000" w:themeColor="text1"/>
        </w:rPr>
        <w:t>(</w:t>
      </w:r>
      <w:r w:rsidR="0072320A" w:rsidRPr="00062F7E">
        <w:rPr>
          <w:color w:val="000000" w:themeColor="text1"/>
        </w:rPr>
        <w:t xml:space="preserve">Bystrow, 1938; Dutuit, 1976; </w:t>
      </w:r>
      <w:r w:rsidR="00AD2FA8" w:rsidRPr="00A155FA">
        <w:rPr>
          <w:color w:val="000000" w:themeColor="text1"/>
        </w:rPr>
        <w:t xml:space="preserve">Hellrung, 2003; </w:t>
      </w:r>
      <w:r w:rsidR="0072320A" w:rsidRPr="00062F7E">
        <w:rPr>
          <w:color w:val="000000" w:themeColor="text1"/>
        </w:rPr>
        <w:t>Schoch &amp; Witzmann, 2012)</w:t>
      </w:r>
      <w:r>
        <w:rPr>
          <w:color w:val="000000" w:themeColor="text1"/>
        </w:rPr>
        <w:t>, there are gaps of variable size between the row of each coronoid</w:t>
      </w:r>
      <w:r w:rsidR="003D4C6A">
        <w:rPr>
          <w:color w:val="000000" w:themeColor="text1"/>
        </w:rPr>
        <w:t xml:space="preserve"> (Extended Data Fig. </w:t>
      </w:r>
      <w:r w:rsidR="00EB7BB6">
        <w:rPr>
          <w:color w:val="000000" w:themeColor="text1"/>
        </w:rPr>
        <w:t>8</w:t>
      </w:r>
      <w:r w:rsidR="003D4C6A">
        <w:rPr>
          <w:color w:val="000000" w:themeColor="text1"/>
        </w:rPr>
        <w:t>)</w:t>
      </w:r>
      <w:r w:rsidR="0072320A" w:rsidRPr="00062F7E">
        <w:rPr>
          <w:color w:val="000000" w:themeColor="text1"/>
        </w:rPr>
        <w:t xml:space="preserve">. </w:t>
      </w:r>
      <w:r>
        <w:rPr>
          <w:color w:val="000000" w:themeColor="text1"/>
        </w:rPr>
        <w:t xml:space="preserve">The distribution within plagiosaurids also appears to be quite variable; </w:t>
      </w:r>
      <w:r>
        <w:rPr>
          <w:i/>
          <w:iCs/>
          <w:color w:val="000000" w:themeColor="text1"/>
        </w:rPr>
        <w:t xml:space="preserve">Plagiosuchus pustuliferus </w:t>
      </w:r>
      <w:r>
        <w:rPr>
          <w:color w:val="000000" w:themeColor="text1"/>
        </w:rPr>
        <w:t xml:space="preserve">lacks coronoid dentition altogether </w:t>
      </w:r>
      <w:r w:rsidR="0072320A" w:rsidRPr="00062F7E">
        <w:rPr>
          <w:color w:val="000000" w:themeColor="text1"/>
        </w:rPr>
        <w:t xml:space="preserve">(Damiani et al., 2009), </w:t>
      </w:r>
      <w:r w:rsidR="00F24E1D">
        <w:rPr>
          <w:color w:val="000000" w:themeColor="text1"/>
        </w:rPr>
        <w:t xml:space="preserve">whereas </w:t>
      </w:r>
      <w:proofErr w:type="spellStart"/>
      <w:r>
        <w:rPr>
          <w:i/>
          <w:iCs/>
          <w:color w:val="000000" w:themeColor="text1"/>
        </w:rPr>
        <w:t>Megalophthalma</w:t>
      </w:r>
      <w:proofErr w:type="spellEnd"/>
      <w:r>
        <w:rPr>
          <w:i/>
          <w:iCs/>
          <w:color w:val="000000" w:themeColor="text1"/>
        </w:rPr>
        <w:t xml:space="preserve"> </w:t>
      </w:r>
      <w:proofErr w:type="spellStart"/>
      <w:r>
        <w:rPr>
          <w:i/>
          <w:iCs/>
          <w:color w:val="000000" w:themeColor="text1"/>
        </w:rPr>
        <w:t>ockerti</w:t>
      </w:r>
      <w:proofErr w:type="spellEnd"/>
      <w:r>
        <w:rPr>
          <w:i/>
          <w:iCs/>
          <w:color w:val="000000" w:themeColor="text1"/>
        </w:rPr>
        <w:t xml:space="preserve"> </w:t>
      </w:r>
      <w:r>
        <w:rPr>
          <w:color w:val="000000" w:themeColor="text1"/>
        </w:rPr>
        <w:t>appears to have a row continuous across all three coronoids</w:t>
      </w:r>
      <w:r w:rsidRPr="00062F7E">
        <w:rPr>
          <w:color w:val="000000" w:themeColor="text1"/>
        </w:rPr>
        <w:t xml:space="preserve"> </w:t>
      </w:r>
      <w:r w:rsidR="0072320A" w:rsidRPr="00062F7E">
        <w:rPr>
          <w:color w:val="000000" w:themeColor="text1"/>
        </w:rPr>
        <w:t xml:space="preserve">(Schoch et al., 2014). </w:t>
      </w:r>
      <w:r w:rsidR="008176E8">
        <w:rPr>
          <w:color w:val="000000" w:themeColor="text1"/>
        </w:rPr>
        <w:t xml:space="preserve">The posterior coronoid of </w:t>
      </w:r>
      <w:r w:rsidR="00394DF1">
        <w:rPr>
          <w:i/>
          <w:iCs/>
          <w:color w:val="000000" w:themeColor="text1"/>
        </w:rPr>
        <w:t xml:space="preserve">G. </w:t>
      </w:r>
      <w:r w:rsidR="008176E8">
        <w:rPr>
          <w:i/>
          <w:iCs/>
          <w:color w:val="000000" w:themeColor="text1"/>
        </w:rPr>
        <w:t xml:space="preserve">pulcherrimus </w:t>
      </w:r>
      <w:r w:rsidR="008176E8">
        <w:rPr>
          <w:color w:val="000000" w:themeColor="text1"/>
        </w:rPr>
        <w:t xml:space="preserve">also consists of a </w:t>
      </w:r>
      <w:r w:rsidR="00DD6D9B">
        <w:rPr>
          <w:color w:val="000000" w:themeColor="text1"/>
        </w:rPr>
        <w:t>patch</w:t>
      </w:r>
      <w:r w:rsidR="008176E8">
        <w:rPr>
          <w:color w:val="000000" w:themeColor="text1"/>
        </w:rPr>
        <w:t xml:space="preserve"> of small teeth</w:t>
      </w:r>
      <w:r w:rsidR="00DD6D9B">
        <w:rPr>
          <w:color w:val="000000" w:themeColor="text1"/>
        </w:rPr>
        <w:t>,</w:t>
      </w:r>
      <w:r w:rsidR="008176E8">
        <w:rPr>
          <w:color w:val="000000" w:themeColor="text1"/>
        </w:rPr>
        <w:t xml:space="preserve"> not a single row (e.g., Schoch &amp; Witzmann, 2012</w:t>
      </w:r>
      <w:r w:rsidR="003D4C6A">
        <w:rPr>
          <w:color w:val="000000" w:themeColor="text1"/>
        </w:rPr>
        <w:t xml:space="preserve">; Extended Data Fig. </w:t>
      </w:r>
      <w:r w:rsidR="00EB7BB6">
        <w:rPr>
          <w:color w:val="000000" w:themeColor="text1"/>
        </w:rPr>
        <w:t>8</w:t>
      </w:r>
      <w:r w:rsidR="008176E8">
        <w:rPr>
          <w:color w:val="000000" w:themeColor="text1"/>
        </w:rPr>
        <w:t>)</w:t>
      </w:r>
      <w:r w:rsidR="00DD6D9B">
        <w:rPr>
          <w:color w:val="000000" w:themeColor="text1"/>
        </w:rPr>
        <w:t xml:space="preserve">. </w:t>
      </w:r>
    </w:p>
    <w:p w14:paraId="12A4FE4C" w14:textId="176636D7" w:rsidR="0072320A" w:rsidRPr="00062F7E" w:rsidRDefault="00BA2613" w:rsidP="00662B68">
      <w:pPr>
        <w:ind w:firstLine="720"/>
        <w:rPr>
          <w:color w:val="000000" w:themeColor="text1"/>
        </w:rPr>
      </w:pPr>
      <w:r>
        <w:rPr>
          <w:color w:val="000000" w:themeColor="text1"/>
        </w:rPr>
        <w:t xml:space="preserve">A sixth example of a row of coronoid teeth, </w:t>
      </w:r>
      <w:r w:rsidR="00AD2FA8">
        <w:rPr>
          <w:color w:val="000000" w:themeColor="text1"/>
        </w:rPr>
        <w:t>unpublished</w:t>
      </w:r>
      <w:r w:rsidR="005F52A4">
        <w:rPr>
          <w:color w:val="000000" w:themeColor="text1"/>
        </w:rPr>
        <w:t xml:space="preserve"> </w:t>
      </w:r>
      <w:r>
        <w:rPr>
          <w:color w:val="000000" w:themeColor="text1"/>
        </w:rPr>
        <w:t>at the times of Yates &amp; Warren (2000) and not mentioned by Santos et al. (2020)</w:t>
      </w:r>
      <w:r w:rsidR="00CD5B3C">
        <w:rPr>
          <w:color w:val="000000" w:themeColor="text1"/>
        </w:rPr>
        <w:t>,</w:t>
      </w:r>
      <w:r>
        <w:rPr>
          <w:color w:val="000000" w:themeColor="text1"/>
        </w:rPr>
        <w:t xml:space="preserve"> </w:t>
      </w:r>
      <w:r w:rsidR="00CD5B3C">
        <w:rPr>
          <w:color w:val="000000" w:themeColor="text1"/>
        </w:rPr>
        <w:t>occurs</w:t>
      </w:r>
      <w:r>
        <w:rPr>
          <w:color w:val="000000" w:themeColor="text1"/>
        </w:rPr>
        <w:t xml:space="preserve"> in lapillopsids; Yates &amp; Sengupta (2002) list</w:t>
      </w:r>
      <w:r w:rsidR="00F24E1D">
        <w:rPr>
          <w:color w:val="000000" w:themeColor="text1"/>
        </w:rPr>
        <w:t>ed</w:t>
      </w:r>
      <w:r>
        <w:rPr>
          <w:color w:val="000000" w:themeColor="text1"/>
        </w:rPr>
        <w:t xml:space="preserve"> this is a synapomorphy of the clade. In the best example, </w:t>
      </w:r>
      <w:r>
        <w:rPr>
          <w:i/>
          <w:iCs/>
          <w:color w:val="000000" w:themeColor="text1"/>
        </w:rPr>
        <w:t>Manubrantlia khaki</w:t>
      </w:r>
      <w:r>
        <w:rPr>
          <w:color w:val="000000" w:themeColor="text1"/>
        </w:rPr>
        <w:t xml:space="preserve">, there are small gaps </w:t>
      </w:r>
      <w:r w:rsidR="006929A3">
        <w:rPr>
          <w:color w:val="000000" w:themeColor="text1"/>
        </w:rPr>
        <w:t>between the row of each coronoid (Yates &amp; Se</w:t>
      </w:r>
      <w:r w:rsidR="00DD6D9B">
        <w:rPr>
          <w:color w:val="000000" w:themeColor="text1"/>
        </w:rPr>
        <w:t>n</w:t>
      </w:r>
      <w:r w:rsidR="006929A3">
        <w:rPr>
          <w:color w:val="000000" w:themeColor="text1"/>
        </w:rPr>
        <w:t>gupta, 2002).</w:t>
      </w:r>
      <w:r>
        <w:rPr>
          <w:i/>
          <w:iCs/>
          <w:color w:val="000000" w:themeColor="text1"/>
        </w:rPr>
        <w:t xml:space="preserve"> </w:t>
      </w:r>
      <w:r w:rsidR="00135493">
        <w:rPr>
          <w:color w:val="000000" w:themeColor="text1"/>
        </w:rPr>
        <w:t xml:space="preserve">A seventh example, recently reported by Dias et al. (2020), occurs in a Brazilian </w:t>
      </w:r>
      <w:proofErr w:type="spellStart"/>
      <w:r w:rsidR="00135493">
        <w:rPr>
          <w:color w:val="000000" w:themeColor="text1"/>
        </w:rPr>
        <w:t>rhinesuchid</w:t>
      </w:r>
      <w:proofErr w:type="spellEnd"/>
      <w:r w:rsidR="00135493">
        <w:rPr>
          <w:color w:val="000000" w:themeColor="text1"/>
        </w:rPr>
        <w:t xml:space="preserve">, </w:t>
      </w:r>
      <w:proofErr w:type="spellStart"/>
      <w:r w:rsidR="00135493">
        <w:rPr>
          <w:i/>
          <w:iCs/>
          <w:color w:val="000000" w:themeColor="text1"/>
        </w:rPr>
        <w:t>Rastosuchus</w:t>
      </w:r>
      <w:proofErr w:type="spellEnd"/>
      <w:r w:rsidR="00135493">
        <w:rPr>
          <w:i/>
          <w:iCs/>
          <w:color w:val="000000" w:themeColor="text1"/>
        </w:rPr>
        <w:t xml:space="preserve"> </w:t>
      </w:r>
      <w:proofErr w:type="spellStart"/>
      <w:r w:rsidR="00135493">
        <w:rPr>
          <w:i/>
          <w:iCs/>
          <w:color w:val="000000" w:themeColor="text1"/>
        </w:rPr>
        <w:t>hammeri</w:t>
      </w:r>
      <w:proofErr w:type="spellEnd"/>
      <w:r w:rsidR="003D4C6A">
        <w:rPr>
          <w:i/>
          <w:iCs/>
          <w:color w:val="000000" w:themeColor="text1"/>
        </w:rPr>
        <w:t xml:space="preserve"> </w:t>
      </w:r>
      <w:r w:rsidR="003D4C6A">
        <w:rPr>
          <w:color w:val="000000" w:themeColor="text1"/>
        </w:rPr>
        <w:t xml:space="preserve">(Extended Data Fig. </w:t>
      </w:r>
      <w:r w:rsidR="00EB7BB6">
        <w:rPr>
          <w:color w:val="000000" w:themeColor="text1"/>
        </w:rPr>
        <w:t>8</w:t>
      </w:r>
      <w:r w:rsidR="003D4C6A">
        <w:rPr>
          <w:color w:val="000000" w:themeColor="text1"/>
        </w:rPr>
        <w:t>)</w:t>
      </w:r>
      <w:r w:rsidR="00135493">
        <w:rPr>
          <w:color w:val="000000" w:themeColor="text1"/>
        </w:rPr>
        <w:t xml:space="preserve">. </w:t>
      </w:r>
      <w:r w:rsidR="0072320A" w:rsidRPr="00062F7E">
        <w:rPr>
          <w:color w:val="000000" w:themeColor="text1"/>
        </w:rPr>
        <w:t xml:space="preserve">As best as can be determined from renderings of </w:t>
      </w:r>
      <w:r w:rsidR="0072320A" w:rsidRPr="00062F7E">
        <w:rPr>
          <w:i/>
          <w:iCs/>
          <w:color w:val="000000" w:themeColor="text1"/>
        </w:rPr>
        <w:t>C</w:t>
      </w:r>
      <w:r w:rsidR="00103617">
        <w:rPr>
          <w:i/>
          <w:iCs/>
          <w:color w:val="000000" w:themeColor="text1"/>
        </w:rPr>
        <w:t>hin</w:t>
      </w:r>
      <w:r w:rsidR="0052442F">
        <w:rPr>
          <w:i/>
          <w:iCs/>
          <w:color w:val="000000" w:themeColor="text1"/>
        </w:rPr>
        <w:t>lestegophis</w:t>
      </w:r>
      <w:r w:rsidR="0072320A" w:rsidRPr="00062F7E">
        <w:rPr>
          <w:i/>
          <w:iCs/>
          <w:color w:val="000000" w:themeColor="text1"/>
        </w:rPr>
        <w:t xml:space="preserve"> jenkinsi</w:t>
      </w:r>
      <w:r w:rsidR="0072320A" w:rsidRPr="00062F7E">
        <w:rPr>
          <w:color w:val="000000" w:themeColor="text1"/>
        </w:rPr>
        <w:t xml:space="preserve">, the row of coronoid dentition </w:t>
      </w:r>
      <w:r w:rsidR="007E057A">
        <w:rPr>
          <w:color w:val="000000" w:themeColor="text1"/>
        </w:rPr>
        <w:t>is also not perfectly continuous</w:t>
      </w:r>
      <w:r w:rsidR="00DD6D9B">
        <w:rPr>
          <w:color w:val="000000" w:themeColor="text1"/>
        </w:rPr>
        <w:t xml:space="preserve"> (Pardo et al., 2017</w:t>
      </w:r>
      <w:r w:rsidR="0052442F">
        <w:rPr>
          <w:color w:val="000000" w:themeColor="text1"/>
        </w:rPr>
        <w:t>a:</w:t>
      </w:r>
      <w:r w:rsidR="00DD6D9B">
        <w:rPr>
          <w:color w:val="000000" w:themeColor="text1"/>
        </w:rPr>
        <w:t>fig. S3</w:t>
      </w:r>
      <w:r w:rsidR="003D4C6A">
        <w:rPr>
          <w:color w:val="000000" w:themeColor="text1"/>
        </w:rPr>
        <w:t xml:space="preserve">; Extended Data Fig. </w:t>
      </w:r>
      <w:r w:rsidR="00EB7BB6">
        <w:rPr>
          <w:color w:val="000000" w:themeColor="text1"/>
        </w:rPr>
        <w:t>8</w:t>
      </w:r>
      <w:r w:rsidR="00DD6D9B">
        <w:rPr>
          <w:color w:val="000000" w:themeColor="text1"/>
        </w:rPr>
        <w:t>)</w:t>
      </w:r>
      <w:r w:rsidR="0072320A" w:rsidRPr="00062F7E">
        <w:rPr>
          <w:color w:val="000000" w:themeColor="text1"/>
        </w:rPr>
        <w:t>.</w:t>
      </w:r>
      <w:r w:rsidR="00D6360A">
        <w:rPr>
          <w:color w:val="000000" w:themeColor="text1"/>
        </w:rPr>
        <w:t xml:space="preserve"> </w:t>
      </w:r>
      <w:r w:rsidR="0072320A" w:rsidRPr="00062F7E">
        <w:rPr>
          <w:color w:val="000000" w:themeColor="text1"/>
        </w:rPr>
        <w:t>There are also a few places where projections appear outside of the tooth row</w:t>
      </w:r>
      <w:r w:rsidR="00D6360A">
        <w:rPr>
          <w:color w:val="000000" w:themeColor="text1"/>
        </w:rPr>
        <w:t xml:space="preserve"> in </w:t>
      </w:r>
      <w:r w:rsidR="00D6360A">
        <w:rPr>
          <w:i/>
          <w:iCs/>
          <w:color w:val="000000" w:themeColor="text1"/>
        </w:rPr>
        <w:t>C</w:t>
      </w:r>
      <w:r w:rsidR="00267791">
        <w:rPr>
          <w:i/>
          <w:iCs/>
          <w:color w:val="000000" w:themeColor="text1"/>
        </w:rPr>
        <w:t>hin</w:t>
      </w:r>
      <w:r w:rsidR="0086049D">
        <w:rPr>
          <w:i/>
          <w:iCs/>
          <w:color w:val="000000" w:themeColor="text1"/>
        </w:rPr>
        <w:t xml:space="preserve">lestegophis </w:t>
      </w:r>
      <w:r w:rsidR="00D6360A">
        <w:rPr>
          <w:i/>
          <w:iCs/>
          <w:color w:val="000000" w:themeColor="text1"/>
        </w:rPr>
        <w:t>jenkinsi</w:t>
      </w:r>
      <w:r w:rsidR="0072320A" w:rsidRPr="00062F7E">
        <w:rPr>
          <w:color w:val="000000" w:themeColor="text1"/>
        </w:rPr>
        <w:t xml:space="preserve">, particularly on the middle coronoid, but these are not illustrated as teeth in the interpretive line drawing, and it is unclear whether they are artifacts or in fact a partial shagreen. </w:t>
      </w:r>
      <w:r w:rsidR="00016FFD">
        <w:rPr>
          <w:color w:val="000000" w:themeColor="text1"/>
        </w:rPr>
        <w:t xml:space="preserve">Only five teeth can be identified on the posterior coronoid of </w:t>
      </w:r>
      <w:r w:rsidR="00016FFD">
        <w:rPr>
          <w:i/>
          <w:iCs/>
          <w:color w:val="000000" w:themeColor="text1"/>
        </w:rPr>
        <w:t>Rileymillerus cosgriffi</w:t>
      </w:r>
      <w:r w:rsidR="00016FFD">
        <w:rPr>
          <w:color w:val="000000" w:themeColor="text1"/>
        </w:rPr>
        <w:t>, which is insufficient to differentiate it from many highly nested temnospondyls like capitosaurs, which restrict coronoid dentition to a row on the posterior coronoid.</w:t>
      </w:r>
    </w:p>
    <w:p w14:paraId="49F3DA2D" w14:textId="0706260E" w:rsidR="00016FFD" w:rsidRPr="00C67048" w:rsidRDefault="00016FFD" w:rsidP="007F06D1">
      <w:pPr>
        <w:ind w:firstLine="720"/>
        <w:rPr>
          <w:color w:val="000000" w:themeColor="text1"/>
        </w:rPr>
      </w:pPr>
      <w:r>
        <w:rPr>
          <w:color w:val="000000" w:themeColor="text1"/>
        </w:rPr>
        <w:t xml:space="preserve">A questionable eighth example might be the </w:t>
      </w:r>
      <w:proofErr w:type="spellStart"/>
      <w:r>
        <w:rPr>
          <w:color w:val="000000" w:themeColor="text1"/>
        </w:rPr>
        <w:t>capitosaur</w:t>
      </w:r>
      <w:proofErr w:type="spellEnd"/>
      <w:r>
        <w:rPr>
          <w:color w:val="000000" w:themeColor="text1"/>
        </w:rPr>
        <w:t xml:space="preserve"> </w:t>
      </w:r>
      <w:proofErr w:type="spellStart"/>
      <w:r>
        <w:rPr>
          <w:i/>
          <w:iCs/>
          <w:color w:val="000000" w:themeColor="text1"/>
        </w:rPr>
        <w:t>Edingerella</w:t>
      </w:r>
      <w:proofErr w:type="spellEnd"/>
      <w:r>
        <w:rPr>
          <w:i/>
          <w:iCs/>
          <w:color w:val="000000" w:themeColor="text1"/>
        </w:rPr>
        <w:t xml:space="preserve"> </w:t>
      </w:r>
      <w:proofErr w:type="spellStart"/>
      <w:r>
        <w:rPr>
          <w:i/>
          <w:iCs/>
          <w:color w:val="000000" w:themeColor="text1"/>
        </w:rPr>
        <w:t>madgascariensis</w:t>
      </w:r>
      <w:proofErr w:type="spellEnd"/>
      <w:r>
        <w:rPr>
          <w:color w:val="000000" w:themeColor="text1"/>
        </w:rPr>
        <w:t>, which Steyer (2003:549) described as having “rows of denticles” across the coronoids. By</w:t>
      </w:r>
      <w:r w:rsidR="00382C77">
        <w:rPr>
          <w:color w:val="000000" w:themeColor="text1"/>
        </w:rPr>
        <w:t xml:space="preserve"> Steyer (2003)’s </w:t>
      </w:r>
      <w:r>
        <w:rPr>
          <w:color w:val="000000" w:themeColor="text1"/>
        </w:rPr>
        <w:t xml:space="preserve">comparison to </w:t>
      </w:r>
      <w:r>
        <w:rPr>
          <w:i/>
          <w:iCs/>
          <w:color w:val="000000" w:themeColor="text1"/>
        </w:rPr>
        <w:t>Lapillopsis</w:t>
      </w:r>
      <w:r>
        <w:rPr>
          <w:color w:val="000000" w:themeColor="text1"/>
        </w:rPr>
        <w:t xml:space="preserve">, this is interpreted to mean a row on each coronoid, rather than multiple rows (a shagreen) on each coronoid, and the characterization as ‘denticles’ may again be a matter of semantics (tooth smaller than the marginal dentition). This dentition was previously noted by Warren &amp; Hutchinson (1988b). This condition might also occur in </w:t>
      </w:r>
      <w:proofErr w:type="spellStart"/>
      <w:r>
        <w:rPr>
          <w:i/>
          <w:iCs/>
          <w:color w:val="000000" w:themeColor="text1"/>
        </w:rPr>
        <w:t>Watsonisuchus</w:t>
      </w:r>
      <w:proofErr w:type="spellEnd"/>
      <w:r>
        <w:rPr>
          <w:i/>
          <w:iCs/>
          <w:color w:val="000000" w:themeColor="text1"/>
        </w:rPr>
        <w:t xml:space="preserve"> </w:t>
      </w:r>
      <w:proofErr w:type="spellStart"/>
      <w:r>
        <w:rPr>
          <w:i/>
          <w:iCs/>
          <w:color w:val="000000" w:themeColor="text1"/>
        </w:rPr>
        <w:t>aliciae</w:t>
      </w:r>
      <w:proofErr w:type="spellEnd"/>
      <w:r>
        <w:rPr>
          <w:i/>
          <w:iCs/>
          <w:color w:val="000000" w:themeColor="text1"/>
        </w:rPr>
        <w:t xml:space="preserve"> </w:t>
      </w:r>
      <w:r>
        <w:rPr>
          <w:color w:val="000000" w:themeColor="text1"/>
        </w:rPr>
        <w:t xml:space="preserve">(sometimes placed in </w:t>
      </w:r>
      <w:proofErr w:type="spellStart"/>
      <w:r>
        <w:rPr>
          <w:i/>
          <w:iCs/>
          <w:color w:val="000000" w:themeColor="text1"/>
        </w:rPr>
        <w:t>Rewanobatrachus</w:t>
      </w:r>
      <w:proofErr w:type="spellEnd"/>
      <w:r>
        <w:rPr>
          <w:color w:val="000000" w:themeColor="text1"/>
        </w:rPr>
        <w:t xml:space="preserve"> sensu Schoch &amp; Milner</w:t>
      </w:r>
      <w:r w:rsidR="00855CB6">
        <w:rPr>
          <w:color w:val="000000" w:themeColor="text1"/>
        </w:rPr>
        <w:t xml:space="preserve">, </w:t>
      </w:r>
      <w:r>
        <w:rPr>
          <w:color w:val="000000" w:themeColor="text1"/>
        </w:rPr>
        <w:t>2000</w:t>
      </w:r>
      <w:r w:rsidR="00903DB9">
        <w:rPr>
          <w:color w:val="000000" w:themeColor="text1"/>
        </w:rPr>
        <w:t xml:space="preserve">, or </w:t>
      </w:r>
      <w:proofErr w:type="spellStart"/>
      <w:r w:rsidR="00903DB9">
        <w:rPr>
          <w:i/>
          <w:iCs/>
          <w:color w:val="000000" w:themeColor="text1"/>
        </w:rPr>
        <w:t>Warrenisuchus</w:t>
      </w:r>
      <w:proofErr w:type="spellEnd"/>
      <w:r w:rsidR="00903DB9">
        <w:rPr>
          <w:i/>
          <w:iCs/>
          <w:color w:val="000000" w:themeColor="text1"/>
        </w:rPr>
        <w:t xml:space="preserve"> </w:t>
      </w:r>
      <w:r w:rsidR="00903DB9">
        <w:rPr>
          <w:color w:val="000000" w:themeColor="text1"/>
        </w:rPr>
        <w:t xml:space="preserve">sensu </w:t>
      </w:r>
      <w:proofErr w:type="spellStart"/>
      <w:r w:rsidR="00903DB9">
        <w:rPr>
          <w:color w:val="000000" w:themeColor="text1"/>
        </w:rPr>
        <w:t>Maganuco</w:t>
      </w:r>
      <w:proofErr w:type="spellEnd"/>
      <w:r w:rsidR="00903DB9">
        <w:rPr>
          <w:color w:val="000000" w:themeColor="text1"/>
        </w:rPr>
        <w:t xml:space="preserve"> et al.</w:t>
      </w:r>
      <w:r w:rsidR="00855CB6">
        <w:rPr>
          <w:color w:val="000000" w:themeColor="text1"/>
        </w:rPr>
        <w:t>,</w:t>
      </w:r>
      <w:r w:rsidR="00005CE1">
        <w:rPr>
          <w:color w:val="000000" w:themeColor="text1"/>
        </w:rPr>
        <w:t xml:space="preserve"> </w:t>
      </w:r>
      <w:r w:rsidR="00903DB9">
        <w:rPr>
          <w:color w:val="000000" w:themeColor="text1"/>
        </w:rPr>
        <w:t>2009</w:t>
      </w:r>
      <w:r>
        <w:rPr>
          <w:color w:val="000000" w:themeColor="text1"/>
        </w:rPr>
        <w:t>)</w:t>
      </w:r>
      <w:r>
        <w:rPr>
          <w:i/>
          <w:iCs/>
          <w:color w:val="000000" w:themeColor="text1"/>
        </w:rPr>
        <w:t xml:space="preserve"> </w:t>
      </w:r>
      <w:r>
        <w:rPr>
          <w:color w:val="000000" w:themeColor="text1"/>
        </w:rPr>
        <w:t xml:space="preserve">in which a row of three teeth is found on the posterior coronoid with a row of two teeth on the poorly preserved middle coronoid (Warren &amp; Hutchinson, 1988a). This could, however, be more like the very short row of the capitosaur </w:t>
      </w:r>
      <w:r>
        <w:rPr>
          <w:i/>
          <w:iCs/>
          <w:color w:val="000000" w:themeColor="text1"/>
        </w:rPr>
        <w:t>Mastodonsaurus</w:t>
      </w:r>
      <w:r w:rsidR="00903DB9">
        <w:rPr>
          <w:i/>
          <w:iCs/>
          <w:color w:val="000000" w:themeColor="text1"/>
        </w:rPr>
        <w:t xml:space="preserve"> giganteus</w:t>
      </w:r>
      <w:r>
        <w:rPr>
          <w:i/>
          <w:iCs/>
          <w:color w:val="000000" w:themeColor="text1"/>
        </w:rPr>
        <w:t xml:space="preserve"> </w:t>
      </w:r>
      <w:r>
        <w:rPr>
          <w:color w:val="000000" w:themeColor="text1"/>
        </w:rPr>
        <w:t>(Schoch, 1999</w:t>
      </w:r>
      <w:r w:rsidR="00367FE0">
        <w:rPr>
          <w:color w:val="000000" w:themeColor="text1"/>
        </w:rPr>
        <w:t>a</w:t>
      </w:r>
      <w:r>
        <w:rPr>
          <w:color w:val="000000" w:themeColor="text1"/>
        </w:rPr>
        <w:t xml:space="preserve">) in which only three teeth occur on the posterior coronoid or like the condition of the </w:t>
      </w:r>
      <w:proofErr w:type="spellStart"/>
      <w:r>
        <w:rPr>
          <w:color w:val="000000" w:themeColor="text1"/>
        </w:rPr>
        <w:t>trematosaur</w:t>
      </w:r>
      <w:proofErr w:type="spellEnd"/>
      <w:r>
        <w:rPr>
          <w:color w:val="000000" w:themeColor="text1"/>
        </w:rPr>
        <w:t xml:space="preserve"> </w:t>
      </w:r>
      <w:proofErr w:type="spellStart"/>
      <w:r>
        <w:rPr>
          <w:i/>
          <w:iCs/>
          <w:color w:val="000000" w:themeColor="text1"/>
        </w:rPr>
        <w:t>Benthosuchus</w:t>
      </w:r>
      <w:proofErr w:type="spellEnd"/>
      <w:r>
        <w:rPr>
          <w:i/>
          <w:iCs/>
          <w:color w:val="000000" w:themeColor="text1"/>
        </w:rPr>
        <w:t xml:space="preserve"> </w:t>
      </w:r>
      <w:proofErr w:type="spellStart"/>
      <w:r>
        <w:rPr>
          <w:i/>
          <w:iCs/>
          <w:color w:val="000000" w:themeColor="text1"/>
        </w:rPr>
        <w:t>gusevae</w:t>
      </w:r>
      <w:proofErr w:type="spellEnd"/>
      <w:r>
        <w:rPr>
          <w:i/>
          <w:iCs/>
          <w:color w:val="000000" w:themeColor="text1"/>
        </w:rPr>
        <w:t xml:space="preserve"> </w:t>
      </w:r>
      <w:r>
        <w:rPr>
          <w:color w:val="000000" w:themeColor="text1"/>
        </w:rPr>
        <w:t>(Novikov, 2012b) in which there are three teeth on the middle coronoid and only one on the posterior coronoid</w:t>
      </w:r>
      <w:r w:rsidR="003D4C6A">
        <w:rPr>
          <w:color w:val="000000" w:themeColor="text1"/>
        </w:rPr>
        <w:t xml:space="preserve"> </w:t>
      </w:r>
      <w:r w:rsidR="003D4C6A">
        <w:rPr>
          <w:color w:val="000000" w:themeColor="text1"/>
        </w:rPr>
        <w:lastRenderedPageBreak/>
        <w:t xml:space="preserve">(Extended Data Fig. </w:t>
      </w:r>
      <w:r w:rsidR="00EB7BB6">
        <w:rPr>
          <w:color w:val="000000" w:themeColor="text1"/>
        </w:rPr>
        <w:t>8</w:t>
      </w:r>
      <w:r w:rsidR="003D4C6A">
        <w:rPr>
          <w:color w:val="000000" w:themeColor="text1"/>
        </w:rPr>
        <w:t>)</w:t>
      </w:r>
      <w:r>
        <w:rPr>
          <w:color w:val="000000" w:themeColor="text1"/>
        </w:rPr>
        <w:t xml:space="preserve">. There is also the condition reported in an indeterminate capitosaur from Uruguay by Piñeiro et al. (2007b) in which one specimen has a double row of teeth on at least the middle and posterior coronoids. A double row only on the posterior coronoid also occurs in the trimerorhachid </w:t>
      </w:r>
      <w:proofErr w:type="spellStart"/>
      <w:r>
        <w:rPr>
          <w:color w:val="000000" w:themeColor="text1"/>
        </w:rPr>
        <w:t>dvinosaur</w:t>
      </w:r>
      <w:proofErr w:type="spellEnd"/>
      <w:r>
        <w:rPr>
          <w:color w:val="000000" w:themeColor="text1"/>
        </w:rPr>
        <w:t xml:space="preserve"> </w:t>
      </w:r>
      <w:proofErr w:type="spellStart"/>
      <w:r>
        <w:rPr>
          <w:i/>
          <w:iCs/>
          <w:color w:val="000000" w:themeColor="text1"/>
        </w:rPr>
        <w:t>Lafonius</w:t>
      </w:r>
      <w:proofErr w:type="spellEnd"/>
      <w:r w:rsidR="00903DB9">
        <w:rPr>
          <w:i/>
          <w:iCs/>
          <w:color w:val="000000" w:themeColor="text1"/>
        </w:rPr>
        <w:t xml:space="preserve"> </w:t>
      </w:r>
      <w:proofErr w:type="spellStart"/>
      <w:r w:rsidR="00903DB9">
        <w:rPr>
          <w:i/>
          <w:iCs/>
          <w:color w:val="000000" w:themeColor="text1"/>
        </w:rPr>
        <w:t>lehmani</w:t>
      </w:r>
      <w:proofErr w:type="spellEnd"/>
      <w:r>
        <w:rPr>
          <w:i/>
          <w:iCs/>
          <w:color w:val="000000" w:themeColor="text1"/>
        </w:rPr>
        <w:t xml:space="preserve"> </w:t>
      </w:r>
      <w:r>
        <w:rPr>
          <w:color w:val="000000" w:themeColor="text1"/>
        </w:rPr>
        <w:t xml:space="preserve">(Berman, 1973), which has ‘tusks’ on the other two coronoids like in </w:t>
      </w:r>
      <w:r>
        <w:rPr>
          <w:i/>
          <w:iCs/>
          <w:color w:val="000000" w:themeColor="text1"/>
        </w:rPr>
        <w:t>Thabanchuia</w:t>
      </w:r>
      <w:r w:rsidR="00903DB9">
        <w:rPr>
          <w:i/>
          <w:iCs/>
          <w:color w:val="000000" w:themeColor="text1"/>
        </w:rPr>
        <w:t xml:space="preserve"> oomie</w:t>
      </w:r>
      <w:r>
        <w:rPr>
          <w:color w:val="000000" w:themeColor="text1"/>
        </w:rPr>
        <w:t>. A semi-continuous row of teeth across all three coronoids thus occurs in at least five different temnospondyl families with a bracket encompassing practically the entirety of Temnospondyli. As suggested by Piñeiro et al.</w:t>
      </w:r>
      <w:r w:rsidR="00AE2634">
        <w:rPr>
          <w:color w:val="000000" w:themeColor="text1"/>
        </w:rPr>
        <w:t xml:space="preserve"> (20</w:t>
      </w:r>
      <w:r w:rsidR="00367FE0">
        <w:rPr>
          <w:color w:val="000000" w:themeColor="text1"/>
        </w:rPr>
        <w:t>0</w:t>
      </w:r>
      <w:r w:rsidR="005C62C2">
        <w:rPr>
          <w:color w:val="000000" w:themeColor="text1"/>
        </w:rPr>
        <w:t>7</w:t>
      </w:r>
      <w:r w:rsidR="000F4255">
        <w:rPr>
          <w:color w:val="000000" w:themeColor="text1"/>
        </w:rPr>
        <w:t>b)</w:t>
      </w:r>
      <w:r>
        <w:rPr>
          <w:color w:val="000000" w:themeColor="text1"/>
        </w:rPr>
        <w:t xml:space="preserve"> in comparing their capitosaur material with unspecified Brazilian rhinesuchid material that also displays a double row of coronoid teeth, the presence of a coronoid tooth row in temnospondyls might represent retention of the plesiomorphic tetrapod condition.</w:t>
      </w:r>
    </w:p>
    <w:p w14:paraId="5EBC7510" w14:textId="3845262F" w:rsidR="0072320A" w:rsidRPr="00062F7E" w:rsidRDefault="0072320A" w:rsidP="00662B68">
      <w:pPr>
        <w:ind w:firstLine="720"/>
        <w:rPr>
          <w:color w:val="000000" w:themeColor="text1"/>
        </w:rPr>
      </w:pPr>
      <w:r w:rsidRPr="00062F7E">
        <w:rPr>
          <w:color w:val="000000" w:themeColor="text1"/>
        </w:rPr>
        <w:t xml:space="preserve">In our opinion, the more interesting observation that may conflict with the interpretation of homology is that most brachyopoids have a restricted set of coronoid dentition. Brachyopids usually have teeth only on the posterior coronoid (e.g., </w:t>
      </w:r>
      <w:r w:rsidR="004C003D">
        <w:rPr>
          <w:color w:val="000000" w:themeColor="text1"/>
        </w:rPr>
        <w:t>Welles &amp; Estes, 196</w:t>
      </w:r>
      <w:r w:rsidR="00013F96">
        <w:rPr>
          <w:color w:val="000000" w:themeColor="text1"/>
        </w:rPr>
        <w:t>9</w:t>
      </w:r>
      <w:r w:rsidR="004C003D">
        <w:rPr>
          <w:color w:val="000000" w:themeColor="text1"/>
        </w:rPr>
        <w:t xml:space="preserve">; </w:t>
      </w:r>
      <w:r w:rsidRPr="00062F7E">
        <w:rPr>
          <w:color w:val="000000" w:themeColor="text1"/>
        </w:rPr>
        <w:t xml:space="preserve">Warren &amp; Davey, 1992; Damiani &amp; Warren, 1996; </w:t>
      </w:r>
      <w:r w:rsidR="004C003D">
        <w:rPr>
          <w:color w:val="000000" w:themeColor="text1"/>
        </w:rPr>
        <w:t xml:space="preserve">Warren &amp; Marsicano, 2000; </w:t>
      </w:r>
      <w:r w:rsidR="0034248A">
        <w:rPr>
          <w:color w:val="000000" w:themeColor="text1"/>
        </w:rPr>
        <w:t xml:space="preserve">Damiani &amp; Kitching, 2003; </w:t>
      </w:r>
      <w:r w:rsidRPr="00062F7E">
        <w:rPr>
          <w:color w:val="000000" w:themeColor="text1"/>
        </w:rPr>
        <w:t xml:space="preserve">Ruta &amp; Bolt, 2008), and </w:t>
      </w:r>
      <w:proofErr w:type="spellStart"/>
      <w:r w:rsidRPr="00062F7E">
        <w:rPr>
          <w:i/>
          <w:iCs/>
          <w:color w:val="000000" w:themeColor="text1"/>
        </w:rPr>
        <w:t>Bathignathus</w:t>
      </w:r>
      <w:proofErr w:type="spellEnd"/>
      <w:r w:rsidRPr="00062F7E">
        <w:rPr>
          <w:i/>
          <w:iCs/>
          <w:color w:val="000000" w:themeColor="text1"/>
        </w:rPr>
        <w:t xml:space="preserve"> </w:t>
      </w:r>
      <w:proofErr w:type="spellStart"/>
      <w:r w:rsidRPr="00062F7E">
        <w:rPr>
          <w:i/>
          <w:iCs/>
          <w:color w:val="000000" w:themeColor="text1"/>
        </w:rPr>
        <w:t>poikilops</w:t>
      </w:r>
      <w:proofErr w:type="spellEnd"/>
      <w:r w:rsidRPr="00062F7E">
        <w:rPr>
          <w:i/>
          <w:iCs/>
          <w:color w:val="000000" w:themeColor="text1"/>
        </w:rPr>
        <w:t xml:space="preserve"> </w:t>
      </w:r>
      <w:r w:rsidRPr="00062F7E">
        <w:rPr>
          <w:color w:val="000000" w:themeColor="text1"/>
        </w:rPr>
        <w:t xml:space="preserve">has lost coronoid teeth altogether (Damiani &amp; Jeannot, 2002). Chigutisaurids may have teeth on the middle and the posterior coronoids, but these are patches, not a row (e.g., Marsicano, 1999); later diverging taxa often lack teeth altogether (Sengupta, 1995; Warren et al., 1997). The reduction of teeth from the plesiomorphic shagreen to a loose row of teeth typifies stereospondyl evolution. </w:t>
      </w:r>
      <w:r w:rsidR="00016FFD" w:rsidRPr="00062F7E">
        <w:rPr>
          <w:color w:val="000000" w:themeColor="text1"/>
        </w:rPr>
        <w:t>Most capitosaurs and trematosaurs have a short row of relatively large teeth only on the posterior coronoid, and metoposaurids have lost coronoid dentition altogether.</w:t>
      </w:r>
      <w:r w:rsidR="00016FFD">
        <w:rPr>
          <w:color w:val="000000" w:themeColor="text1"/>
        </w:rPr>
        <w:t xml:space="preserve"> </w:t>
      </w:r>
      <w:r w:rsidR="00CA110A">
        <w:rPr>
          <w:color w:val="000000" w:themeColor="text1"/>
        </w:rPr>
        <w:t>The lower jaw is too poorly known in most plagiosaurids to characterize the distribution within the clade</w:t>
      </w:r>
      <w:r w:rsidR="00C830D7">
        <w:rPr>
          <w:color w:val="000000" w:themeColor="text1"/>
        </w:rPr>
        <w:t>; only two taxa definitively have a semi-continuous row across all three coronoids (Schoch &amp; Witzmann, 2012; Schoch et al., 2014)</w:t>
      </w:r>
      <w:r w:rsidR="00CA110A">
        <w:rPr>
          <w:color w:val="000000" w:themeColor="text1"/>
        </w:rPr>
        <w:t xml:space="preserve">. </w:t>
      </w:r>
      <w:r w:rsidRPr="00062F7E">
        <w:rPr>
          <w:color w:val="000000" w:themeColor="text1"/>
        </w:rPr>
        <w:t xml:space="preserve">Early diverging </w:t>
      </w:r>
      <w:r w:rsidR="00C830D7">
        <w:rPr>
          <w:color w:val="000000" w:themeColor="text1"/>
        </w:rPr>
        <w:t>stereospondyls</w:t>
      </w:r>
      <w:r w:rsidR="00C830D7" w:rsidRPr="00062F7E">
        <w:rPr>
          <w:color w:val="000000" w:themeColor="text1"/>
        </w:rPr>
        <w:t xml:space="preserve"> </w:t>
      </w:r>
      <w:r w:rsidRPr="00062F7E">
        <w:rPr>
          <w:color w:val="000000" w:themeColor="text1"/>
        </w:rPr>
        <w:t xml:space="preserve">like lydekkerinids and rhytidosteids have a shagreen </w:t>
      </w:r>
      <w:r w:rsidR="00AD2FA8">
        <w:rPr>
          <w:color w:val="000000" w:themeColor="text1"/>
        </w:rPr>
        <w:t xml:space="preserve">of denticles </w:t>
      </w:r>
      <w:r w:rsidRPr="00062F7E">
        <w:rPr>
          <w:color w:val="000000" w:themeColor="text1"/>
        </w:rPr>
        <w:t>on all three coronoids (e.g., Warren &amp; Black, 1985; Jeannot et al., 2006)</w:t>
      </w:r>
      <w:r w:rsidR="00AD2FA8" w:rsidRPr="00A155FA">
        <w:rPr>
          <w:color w:val="000000" w:themeColor="text1"/>
        </w:rPr>
        <w:t xml:space="preserve">, although a few present a mixture of differently sized dentition as in </w:t>
      </w:r>
      <w:r w:rsidR="00AD2FA8" w:rsidRPr="00A155FA">
        <w:rPr>
          <w:i/>
          <w:iCs/>
          <w:color w:val="000000" w:themeColor="text1"/>
        </w:rPr>
        <w:t xml:space="preserve">Bothriceps </w:t>
      </w:r>
      <w:r w:rsidR="00AD2FA8" w:rsidRPr="00A155FA">
        <w:rPr>
          <w:color w:val="000000" w:themeColor="text1"/>
        </w:rPr>
        <w:t xml:space="preserve">and </w:t>
      </w:r>
      <w:r w:rsidR="00AD2FA8" w:rsidRPr="00A155FA">
        <w:rPr>
          <w:i/>
          <w:iCs/>
          <w:color w:val="000000" w:themeColor="text1"/>
        </w:rPr>
        <w:t>Siderops</w:t>
      </w:r>
      <w:r w:rsidR="00AD2FA8" w:rsidRPr="00A155FA">
        <w:rPr>
          <w:color w:val="000000" w:themeColor="text1"/>
        </w:rPr>
        <w:t xml:space="preserve"> (e.g., </w:t>
      </w:r>
      <w:r w:rsidR="00AD2FA8" w:rsidRPr="00A155FA">
        <w:rPr>
          <w:i/>
          <w:color w:val="000000" w:themeColor="text1"/>
        </w:rPr>
        <w:t>Lydekkerina</w:t>
      </w:r>
      <w:r w:rsidR="00AD2FA8" w:rsidRPr="00A155FA">
        <w:rPr>
          <w:iCs/>
          <w:color w:val="000000" w:themeColor="text1"/>
        </w:rPr>
        <w:t>; Hewison, 2007)</w:t>
      </w:r>
      <w:r w:rsidRPr="00062F7E">
        <w:rPr>
          <w:color w:val="000000" w:themeColor="text1"/>
        </w:rPr>
        <w:t xml:space="preserve">. Therefore, the neat, continuous row of </w:t>
      </w:r>
      <w:r w:rsidRPr="00062F7E">
        <w:rPr>
          <w:i/>
          <w:iCs/>
          <w:color w:val="000000" w:themeColor="text1"/>
        </w:rPr>
        <w:t>C</w:t>
      </w:r>
      <w:r w:rsidR="007304EA">
        <w:rPr>
          <w:i/>
          <w:iCs/>
          <w:color w:val="000000" w:themeColor="text1"/>
        </w:rPr>
        <w:t>hin</w:t>
      </w:r>
      <w:r w:rsidR="00750857">
        <w:rPr>
          <w:i/>
          <w:iCs/>
          <w:color w:val="000000" w:themeColor="text1"/>
        </w:rPr>
        <w:t xml:space="preserve">lestegophis </w:t>
      </w:r>
      <w:r w:rsidRPr="00062F7E">
        <w:rPr>
          <w:i/>
          <w:iCs/>
          <w:color w:val="000000" w:themeColor="text1"/>
        </w:rPr>
        <w:t>jenkinsi</w:t>
      </w:r>
      <w:r w:rsidRPr="00062F7E">
        <w:rPr>
          <w:color w:val="000000" w:themeColor="text1"/>
        </w:rPr>
        <w:t xml:space="preserve"> would probably represent the reacquisition of teeth on at least the anterior coronoid if not also the middle coronoid</w:t>
      </w:r>
      <w:r w:rsidR="00C830D7">
        <w:rPr>
          <w:color w:val="000000" w:themeColor="text1"/>
        </w:rPr>
        <w:t xml:space="preserve"> if this taxon </w:t>
      </w:r>
      <w:r w:rsidR="0034248A">
        <w:rPr>
          <w:color w:val="000000" w:themeColor="text1"/>
        </w:rPr>
        <w:t xml:space="preserve">is </w:t>
      </w:r>
      <w:r w:rsidR="00AD2FA8">
        <w:rPr>
          <w:color w:val="000000" w:themeColor="text1"/>
        </w:rPr>
        <w:t>highly nested as the sister group to</w:t>
      </w:r>
      <w:r w:rsidR="00016FFD">
        <w:rPr>
          <w:color w:val="000000" w:themeColor="text1"/>
        </w:rPr>
        <w:t xml:space="preserve"> Brachyopoidea as </w:t>
      </w:r>
      <w:r w:rsidR="00F24E1D">
        <w:rPr>
          <w:color w:val="000000" w:themeColor="text1"/>
        </w:rPr>
        <w:t xml:space="preserve">found by </w:t>
      </w:r>
      <w:r w:rsidR="00016FFD">
        <w:rPr>
          <w:color w:val="000000" w:themeColor="text1"/>
        </w:rPr>
        <w:t>Pardo et al. (2017a)</w:t>
      </w:r>
      <w:r w:rsidRPr="00062F7E">
        <w:rPr>
          <w:color w:val="000000" w:themeColor="text1"/>
        </w:rPr>
        <w:t>.</w:t>
      </w:r>
      <w:r w:rsidR="007E057A">
        <w:rPr>
          <w:color w:val="000000" w:themeColor="text1"/>
        </w:rPr>
        <w:t xml:space="preserve"> </w:t>
      </w:r>
      <w:r w:rsidR="00364789">
        <w:rPr>
          <w:color w:val="000000" w:themeColor="text1"/>
        </w:rPr>
        <w:t xml:space="preserve">Finally, it should be noted that a single row of coronoid teeth also occurs in many stem tetrapods (e.g., Ahlberg &amp; Clack, 1998; Clack et al., 2012; </w:t>
      </w:r>
      <w:proofErr w:type="spellStart"/>
      <w:r w:rsidR="00364789">
        <w:rPr>
          <w:color w:val="000000" w:themeColor="text1"/>
        </w:rPr>
        <w:t>Porro</w:t>
      </w:r>
      <w:proofErr w:type="spellEnd"/>
      <w:r w:rsidR="00364789">
        <w:rPr>
          <w:color w:val="000000" w:themeColor="text1"/>
        </w:rPr>
        <w:t xml:space="preserve"> et al., 2015; Rawson et al., 2021). This is not meant as a suggestion that gymnophionomorph origins lie among a </w:t>
      </w:r>
      <w:proofErr w:type="spellStart"/>
      <w:r w:rsidR="00364789">
        <w:rPr>
          <w:color w:val="000000" w:themeColor="text1"/>
        </w:rPr>
        <w:t>taxon</w:t>
      </w:r>
      <w:proofErr w:type="spellEnd"/>
      <w:r w:rsidR="00364789">
        <w:rPr>
          <w:color w:val="000000" w:themeColor="text1"/>
        </w:rPr>
        <w:t xml:space="preserve"> presently considered as a stem tetrapod but rather indicate that this feature is</w:t>
      </w:r>
      <w:r w:rsidR="00AD2FA8">
        <w:rPr>
          <w:color w:val="000000" w:themeColor="text1"/>
        </w:rPr>
        <w:t xml:space="preserve"> both plesiomorphic for tetrapods and is</w:t>
      </w:r>
      <w:r w:rsidR="00364789">
        <w:rPr>
          <w:color w:val="000000" w:themeColor="text1"/>
        </w:rPr>
        <w:t xml:space="preserve"> not restricted to certain temnospondyls.</w:t>
      </w:r>
      <w:r w:rsidR="003D4C6A" w:rsidRPr="003D4C6A">
        <w:rPr>
          <w:rFonts w:eastAsiaTheme="minorHAnsi"/>
          <w:b/>
          <w:bCs/>
        </w:rPr>
        <w:t xml:space="preserve"> </w:t>
      </w:r>
      <w:r w:rsidR="003D4C6A" w:rsidRPr="00957316">
        <w:rPr>
          <w:rFonts w:eastAsiaTheme="minorHAnsi"/>
        </w:rPr>
        <w:t xml:space="preserve">Extended Data Fig. </w:t>
      </w:r>
      <w:r w:rsidR="00EB7BB6">
        <w:rPr>
          <w:rFonts w:eastAsiaTheme="minorHAnsi"/>
        </w:rPr>
        <w:t>8</w:t>
      </w:r>
      <w:r w:rsidR="003D4C6A" w:rsidRPr="00957316">
        <w:rPr>
          <w:rFonts w:eastAsiaTheme="minorHAnsi"/>
        </w:rPr>
        <w:t xml:space="preserve">. illustrates the </w:t>
      </w:r>
      <w:r w:rsidR="003D4C6A" w:rsidRPr="00957316">
        <w:t>phylogenetic distribution and comparative morphology of a single row of coronoid teeth in Temnospondyli.</w:t>
      </w:r>
    </w:p>
    <w:p w14:paraId="37899DCA" w14:textId="77777777" w:rsidR="003912E6" w:rsidRDefault="003912E6" w:rsidP="003912E6">
      <w:pPr>
        <w:rPr>
          <w:color w:val="000000" w:themeColor="text1"/>
        </w:rPr>
      </w:pPr>
    </w:p>
    <w:p w14:paraId="7EE3BD47" w14:textId="2CA026D4" w:rsidR="0072320A" w:rsidRPr="00185CCC" w:rsidRDefault="003912E6" w:rsidP="007F06D1">
      <w:pPr>
        <w:rPr>
          <w:color w:val="000000" w:themeColor="text1"/>
        </w:rPr>
      </w:pPr>
      <w:r>
        <w:rPr>
          <w:b/>
          <w:bCs/>
          <w:color w:val="000000" w:themeColor="text1"/>
        </w:rPr>
        <w:t xml:space="preserve">Broad, parallel-sided cultriform process. </w:t>
      </w:r>
      <w:r w:rsidR="0072320A" w:rsidRPr="00062F7E">
        <w:rPr>
          <w:color w:val="000000" w:themeColor="text1"/>
        </w:rPr>
        <w:t>Pardo et al. (2017</w:t>
      </w:r>
      <w:r w:rsidR="00AB5A13">
        <w:rPr>
          <w:color w:val="000000" w:themeColor="text1"/>
        </w:rPr>
        <w:t>a</w:t>
      </w:r>
      <w:r w:rsidR="0072320A" w:rsidRPr="00062F7E">
        <w:rPr>
          <w:color w:val="000000" w:themeColor="text1"/>
        </w:rPr>
        <w:t xml:space="preserve">) emphasized a broad cultriform process (&gt;20% of the skull width) with parallel margins as a feature shared between </w:t>
      </w:r>
      <w:r w:rsidR="0072320A" w:rsidRPr="00062F7E">
        <w:rPr>
          <w:i/>
          <w:iCs/>
          <w:color w:val="000000" w:themeColor="text1"/>
        </w:rPr>
        <w:t xml:space="preserve">Chinlestegophis jenkinsi </w:t>
      </w:r>
      <w:r w:rsidR="0072320A" w:rsidRPr="00062F7E">
        <w:rPr>
          <w:color w:val="000000" w:themeColor="text1"/>
        </w:rPr>
        <w:t>and caecilians. Th</w:t>
      </w:r>
      <w:r w:rsidR="00F24E1D">
        <w:rPr>
          <w:color w:val="000000" w:themeColor="text1"/>
        </w:rPr>
        <w:t>at</w:t>
      </w:r>
      <w:r w:rsidR="0072320A" w:rsidRPr="00062F7E">
        <w:rPr>
          <w:color w:val="000000" w:themeColor="text1"/>
        </w:rPr>
        <w:t xml:space="preserve"> comparison implies the acquisition of a feature associated with fossoriality, even though broad cultriform processes are also found in dvinosaurs and metoposaurids (e.g., Shishkin, 1973; Warren, 1998a; Milner &amp; Sequeira, 2004; Sulej, 2007; Brusatte et al., 2015; Lucas et al., 2016), large-bodied aquatic taxa for which fossoriality has never been suggested</w:t>
      </w:r>
      <w:r w:rsidR="00185CCC">
        <w:rPr>
          <w:color w:val="000000" w:themeColor="text1"/>
        </w:rPr>
        <w:t xml:space="preserve"> (</w:t>
      </w:r>
      <w:bookmarkStart w:id="11" w:name="_Hlk92877831"/>
      <w:r w:rsidR="00185CCC">
        <w:rPr>
          <w:color w:val="000000" w:themeColor="text1"/>
        </w:rPr>
        <w:t xml:space="preserve">Extended Data Fig. </w:t>
      </w:r>
      <w:r w:rsidR="00EB7BB6">
        <w:rPr>
          <w:color w:val="000000" w:themeColor="text1"/>
        </w:rPr>
        <w:t>10</w:t>
      </w:r>
      <w:bookmarkEnd w:id="11"/>
      <w:r w:rsidR="00185CCC">
        <w:rPr>
          <w:color w:val="000000" w:themeColor="text1"/>
        </w:rPr>
        <w:t>)</w:t>
      </w:r>
      <w:r w:rsidR="0072320A" w:rsidRPr="00062F7E">
        <w:rPr>
          <w:color w:val="000000" w:themeColor="text1"/>
        </w:rPr>
        <w:t xml:space="preserve">. These taxa may not meet the arbitrary threshold of 20% of the skull width but nonetheless clearly deviate from the plesiomorphic temnospondyl condition of a slender, rod-like process, as </w:t>
      </w:r>
      <w:r w:rsidR="00207791">
        <w:rPr>
          <w:color w:val="000000" w:themeColor="text1"/>
        </w:rPr>
        <w:t>in</w:t>
      </w:r>
      <w:r w:rsidR="0072320A" w:rsidRPr="00062F7E">
        <w:rPr>
          <w:color w:val="000000" w:themeColor="text1"/>
        </w:rPr>
        <w:t xml:space="preserve"> brachyopoids. Some brachyopids, plagiosaurids, and rhytidosteids also have widened </w:t>
      </w:r>
      <w:r w:rsidR="00207791">
        <w:rPr>
          <w:color w:val="000000" w:themeColor="text1"/>
        </w:rPr>
        <w:t xml:space="preserve">cultriform </w:t>
      </w:r>
      <w:r w:rsidR="0072320A" w:rsidRPr="00062F7E">
        <w:rPr>
          <w:color w:val="000000" w:themeColor="text1"/>
        </w:rPr>
        <w:t>processes</w:t>
      </w:r>
      <w:r w:rsidR="00207791">
        <w:rPr>
          <w:color w:val="000000" w:themeColor="text1"/>
        </w:rPr>
        <w:t>,</w:t>
      </w:r>
      <w:r w:rsidR="0072320A" w:rsidRPr="00062F7E">
        <w:rPr>
          <w:color w:val="000000" w:themeColor="text1"/>
        </w:rPr>
        <w:t xml:space="preserve"> deviating from the plesiomorphic </w:t>
      </w:r>
      <w:r w:rsidR="0072320A" w:rsidRPr="00062F7E">
        <w:rPr>
          <w:color w:val="000000" w:themeColor="text1"/>
        </w:rPr>
        <w:lastRenderedPageBreak/>
        <w:t>condition (e.g., Welles &amp; Estes, 1969; Cosgriff, 1974; Warren &amp; Marsicano, 2000; Yates, 2000; Damiani et al., 2009</w:t>
      </w:r>
      <w:r w:rsidR="00185CCC">
        <w:rPr>
          <w:color w:val="000000" w:themeColor="text1"/>
        </w:rPr>
        <w:t xml:space="preserve">; </w:t>
      </w:r>
      <w:r w:rsidR="00185CCC" w:rsidRPr="00185CCC">
        <w:rPr>
          <w:color w:val="000000" w:themeColor="text1"/>
        </w:rPr>
        <w:t xml:space="preserve">Extended Data Fig. </w:t>
      </w:r>
      <w:r w:rsidR="00EB7BB6">
        <w:rPr>
          <w:color w:val="000000" w:themeColor="text1"/>
        </w:rPr>
        <w:t>10</w:t>
      </w:r>
      <w:r w:rsidR="0072320A" w:rsidRPr="00062F7E">
        <w:rPr>
          <w:color w:val="000000" w:themeColor="text1"/>
        </w:rPr>
        <w:t xml:space="preserve">). That of </w:t>
      </w:r>
      <w:r w:rsidR="0072320A" w:rsidRPr="00062F7E">
        <w:rPr>
          <w:i/>
          <w:iCs/>
          <w:color w:val="000000" w:themeColor="text1"/>
        </w:rPr>
        <w:t xml:space="preserve">Rileymillerus cosgriffi </w:t>
      </w:r>
      <w:r w:rsidR="0072320A" w:rsidRPr="00062F7E">
        <w:rPr>
          <w:color w:val="000000" w:themeColor="text1"/>
        </w:rPr>
        <w:t xml:space="preserve">is wide at the base but otherwise slender throughout (Bolt &amp; Chatterjee, 2000), closer to the plesiomorphic condition. The import of whether the margins are parallel or not has yet to be explored. The process is also incomplete in the holotype of </w:t>
      </w:r>
      <w:r w:rsidR="00903DB9">
        <w:rPr>
          <w:i/>
          <w:iCs/>
          <w:color w:val="000000" w:themeColor="text1"/>
        </w:rPr>
        <w:t>C.</w:t>
      </w:r>
      <w:r w:rsidR="00903DB9" w:rsidRPr="00062F7E">
        <w:rPr>
          <w:i/>
          <w:iCs/>
          <w:color w:val="000000" w:themeColor="text1"/>
        </w:rPr>
        <w:t xml:space="preserve"> </w:t>
      </w:r>
      <w:r w:rsidR="0072320A" w:rsidRPr="00062F7E">
        <w:rPr>
          <w:i/>
          <w:iCs/>
          <w:color w:val="000000" w:themeColor="text1"/>
        </w:rPr>
        <w:t>jenkinsi</w:t>
      </w:r>
      <w:r w:rsidR="0072320A" w:rsidRPr="00062F7E">
        <w:rPr>
          <w:color w:val="000000" w:themeColor="text1"/>
        </w:rPr>
        <w:t xml:space="preserve"> (up to about the mid-length of the orbit) and is not preserved in the referred specimen; therefore, some caution should be exercised in assuming that it was of a consistent width throughout. As noted by Santos et al. (2020), a similarly broad process is also found in </w:t>
      </w:r>
      <w:r w:rsidR="00F67033">
        <w:rPr>
          <w:color w:val="000000" w:themeColor="text1"/>
        </w:rPr>
        <w:t>non-temnospondyls</w:t>
      </w:r>
      <w:r w:rsidR="00A65014">
        <w:rPr>
          <w:color w:val="000000" w:themeColor="text1"/>
        </w:rPr>
        <w:t xml:space="preserve"> </w:t>
      </w:r>
      <w:r w:rsidR="0072320A" w:rsidRPr="00062F7E">
        <w:rPr>
          <w:color w:val="000000" w:themeColor="text1"/>
        </w:rPr>
        <w:t>like</w:t>
      </w:r>
      <w:r w:rsidR="00F67033">
        <w:rPr>
          <w:color w:val="000000" w:themeColor="text1"/>
        </w:rPr>
        <w:t xml:space="preserve"> the lysorophian</w:t>
      </w:r>
      <w:r w:rsidR="0072320A" w:rsidRPr="00062F7E">
        <w:rPr>
          <w:color w:val="000000" w:themeColor="text1"/>
        </w:rPr>
        <w:t xml:space="preserve"> </w:t>
      </w:r>
      <w:r w:rsidR="0072320A" w:rsidRPr="00062F7E">
        <w:rPr>
          <w:i/>
          <w:iCs/>
          <w:color w:val="000000" w:themeColor="text1"/>
        </w:rPr>
        <w:t>Brachydectes newberryi</w:t>
      </w:r>
      <w:r w:rsidR="0072320A" w:rsidRPr="00062F7E">
        <w:rPr>
          <w:color w:val="000000" w:themeColor="text1"/>
        </w:rPr>
        <w:t>, which suggests that broadening to this degree might be a common feature of, but not exclusive to, fossorial tetrapods</w:t>
      </w:r>
      <w:r w:rsidR="00013F96">
        <w:rPr>
          <w:color w:val="000000" w:themeColor="text1"/>
        </w:rPr>
        <w:t xml:space="preserve"> (see other recumbirostran ‘microsaurs’; e.g., Anderson et al., 2009; Szostakiwskyj et al., 2015)</w:t>
      </w:r>
      <w:r w:rsidR="0072320A" w:rsidRPr="00062F7E">
        <w:rPr>
          <w:color w:val="000000" w:themeColor="text1"/>
        </w:rPr>
        <w:t xml:space="preserve">. </w:t>
      </w:r>
      <w:r w:rsidR="00185CCC" w:rsidRPr="00957316">
        <w:t xml:space="preserve">Extended Data Fig. </w:t>
      </w:r>
      <w:r w:rsidR="00EB7BB6">
        <w:t>10</w:t>
      </w:r>
      <w:r w:rsidR="00185CCC" w:rsidRPr="00957316">
        <w:t xml:space="preserve"> </w:t>
      </w:r>
      <w:r w:rsidR="00B66C33">
        <w:t>i</w:t>
      </w:r>
      <w:r w:rsidR="00185CCC" w:rsidRPr="00957316">
        <w:t>llustrates the phylogenetic distribution and comparative morphology of a broad cultriform process in Temnospondyli.</w:t>
      </w:r>
    </w:p>
    <w:p w14:paraId="3F800CDF" w14:textId="77777777" w:rsidR="00526396" w:rsidRDefault="00526396" w:rsidP="00526396">
      <w:pPr>
        <w:rPr>
          <w:color w:val="000000" w:themeColor="text1"/>
        </w:rPr>
      </w:pPr>
    </w:p>
    <w:p w14:paraId="01E13E2A" w14:textId="0ED27CC0" w:rsidR="0072320A" w:rsidRPr="00062F7E" w:rsidRDefault="00526396" w:rsidP="007F06D1">
      <w:pPr>
        <w:rPr>
          <w:color w:val="000000" w:themeColor="text1"/>
        </w:rPr>
      </w:pPr>
      <w:r>
        <w:rPr>
          <w:b/>
          <w:bCs/>
          <w:color w:val="000000" w:themeColor="text1"/>
        </w:rPr>
        <w:t xml:space="preserve">Position of jaw articulation relative to the ear. </w:t>
      </w:r>
      <w:r w:rsidR="0072320A" w:rsidRPr="00062F7E">
        <w:rPr>
          <w:color w:val="000000" w:themeColor="text1"/>
        </w:rPr>
        <w:t>Pardo et al. (2017a) state</w:t>
      </w:r>
      <w:r w:rsidR="00BA2163" w:rsidRPr="00062F7E">
        <w:rPr>
          <w:color w:val="000000" w:themeColor="text1"/>
        </w:rPr>
        <w:t>d</w:t>
      </w:r>
      <w:r w:rsidR="0072320A" w:rsidRPr="00062F7E">
        <w:rPr>
          <w:color w:val="000000" w:themeColor="text1"/>
        </w:rPr>
        <w:t xml:space="preserve"> that the anterior position of the jaw articulation relative to the ear is shared between </w:t>
      </w:r>
      <w:r w:rsidR="0072320A" w:rsidRPr="00062F7E">
        <w:rPr>
          <w:i/>
          <w:iCs/>
          <w:color w:val="000000" w:themeColor="text1"/>
        </w:rPr>
        <w:t>Chinlestegophis jenkinsi</w:t>
      </w:r>
      <w:r w:rsidR="0072320A" w:rsidRPr="00062F7E">
        <w:rPr>
          <w:color w:val="000000" w:themeColor="text1"/>
        </w:rPr>
        <w:t xml:space="preserve"> and caecilians, but the landmark is a bit uncertain because the </w:t>
      </w:r>
      <w:r w:rsidR="00832485">
        <w:rPr>
          <w:color w:val="000000" w:themeColor="text1"/>
        </w:rPr>
        <w:t>‘</w:t>
      </w:r>
      <w:r w:rsidR="0072320A" w:rsidRPr="00062F7E">
        <w:rPr>
          <w:color w:val="000000" w:themeColor="text1"/>
        </w:rPr>
        <w:t>ear</w:t>
      </w:r>
      <w:r w:rsidR="00832485">
        <w:rPr>
          <w:color w:val="000000" w:themeColor="text1"/>
        </w:rPr>
        <w:t>’</w:t>
      </w:r>
      <w:r w:rsidR="0072320A" w:rsidRPr="00062F7E">
        <w:rPr>
          <w:color w:val="000000" w:themeColor="text1"/>
        </w:rPr>
        <w:t xml:space="preserve"> is a vague anatomical term (e.g., does it refer to the stapes, the otic notch, or an individual bone of the otic capsule). There is no mention of the </w:t>
      </w:r>
      <w:r w:rsidR="00832485">
        <w:rPr>
          <w:color w:val="000000" w:themeColor="text1"/>
        </w:rPr>
        <w:t>‘</w:t>
      </w:r>
      <w:r w:rsidR="0072320A" w:rsidRPr="00062F7E">
        <w:rPr>
          <w:color w:val="000000" w:themeColor="text1"/>
        </w:rPr>
        <w:t>ear</w:t>
      </w:r>
      <w:r w:rsidR="00832485">
        <w:rPr>
          <w:color w:val="000000" w:themeColor="text1"/>
        </w:rPr>
        <w:t>’</w:t>
      </w:r>
      <w:r w:rsidR="0072320A" w:rsidRPr="00062F7E">
        <w:rPr>
          <w:color w:val="000000" w:themeColor="text1"/>
        </w:rPr>
        <w:t xml:space="preserve"> in the extended text, only that the jaw articulation is completely anterior to the occiput (a more typical landmark used in phylogenetic characters). The language of “completely anterior” </w:t>
      </w:r>
      <w:r w:rsidR="00832485">
        <w:rPr>
          <w:color w:val="000000" w:themeColor="text1"/>
        </w:rPr>
        <w:t xml:space="preserve">(Pardo et al., 2017a:E5390) </w:t>
      </w:r>
      <w:r w:rsidR="0072320A" w:rsidRPr="00062F7E">
        <w:rPr>
          <w:color w:val="000000" w:themeColor="text1"/>
        </w:rPr>
        <w:t xml:space="preserve">suggests that it is specifically the posterior face of the occipital condyles that is being utilized (this is also a typical caveat to this landmark), which seems accurate since at least part of the jaw articulation would be level with the anteriormost parts of the occiput. However, if this is the correct landmark, this feature is </w:t>
      </w:r>
      <w:r w:rsidR="00B66C33">
        <w:rPr>
          <w:color w:val="000000" w:themeColor="text1"/>
        </w:rPr>
        <w:t>not</w:t>
      </w:r>
      <w:r w:rsidR="00B66C33" w:rsidRPr="00062F7E">
        <w:rPr>
          <w:color w:val="000000" w:themeColor="text1"/>
        </w:rPr>
        <w:t xml:space="preserve"> </w:t>
      </w:r>
      <w:r w:rsidR="0072320A" w:rsidRPr="00062F7E">
        <w:rPr>
          <w:color w:val="000000" w:themeColor="text1"/>
        </w:rPr>
        <w:t xml:space="preserve">exclusive to </w:t>
      </w:r>
      <w:r w:rsidR="00903DB9">
        <w:rPr>
          <w:i/>
          <w:iCs/>
          <w:color w:val="000000" w:themeColor="text1"/>
        </w:rPr>
        <w:t>C.</w:t>
      </w:r>
      <w:r w:rsidR="00903DB9" w:rsidRPr="00062F7E">
        <w:rPr>
          <w:i/>
          <w:iCs/>
          <w:color w:val="000000" w:themeColor="text1"/>
        </w:rPr>
        <w:t xml:space="preserve"> </w:t>
      </w:r>
      <w:r w:rsidR="0072320A" w:rsidRPr="00062F7E">
        <w:rPr>
          <w:i/>
          <w:iCs/>
          <w:color w:val="000000" w:themeColor="text1"/>
        </w:rPr>
        <w:t xml:space="preserve">jenkinsi </w:t>
      </w:r>
      <w:r w:rsidR="0072320A" w:rsidRPr="00062F7E">
        <w:rPr>
          <w:color w:val="000000" w:themeColor="text1"/>
        </w:rPr>
        <w:t>+ caecilians</w:t>
      </w:r>
      <w:r w:rsidR="00B66C33">
        <w:rPr>
          <w:color w:val="000000" w:themeColor="text1"/>
        </w:rPr>
        <w:t xml:space="preserve"> (Extended Data Fig. </w:t>
      </w:r>
      <w:r w:rsidR="00EB7BB6">
        <w:rPr>
          <w:color w:val="000000" w:themeColor="text1"/>
        </w:rPr>
        <w:t>10</w:t>
      </w:r>
      <w:r w:rsidR="00B66C33">
        <w:rPr>
          <w:color w:val="000000" w:themeColor="text1"/>
        </w:rPr>
        <w:t>)</w:t>
      </w:r>
      <w:r w:rsidR="0072320A" w:rsidRPr="00062F7E">
        <w:rPr>
          <w:color w:val="000000" w:themeColor="text1"/>
        </w:rPr>
        <w:t>. A jaw articulation anterior to the posterior face of the condyles is found in many taxa with markedly posteriorly projecting condyles, such as some brachyopids (e.g., Watson, 1956; Chernin, 1977; Damiani &amp; Kitching, 2003; Nonsrirach et al., 2021)</w:t>
      </w:r>
      <w:r w:rsidR="00805832">
        <w:rPr>
          <w:color w:val="000000" w:themeColor="text1"/>
        </w:rPr>
        <w:t>;</w:t>
      </w:r>
      <w:r w:rsidR="0072320A" w:rsidRPr="00062F7E">
        <w:rPr>
          <w:color w:val="000000" w:themeColor="text1"/>
        </w:rPr>
        <w:t xml:space="preserve"> some chigutisaurids (e.g., Warren, 1981; Sengupta, 1995; Warren &amp; Hutchinson, 1983)</w:t>
      </w:r>
      <w:r w:rsidR="00805832">
        <w:rPr>
          <w:color w:val="000000" w:themeColor="text1"/>
        </w:rPr>
        <w:t>;</w:t>
      </w:r>
      <w:r w:rsidR="0072320A" w:rsidRPr="00062F7E">
        <w:rPr>
          <w:color w:val="000000" w:themeColor="text1"/>
        </w:rPr>
        <w:t xml:space="preserve"> at least </w:t>
      </w:r>
      <w:r w:rsidR="00805832">
        <w:rPr>
          <w:color w:val="000000" w:themeColor="text1"/>
        </w:rPr>
        <w:t>two</w:t>
      </w:r>
      <w:r w:rsidR="00805832" w:rsidRPr="00062F7E">
        <w:rPr>
          <w:color w:val="000000" w:themeColor="text1"/>
        </w:rPr>
        <w:t xml:space="preserve"> </w:t>
      </w:r>
      <w:r w:rsidR="0072320A" w:rsidRPr="00062F7E">
        <w:rPr>
          <w:color w:val="000000" w:themeColor="text1"/>
        </w:rPr>
        <w:t>plagiosaurid</w:t>
      </w:r>
      <w:r w:rsidR="00805832">
        <w:rPr>
          <w:color w:val="000000" w:themeColor="text1"/>
        </w:rPr>
        <w:t>s</w:t>
      </w:r>
      <w:r w:rsidR="0072320A" w:rsidRPr="00062F7E">
        <w:rPr>
          <w:color w:val="000000" w:themeColor="text1"/>
        </w:rPr>
        <w:t xml:space="preserve"> (Damiani et al., 2009), including intraspecific variation within </w:t>
      </w:r>
      <w:r w:rsidR="0072320A" w:rsidRPr="00062F7E">
        <w:rPr>
          <w:i/>
          <w:iCs/>
          <w:color w:val="000000" w:themeColor="text1"/>
        </w:rPr>
        <w:t xml:space="preserve">Gerrothorax pulcherrimus </w:t>
      </w:r>
      <w:r w:rsidR="0072320A" w:rsidRPr="00062F7E">
        <w:rPr>
          <w:color w:val="000000" w:themeColor="text1"/>
        </w:rPr>
        <w:t>(Schoch &amp; Witzmann, 2012)</w:t>
      </w:r>
      <w:r w:rsidR="00805832">
        <w:rPr>
          <w:color w:val="000000" w:themeColor="text1"/>
        </w:rPr>
        <w:t>;</w:t>
      </w:r>
      <w:r w:rsidR="0072320A" w:rsidRPr="00062F7E">
        <w:rPr>
          <w:color w:val="000000" w:themeColor="text1"/>
        </w:rPr>
        <w:t xml:space="preserve"> metoposaurids (e.g., </w:t>
      </w:r>
      <w:r w:rsidR="00F67033">
        <w:rPr>
          <w:color w:val="000000" w:themeColor="text1"/>
        </w:rPr>
        <w:t xml:space="preserve">Dutuit, 1976; </w:t>
      </w:r>
      <w:r w:rsidR="0072320A" w:rsidRPr="00062F7E">
        <w:rPr>
          <w:color w:val="000000" w:themeColor="text1"/>
        </w:rPr>
        <w:t>Sulej, 2007</w:t>
      </w:r>
      <w:r w:rsidR="00F67033">
        <w:rPr>
          <w:color w:val="000000" w:themeColor="text1"/>
        </w:rPr>
        <w:t>; Buffa et al., 2019</w:t>
      </w:r>
      <w:r w:rsidR="0072320A" w:rsidRPr="00062F7E">
        <w:rPr>
          <w:color w:val="000000" w:themeColor="text1"/>
        </w:rPr>
        <w:t>)</w:t>
      </w:r>
      <w:r w:rsidR="00805832">
        <w:rPr>
          <w:color w:val="000000" w:themeColor="text1"/>
        </w:rPr>
        <w:t>;</w:t>
      </w:r>
      <w:r w:rsidR="00FB6011">
        <w:rPr>
          <w:color w:val="000000" w:themeColor="text1"/>
        </w:rPr>
        <w:t xml:space="preserve"> </w:t>
      </w:r>
      <w:r w:rsidR="0072320A" w:rsidRPr="00062F7E">
        <w:rPr>
          <w:color w:val="000000" w:themeColor="text1"/>
        </w:rPr>
        <w:t>dvinosaurs (e.g., Shishkin, 1973; Sequeira, 1998; Warren, 1998a; Englehorn et al., 2008)</w:t>
      </w:r>
      <w:r w:rsidR="00F67033">
        <w:rPr>
          <w:color w:val="000000" w:themeColor="text1"/>
        </w:rPr>
        <w:t>;</w:t>
      </w:r>
      <w:r w:rsidR="0072320A" w:rsidRPr="00062F7E">
        <w:rPr>
          <w:color w:val="000000" w:themeColor="text1"/>
        </w:rPr>
        <w:t xml:space="preserve"> and </w:t>
      </w:r>
      <w:r w:rsidR="00A82DB5">
        <w:rPr>
          <w:color w:val="000000" w:themeColor="text1"/>
        </w:rPr>
        <w:t xml:space="preserve">the </w:t>
      </w:r>
      <w:r w:rsidR="00F67033">
        <w:rPr>
          <w:color w:val="000000" w:themeColor="text1"/>
        </w:rPr>
        <w:t xml:space="preserve">enigmatic </w:t>
      </w:r>
      <w:r w:rsidR="00F67033" w:rsidRPr="00A155FA">
        <w:rPr>
          <w:i/>
          <w:iCs/>
          <w:color w:val="000000" w:themeColor="text1"/>
        </w:rPr>
        <w:t xml:space="preserve">Almasaurus habbazi </w:t>
      </w:r>
      <w:r w:rsidR="00F67033" w:rsidRPr="00A155FA">
        <w:rPr>
          <w:color w:val="000000" w:themeColor="text1"/>
        </w:rPr>
        <w:t>(Dutuit, 1976) and</w:t>
      </w:r>
      <w:r w:rsidR="00F67033">
        <w:rPr>
          <w:color w:val="000000" w:themeColor="text1"/>
        </w:rPr>
        <w:t xml:space="preserve"> </w:t>
      </w:r>
      <w:r w:rsidR="0072320A" w:rsidRPr="00062F7E">
        <w:rPr>
          <w:i/>
          <w:iCs/>
          <w:color w:val="000000" w:themeColor="text1"/>
        </w:rPr>
        <w:t xml:space="preserve">Laidleria gracilis </w:t>
      </w:r>
      <w:r w:rsidR="0072320A" w:rsidRPr="00062F7E">
        <w:rPr>
          <w:color w:val="000000" w:themeColor="text1"/>
        </w:rPr>
        <w:t xml:space="preserve">(Warren, 1998b). However, it also occurs in taxa without this prominent projection, including in at least one other </w:t>
      </w:r>
      <w:proofErr w:type="spellStart"/>
      <w:r w:rsidR="0072320A" w:rsidRPr="00062F7E">
        <w:rPr>
          <w:color w:val="000000" w:themeColor="text1"/>
        </w:rPr>
        <w:t>rhytidosteid</w:t>
      </w:r>
      <w:proofErr w:type="spellEnd"/>
      <w:r w:rsidR="0072320A" w:rsidRPr="00062F7E">
        <w:rPr>
          <w:color w:val="000000" w:themeColor="text1"/>
        </w:rPr>
        <w:t xml:space="preserve"> (</w:t>
      </w:r>
      <w:proofErr w:type="spellStart"/>
      <w:r w:rsidR="0072320A" w:rsidRPr="00062F7E">
        <w:rPr>
          <w:i/>
          <w:iCs/>
          <w:color w:val="000000" w:themeColor="text1"/>
        </w:rPr>
        <w:t>Nanolania</w:t>
      </w:r>
      <w:proofErr w:type="spellEnd"/>
      <w:r w:rsidR="0072320A" w:rsidRPr="00062F7E">
        <w:rPr>
          <w:i/>
          <w:iCs/>
          <w:color w:val="000000" w:themeColor="text1"/>
        </w:rPr>
        <w:t xml:space="preserve"> </w:t>
      </w:r>
      <w:proofErr w:type="spellStart"/>
      <w:r w:rsidR="0072320A" w:rsidRPr="00062F7E">
        <w:rPr>
          <w:i/>
          <w:iCs/>
          <w:color w:val="000000" w:themeColor="text1"/>
        </w:rPr>
        <w:t>anatopretia</w:t>
      </w:r>
      <w:proofErr w:type="spellEnd"/>
      <w:r w:rsidR="0072320A" w:rsidRPr="00062F7E">
        <w:rPr>
          <w:color w:val="000000" w:themeColor="text1"/>
        </w:rPr>
        <w:t>;</w:t>
      </w:r>
      <w:r w:rsidR="0072320A" w:rsidRPr="00062F7E">
        <w:rPr>
          <w:i/>
          <w:iCs/>
          <w:color w:val="000000" w:themeColor="text1"/>
        </w:rPr>
        <w:t xml:space="preserve"> </w:t>
      </w:r>
      <w:r w:rsidR="0072320A" w:rsidRPr="00062F7E">
        <w:rPr>
          <w:color w:val="000000" w:themeColor="text1"/>
        </w:rPr>
        <w:t xml:space="preserve">Yates, 2000), </w:t>
      </w:r>
      <w:r w:rsidR="00014E97">
        <w:rPr>
          <w:color w:val="000000" w:themeColor="text1"/>
        </w:rPr>
        <w:t>possibly in some</w:t>
      </w:r>
      <w:r w:rsidR="00014E97" w:rsidRPr="00062F7E">
        <w:rPr>
          <w:color w:val="000000" w:themeColor="text1"/>
        </w:rPr>
        <w:t xml:space="preserve"> </w:t>
      </w:r>
      <w:r w:rsidR="0072320A" w:rsidRPr="00062F7E">
        <w:rPr>
          <w:color w:val="000000" w:themeColor="text1"/>
        </w:rPr>
        <w:t xml:space="preserve">dissorophids (e.g., </w:t>
      </w:r>
      <w:r w:rsidR="00014E97">
        <w:rPr>
          <w:color w:val="000000" w:themeColor="text1"/>
        </w:rPr>
        <w:t xml:space="preserve">DeMar, 1968; </w:t>
      </w:r>
      <w:r w:rsidR="0072320A" w:rsidRPr="00062F7E">
        <w:rPr>
          <w:color w:val="000000" w:themeColor="text1"/>
        </w:rPr>
        <w:t>Schoch, 2012; Schoch &amp; Sues, 2013</w:t>
      </w:r>
      <w:r w:rsidR="00014E97">
        <w:rPr>
          <w:color w:val="000000" w:themeColor="text1"/>
        </w:rPr>
        <w:t>; but see Dilkes, 2020</w:t>
      </w:r>
      <w:r w:rsidR="0072320A" w:rsidRPr="00062F7E">
        <w:rPr>
          <w:color w:val="000000" w:themeColor="text1"/>
        </w:rPr>
        <w:t>), and possibly one branchiosaurid (Boy, 1987).</w:t>
      </w:r>
      <w:r w:rsidR="00014E97">
        <w:rPr>
          <w:color w:val="000000" w:themeColor="text1"/>
        </w:rPr>
        <w:t xml:space="preserve"> </w:t>
      </w:r>
      <w:r w:rsidR="00014E97" w:rsidRPr="00014E97">
        <w:rPr>
          <w:color w:val="000000" w:themeColor="text1"/>
        </w:rPr>
        <w:t>As with a broad cultriform process, a posteriorly situated occiput is associated with fossoriality in some other tetrapod clades, such as ostodolepid and brachystelechid ‘microsaurs’ (e.g., Carroll &amp; Gaskill, 1978; Carroll, 1990, 1991; Anderson et al., 2009; Maddin et al., 2011; Pardo et al., 2015).</w:t>
      </w:r>
      <w:r w:rsidR="00185CCC" w:rsidRPr="00185CCC">
        <w:rPr>
          <w:b/>
          <w:bCs/>
        </w:rPr>
        <w:t xml:space="preserve"> </w:t>
      </w:r>
      <w:r w:rsidR="00185CCC" w:rsidRPr="00957316">
        <w:t xml:space="preserve">Extended Data Fig. </w:t>
      </w:r>
      <w:r w:rsidR="00EB7BB6">
        <w:t>10</w:t>
      </w:r>
      <w:r w:rsidR="00B66C33">
        <w:t xml:space="preserve"> Illustrates the</w:t>
      </w:r>
      <w:r w:rsidR="00185CCC" w:rsidRPr="00957316">
        <w:t xml:space="preserve"> </w:t>
      </w:r>
      <w:r w:rsidR="00B66C33">
        <w:t>p</w:t>
      </w:r>
      <w:r w:rsidR="00185CCC" w:rsidRPr="00957316">
        <w:t>hylogenetic distribution and comparative morphology of a posteriorly situated occiput in Temnospondyli.</w:t>
      </w:r>
    </w:p>
    <w:p w14:paraId="166E5827" w14:textId="77777777" w:rsidR="00526396" w:rsidRDefault="00526396" w:rsidP="00662B68">
      <w:pPr>
        <w:rPr>
          <w:color w:val="000000" w:themeColor="text1"/>
        </w:rPr>
      </w:pPr>
    </w:p>
    <w:p w14:paraId="391A7DFE" w14:textId="4AB8EE7F" w:rsidR="0072320A" w:rsidRPr="00062F7E" w:rsidRDefault="00526396" w:rsidP="00662B68">
      <w:pPr>
        <w:rPr>
          <w:color w:val="000000" w:themeColor="text1"/>
        </w:rPr>
      </w:pPr>
      <w:r>
        <w:rPr>
          <w:b/>
          <w:bCs/>
          <w:color w:val="000000" w:themeColor="text1"/>
        </w:rPr>
        <w:t xml:space="preserve">Position of occipital condyles relative to skull roof. </w:t>
      </w:r>
      <w:r w:rsidR="0072320A" w:rsidRPr="00062F7E">
        <w:rPr>
          <w:color w:val="000000" w:themeColor="text1"/>
        </w:rPr>
        <w:t>Pardo et al. (2017a) list</w:t>
      </w:r>
      <w:r w:rsidR="00BA2163" w:rsidRPr="00062F7E">
        <w:rPr>
          <w:color w:val="000000" w:themeColor="text1"/>
        </w:rPr>
        <w:t>ed</w:t>
      </w:r>
      <w:r w:rsidR="0072320A" w:rsidRPr="00062F7E">
        <w:rPr>
          <w:color w:val="000000" w:themeColor="text1"/>
        </w:rPr>
        <w:t xml:space="preserve"> occipital condyles extending far beyond the posterior margin of the skull roof as a shared feature of </w:t>
      </w:r>
      <w:r w:rsidR="0072320A" w:rsidRPr="00062F7E">
        <w:rPr>
          <w:i/>
          <w:iCs/>
          <w:color w:val="000000" w:themeColor="text1"/>
        </w:rPr>
        <w:t>Chinlestegophis jenkinsi</w:t>
      </w:r>
      <w:r w:rsidR="0072320A" w:rsidRPr="00062F7E">
        <w:rPr>
          <w:color w:val="000000" w:themeColor="text1"/>
        </w:rPr>
        <w:t xml:space="preserve"> and caecilians. The condition of </w:t>
      </w:r>
      <w:r w:rsidR="00903DB9">
        <w:rPr>
          <w:i/>
          <w:iCs/>
          <w:color w:val="000000" w:themeColor="text1"/>
        </w:rPr>
        <w:t xml:space="preserve">C. </w:t>
      </w:r>
      <w:r w:rsidR="0072320A" w:rsidRPr="00062F7E">
        <w:rPr>
          <w:i/>
          <w:iCs/>
          <w:color w:val="000000" w:themeColor="text1"/>
        </w:rPr>
        <w:t xml:space="preserve">jenkinsi </w:t>
      </w:r>
      <w:r w:rsidR="0072320A" w:rsidRPr="00062F7E">
        <w:rPr>
          <w:color w:val="000000" w:themeColor="text1"/>
        </w:rPr>
        <w:t xml:space="preserve">does not differ appreciably from a number of other stereospondyls of purported close relatedness, like brachyopoids and </w:t>
      </w:r>
      <w:r w:rsidR="0072320A" w:rsidRPr="00062F7E">
        <w:rPr>
          <w:i/>
          <w:iCs/>
          <w:color w:val="000000" w:themeColor="text1"/>
        </w:rPr>
        <w:t>Rileymillerus cosgriffi</w:t>
      </w:r>
      <w:r w:rsidR="0072320A" w:rsidRPr="00062F7E">
        <w:rPr>
          <w:color w:val="000000" w:themeColor="text1"/>
        </w:rPr>
        <w:t xml:space="preserve"> (e.g., Watson, 1956; Panchen, 1959; Warren &amp; Marsicano, 2000), but it is </w:t>
      </w:r>
      <w:r w:rsidR="0072320A" w:rsidRPr="00062F7E">
        <w:rPr>
          <w:color w:val="000000" w:themeColor="text1"/>
        </w:rPr>
        <w:lastRenderedPageBreak/>
        <w:t xml:space="preserve">also shared with </w:t>
      </w:r>
      <w:proofErr w:type="spellStart"/>
      <w:r w:rsidR="0072320A" w:rsidRPr="00062F7E">
        <w:rPr>
          <w:color w:val="000000" w:themeColor="text1"/>
        </w:rPr>
        <w:t>metoposauroids</w:t>
      </w:r>
      <w:proofErr w:type="spellEnd"/>
      <w:r w:rsidR="0072320A" w:rsidRPr="00062F7E">
        <w:rPr>
          <w:color w:val="000000" w:themeColor="text1"/>
        </w:rPr>
        <w:t xml:space="preserve"> (e.g., Case, 1931; Sulej, 2007; Lucas et al., 2016; Buffa et al., 2019) and some dvinosaurs (e.g., Nielsen, 1967; Sequeira, 1998; Warren, 1998a; Englehorn et al., 2008). </w:t>
      </w:r>
      <w:r w:rsidR="00F67033" w:rsidRPr="00A155FA">
        <w:rPr>
          <w:color w:val="000000" w:themeColor="text1"/>
        </w:rPr>
        <w:t xml:space="preserve">It appears to be intraspecifically variable in the trematosaur </w:t>
      </w:r>
      <w:r w:rsidR="00F67033" w:rsidRPr="00A155FA">
        <w:rPr>
          <w:i/>
          <w:iCs/>
          <w:color w:val="000000" w:themeColor="text1"/>
        </w:rPr>
        <w:t xml:space="preserve">Trematosaurus brauni </w:t>
      </w:r>
      <w:r w:rsidR="00F67033" w:rsidRPr="00A155FA">
        <w:rPr>
          <w:color w:val="000000" w:themeColor="text1"/>
        </w:rPr>
        <w:t>(Schoch, 2019b).</w:t>
      </w:r>
      <w:r w:rsidR="00F67033">
        <w:rPr>
          <w:color w:val="000000" w:themeColor="text1"/>
        </w:rPr>
        <w:t xml:space="preserve"> </w:t>
      </w:r>
      <w:r w:rsidR="0072320A" w:rsidRPr="00062F7E">
        <w:rPr>
          <w:color w:val="000000" w:themeColor="text1"/>
        </w:rPr>
        <w:t>Non-metoposaurid trematosaurs, rhytidosteids, and capitosaurs</w:t>
      </w:r>
      <w:r w:rsidR="00F67033">
        <w:rPr>
          <w:color w:val="000000" w:themeColor="text1"/>
        </w:rPr>
        <w:t xml:space="preserve"> typically</w:t>
      </w:r>
      <w:r w:rsidR="0072320A" w:rsidRPr="00062F7E">
        <w:rPr>
          <w:color w:val="000000" w:themeColor="text1"/>
        </w:rPr>
        <w:t xml:space="preserve"> have a reduced version of this condition that is still distinct from the plesiomorphic state with no dorsal exposure of the condyles (e.g., Damiani, 2001; Damiani &amp; Yates, 2003; Dias-da-Silva &amp; Marsicano, 2011; Novikov, 2012</w:t>
      </w:r>
      <w:r w:rsidR="008928C2">
        <w:rPr>
          <w:color w:val="000000" w:themeColor="text1"/>
        </w:rPr>
        <w:t>b</w:t>
      </w:r>
      <w:r w:rsidR="0072320A" w:rsidRPr="00062F7E">
        <w:rPr>
          <w:color w:val="000000" w:themeColor="text1"/>
        </w:rPr>
        <w:t xml:space="preserve">; </w:t>
      </w:r>
      <w:proofErr w:type="spellStart"/>
      <w:r w:rsidR="0072320A" w:rsidRPr="00062F7E">
        <w:rPr>
          <w:color w:val="000000" w:themeColor="text1"/>
        </w:rPr>
        <w:t>Marzola</w:t>
      </w:r>
      <w:proofErr w:type="spellEnd"/>
      <w:r w:rsidR="0072320A" w:rsidRPr="00062F7E">
        <w:rPr>
          <w:color w:val="000000" w:themeColor="text1"/>
        </w:rPr>
        <w:t xml:space="preserve"> et al., 2017). While this condition may have become progressively developed throughout stereospondyl evolution, its occurrence in dvinosaurs is convergent in the current topological context. Whether this homoplasy relates to the head-raising capability proposed in brachyopids and plagiosaurids (e.g., Watson, 1956; Panchen, 1959; Jenkins et al., 2008) remains to be determined. Santos et al. (2020) also noted the presence of this feature in non-temnospondyls and in other lissamphibians.</w:t>
      </w:r>
      <w:r w:rsidR="00186A7F">
        <w:rPr>
          <w:color w:val="000000" w:themeColor="text1"/>
        </w:rPr>
        <w:t xml:space="preserve"> </w:t>
      </w:r>
      <w:r w:rsidR="00D71A71" w:rsidRPr="00D71A71">
        <w:rPr>
          <w:color w:val="000000" w:themeColor="text1"/>
        </w:rPr>
        <w:t xml:space="preserve">It can, for example, be found in the same brachystelechid and ostodolepid ‘microsaurs’ noted in the previous </w:t>
      </w:r>
      <w:r w:rsidR="00F67033">
        <w:rPr>
          <w:color w:val="000000" w:themeColor="text1"/>
        </w:rPr>
        <w:t>section</w:t>
      </w:r>
      <w:r w:rsidR="00D71A71" w:rsidRPr="00D71A71">
        <w:rPr>
          <w:color w:val="000000" w:themeColor="text1"/>
        </w:rPr>
        <w:t>.</w:t>
      </w:r>
    </w:p>
    <w:p w14:paraId="77429167" w14:textId="77777777" w:rsidR="00526396" w:rsidRDefault="00526396" w:rsidP="00526396">
      <w:pPr>
        <w:rPr>
          <w:color w:val="000000" w:themeColor="text1"/>
        </w:rPr>
      </w:pPr>
    </w:p>
    <w:p w14:paraId="48603D9C" w14:textId="75F33723" w:rsidR="0072320A" w:rsidRPr="00062F7E" w:rsidRDefault="00526396" w:rsidP="007F06D1">
      <w:pPr>
        <w:rPr>
          <w:color w:val="000000" w:themeColor="text1"/>
        </w:rPr>
      </w:pPr>
      <w:r>
        <w:rPr>
          <w:b/>
          <w:bCs/>
          <w:color w:val="000000" w:themeColor="text1"/>
        </w:rPr>
        <w:t xml:space="preserve">Presence of a pterygoquadrate. </w:t>
      </w:r>
      <w:r w:rsidR="0072320A" w:rsidRPr="00062F7E">
        <w:rPr>
          <w:color w:val="000000" w:themeColor="text1"/>
        </w:rPr>
        <w:t xml:space="preserve">The final feature that Pardo et al. (2017a) identified as shared between </w:t>
      </w:r>
      <w:r w:rsidR="0072320A" w:rsidRPr="00062F7E">
        <w:rPr>
          <w:i/>
          <w:iCs/>
          <w:color w:val="000000" w:themeColor="text1"/>
        </w:rPr>
        <w:t xml:space="preserve">Chinlestegophis jenkinsi </w:t>
      </w:r>
      <w:r w:rsidR="0072320A" w:rsidRPr="00062F7E">
        <w:rPr>
          <w:color w:val="000000" w:themeColor="text1"/>
        </w:rPr>
        <w:t xml:space="preserve">and caecilians, a pterygoquadrate, </w:t>
      </w:r>
      <w:r w:rsidR="00F67033">
        <w:rPr>
          <w:color w:val="000000" w:themeColor="text1"/>
        </w:rPr>
        <w:t>was</w:t>
      </w:r>
      <w:r w:rsidR="0072320A" w:rsidRPr="00062F7E">
        <w:rPr>
          <w:color w:val="000000" w:themeColor="text1"/>
        </w:rPr>
        <w:t xml:space="preserve"> not positively identified in </w:t>
      </w:r>
      <w:r w:rsidR="00F24E1D" w:rsidRPr="00062F7E">
        <w:rPr>
          <w:i/>
          <w:iCs/>
          <w:color w:val="000000" w:themeColor="text1"/>
        </w:rPr>
        <w:t>C</w:t>
      </w:r>
      <w:r w:rsidR="00F24E1D">
        <w:rPr>
          <w:i/>
          <w:iCs/>
          <w:color w:val="000000" w:themeColor="text1"/>
        </w:rPr>
        <w:t xml:space="preserve">. </w:t>
      </w:r>
      <w:r w:rsidR="0072320A" w:rsidRPr="00062F7E">
        <w:rPr>
          <w:i/>
          <w:iCs/>
          <w:color w:val="000000" w:themeColor="text1"/>
        </w:rPr>
        <w:t xml:space="preserve">jenkinsi </w:t>
      </w:r>
      <w:r w:rsidR="0072320A" w:rsidRPr="00062F7E">
        <w:rPr>
          <w:color w:val="000000" w:themeColor="text1"/>
        </w:rPr>
        <w:t xml:space="preserve">but rather </w:t>
      </w:r>
      <w:r w:rsidR="00F67033">
        <w:rPr>
          <w:color w:val="000000" w:themeColor="text1"/>
        </w:rPr>
        <w:t xml:space="preserve">was </w:t>
      </w:r>
      <w:r w:rsidR="0072320A" w:rsidRPr="00062F7E">
        <w:rPr>
          <w:color w:val="000000" w:themeColor="text1"/>
        </w:rPr>
        <w:t>inferred from the apparent absence or substantial reduction of the quadratojugal</w:t>
      </w:r>
      <w:r w:rsidR="00D71A71">
        <w:rPr>
          <w:color w:val="000000" w:themeColor="text1"/>
        </w:rPr>
        <w:t>, the absence of distinct quadrates,</w:t>
      </w:r>
      <w:r w:rsidR="0072320A" w:rsidRPr="00062F7E">
        <w:rPr>
          <w:color w:val="000000" w:themeColor="text1"/>
        </w:rPr>
        <w:t xml:space="preserve"> and the morphology of the quadrate ramus of the pterygoid. If indeed the quadrate had </w:t>
      </w:r>
      <w:proofErr w:type="spellStart"/>
      <w:r w:rsidR="00FA6E2E">
        <w:rPr>
          <w:color w:val="000000" w:themeColor="text1"/>
        </w:rPr>
        <w:t>coossified</w:t>
      </w:r>
      <w:proofErr w:type="spellEnd"/>
      <w:r w:rsidR="00FA6E2E" w:rsidRPr="00062F7E">
        <w:rPr>
          <w:color w:val="000000" w:themeColor="text1"/>
        </w:rPr>
        <w:t xml:space="preserve"> </w:t>
      </w:r>
      <w:r w:rsidR="0072320A" w:rsidRPr="00062F7E">
        <w:rPr>
          <w:color w:val="000000" w:themeColor="text1"/>
        </w:rPr>
        <w:t xml:space="preserve">with the pterygoid, it would be autapomorphic among temnospondyls and indicative of caecilian affinities, but the fragmentary nature of the jaw articulation and limited resolution of generated volumes render this interpretation equivocal at present. Unlike the use of the nasolacrimal duct as a proxy for determining </w:t>
      </w:r>
      <w:proofErr w:type="spellStart"/>
      <w:r w:rsidR="00FA6E2E">
        <w:rPr>
          <w:color w:val="000000" w:themeColor="text1"/>
        </w:rPr>
        <w:t>coossification</w:t>
      </w:r>
      <w:proofErr w:type="spellEnd"/>
      <w:r w:rsidR="00FA6E2E" w:rsidRPr="00062F7E">
        <w:rPr>
          <w:color w:val="000000" w:themeColor="text1"/>
        </w:rPr>
        <w:t xml:space="preserve"> </w:t>
      </w:r>
      <w:r w:rsidR="0072320A" w:rsidRPr="00062F7E">
        <w:rPr>
          <w:color w:val="000000" w:themeColor="text1"/>
        </w:rPr>
        <w:t>between the maxilla and the lacrimal, no similar proxy exists for the pterygoquadrate in early caecilian evolution.</w:t>
      </w:r>
    </w:p>
    <w:p w14:paraId="7D0563A8" w14:textId="77777777" w:rsidR="00526396" w:rsidRDefault="0072320A" w:rsidP="00662B68">
      <w:pPr>
        <w:rPr>
          <w:color w:val="000000" w:themeColor="text1"/>
        </w:rPr>
      </w:pPr>
      <w:r w:rsidRPr="00062F7E">
        <w:rPr>
          <w:color w:val="000000" w:themeColor="text1"/>
        </w:rPr>
        <w:tab/>
      </w:r>
    </w:p>
    <w:p w14:paraId="1E7D84D2" w14:textId="45144B5F" w:rsidR="00D71A71" w:rsidRDefault="0072320A" w:rsidP="00D04466">
      <w:pPr>
        <w:ind w:firstLine="720"/>
        <w:rPr>
          <w:color w:val="000000" w:themeColor="text1"/>
        </w:rPr>
      </w:pPr>
      <w:r w:rsidRPr="00062F7E">
        <w:rPr>
          <w:color w:val="000000" w:themeColor="text1"/>
        </w:rPr>
        <w:t>To summate, many of the features that Pardo et al. (2017a) list</w:t>
      </w:r>
      <w:r w:rsidR="00BA2163" w:rsidRPr="00062F7E">
        <w:rPr>
          <w:color w:val="000000" w:themeColor="text1"/>
        </w:rPr>
        <w:t>ed</w:t>
      </w:r>
      <w:r w:rsidRPr="00062F7E">
        <w:rPr>
          <w:color w:val="000000" w:themeColor="text1"/>
        </w:rPr>
        <w:t xml:space="preserve"> as being shared between </w:t>
      </w:r>
      <w:r w:rsidRPr="00062F7E">
        <w:rPr>
          <w:i/>
          <w:iCs/>
          <w:color w:val="000000" w:themeColor="text1"/>
        </w:rPr>
        <w:t xml:space="preserve">Chinlestegophis jenkinsi </w:t>
      </w:r>
      <w:r w:rsidRPr="00062F7E">
        <w:rPr>
          <w:color w:val="000000" w:themeColor="text1"/>
        </w:rPr>
        <w:t xml:space="preserve">and relative exclusive clades (e.g., brachyopoids or caecilians) appear in other distantly related clades and are therefore not as unequivocal as </w:t>
      </w:r>
      <w:r w:rsidR="00F24E1D">
        <w:rPr>
          <w:color w:val="000000" w:themeColor="text1"/>
        </w:rPr>
        <w:t>previously</w:t>
      </w:r>
      <w:r w:rsidR="00F8103E">
        <w:rPr>
          <w:color w:val="000000" w:themeColor="text1"/>
        </w:rPr>
        <w:t xml:space="preserve"> </w:t>
      </w:r>
      <w:r w:rsidRPr="00062F7E">
        <w:rPr>
          <w:color w:val="000000" w:themeColor="text1"/>
        </w:rPr>
        <w:t xml:space="preserve">depicted. </w:t>
      </w:r>
      <w:r w:rsidR="00591205">
        <w:rPr>
          <w:color w:val="000000" w:themeColor="text1"/>
        </w:rPr>
        <w:t>Some purported apomorphies, such as paired processes from the occipital surface of the tabular, have been demonstrated to be</w:t>
      </w:r>
      <w:r w:rsidR="00224789">
        <w:rPr>
          <w:color w:val="000000" w:themeColor="text1"/>
        </w:rPr>
        <w:t xml:space="preserve"> misinterpretations</w:t>
      </w:r>
      <w:r w:rsidR="00591205">
        <w:rPr>
          <w:color w:val="000000" w:themeColor="text1"/>
        </w:rPr>
        <w:t xml:space="preserve">. </w:t>
      </w:r>
      <w:r w:rsidRPr="00062F7E">
        <w:rPr>
          <w:color w:val="000000" w:themeColor="text1"/>
        </w:rPr>
        <w:t>Features such as an LEP or the loss of a lacrimal evolved several times within Temnospondyli</w:t>
      </w:r>
      <w:r w:rsidR="00591205">
        <w:rPr>
          <w:color w:val="000000" w:themeColor="text1"/>
        </w:rPr>
        <w:t xml:space="preserve">, and even the joint presence of a LEP and absence of a lacrimal is not unique to </w:t>
      </w:r>
      <w:r w:rsidR="00903DB9">
        <w:rPr>
          <w:i/>
          <w:iCs/>
          <w:color w:val="000000" w:themeColor="text1"/>
        </w:rPr>
        <w:t xml:space="preserve">C. </w:t>
      </w:r>
      <w:r w:rsidR="00591205">
        <w:rPr>
          <w:i/>
          <w:iCs/>
          <w:color w:val="000000" w:themeColor="text1"/>
        </w:rPr>
        <w:t>jenkinsi</w:t>
      </w:r>
      <w:r w:rsidRPr="00062F7E">
        <w:rPr>
          <w:color w:val="000000" w:themeColor="text1"/>
        </w:rPr>
        <w:t xml:space="preserve">. </w:t>
      </w:r>
    </w:p>
    <w:p w14:paraId="2F286D54" w14:textId="247C32D4" w:rsidR="0072320A" w:rsidRPr="00062F7E" w:rsidRDefault="0072320A" w:rsidP="00D04466">
      <w:pPr>
        <w:ind w:firstLine="720"/>
        <w:rPr>
          <w:color w:val="000000" w:themeColor="text1"/>
        </w:rPr>
      </w:pPr>
      <w:r w:rsidRPr="00062F7E">
        <w:rPr>
          <w:color w:val="000000" w:themeColor="text1"/>
        </w:rPr>
        <w:t xml:space="preserve">Also worth consideration in this regard is </w:t>
      </w:r>
      <w:r w:rsidRPr="00062F7E">
        <w:rPr>
          <w:i/>
          <w:iCs/>
          <w:color w:val="000000" w:themeColor="text1"/>
        </w:rPr>
        <w:t>Almasaurus habbazi</w:t>
      </w:r>
      <w:r w:rsidRPr="00062F7E">
        <w:rPr>
          <w:color w:val="000000" w:themeColor="text1"/>
        </w:rPr>
        <w:t>, another small-bodied Late Triassic temnospondyl characterized by a tall skull with relatively small, laterally facing orbits and a posteriorly projecting occiput. It has teeth on all three coronoids, although these occur a</w:t>
      </w:r>
      <w:r w:rsidR="00591205">
        <w:rPr>
          <w:color w:val="000000" w:themeColor="text1"/>
        </w:rPr>
        <w:t>s</w:t>
      </w:r>
      <w:r w:rsidRPr="00062F7E">
        <w:rPr>
          <w:color w:val="000000" w:themeColor="text1"/>
        </w:rPr>
        <w:t xml:space="preserve"> </w:t>
      </w:r>
      <w:r w:rsidR="00591205">
        <w:rPr>
          <w:color w:val="000000" w:themeColor="text1"/>
        </w:rPr>
        <w:t>separated</w:t>
      </w:r>
      <w:r w:rsidR="00591205" w:rsidRPr="00062F7E">
        <w:rPr>
          <w:color w:val="000000" w:themeColor="text1"/>
        </w:rPr>
        <w:t xml:space="preserve"> </w:t>
      </w:r>
      <w:r w:rsidRPr="00062F7E">
        <w:rPr>
          <w:color w:val="000000" w:themeColor="text1"/>
        </w:rPr>
        <w:t xml:space="preserve">rows on each coronoid (Dutuit, 1976:fig. </w:t>
      </w:r>
      <w:r w:rsidR="002E1C57" w:rsidRPr="00062F7E">
        <w:rPr>
          <w:color w:val="000000" w:themeColor="text1"/>
        </w:rPr>
        <w:t>94</w:t>
      </w:r>
      <w:r w:rsidR="002E1C57">
        <w:rPr>
          <w:color w:val="000000" w:themeColor="text1"/>
        </w:rPr>
        <w:t>b</w:t>
      </w:r>
      <w:r w:rsidRPr="00062F7E">
        <w:rPr>
          <w:color w:val="000000" w:themeColor="text1"/>
        </w:rPr>
        <w:t xml:space="preserve">). Bolt &amp; Chatterjee (2000) </w:t>
      </w:r>
      <w:r w:rsidR="00D71A71">
        <w:rPr>
          <w:color w:val="000000" w:themeColor="text1"/>
        </w:rPr>
        <w:t>argued</w:t>
      </w:r>
      <w:r w:rsidR="00D71A71" w:rsidRPr="00062F7E">
        <w:rPr>
          <w:color w:val="000000" w:themeColor="text1"/>
        </w:rPr>
        <w:t xml:space="preserve"> </w:t>
      </w:r>
      <w:r w:rsidRPr="00062F7E">
        <w:rPr>
          <w:color w:val="000000" w:themeColor="text1"/>
        </w:rPr>
        <w:t xml:space="preserve">that this taxon was not closely related to </w:t>
      </w:r>
      <w:r w:rsidRPr="00062F7E">
        <w:rPr>
          <w:i/>
          <w:iCs/>
          <w:color w:val="000000" w:themeColor="text1"/>
        </w:rPr>
        <w:t>Rileymillerus cosgriffi</w:t>
      </w:r>
      <w:r w:rsidRPr="00062F7E">
        <w:rPr>
          <w:color w:val="000000" w:themeColor="text1"/>
        </w:rPr>
        <w:t xml:space="preserve">, noting differences such as the presence of a lacrimal, the absence of a LEP, and a large otic notch. The lacrimal of </w:t>
      </w:r>
      <w:r w:rsidR="00903DB9">
        <w:rPr>
          <w:i/>
          <w:iCs/>
          <w:color w:val="000000" w:themeColor="text1"/>
        </w:rPr>
        <w:t xml:space="preserve">A. </w:t>
      </w:r>
      <w:r w:rsidR="00591205">
        <w:rPr>
          <w:i/>
          <w:iCs/>
          <w:color w:val="000000" w:themeColor="text1"/>
        </w:rPr>
        <w:t>habbazi</w:t>
      </w:r>
      <w:r w:rsidRPr="00062F7E">
        <w:rPr>
          <w:color w:val="000000" w:themeColor="text1"/>
        </w:rPr>
        <w:t xml:space="preserve"> is well separated from the orbit and larger than the LEP in either </w:t>
      </w:r>
      <w:r w:rsidR="00903DB9">
        <w:rPr>
          <w:i/>
          <w:iCs/>
          <w:color w:val="000000" w:themeColor="text1"/>
        </w:rPr>
        <w:t xml:space="preserve">C. </w:t>
      </w:r>
      <w:r w:rsidRPr="00062F7E">
        <w:rPr>
          <w:i/>
          <w:iCs/>
          <w:color w:val="000000" w:themeColor="text1"/>
        </w:rPr>
        <w:t xml:space="preserve">jenkinsi </w:t>
      </w:r>
      <w:r w:rsidRPr="00062F7E">
        <w:rPr>
          <w:color w:val="000000" w:themeColor="text1"/>
        </w:rPr>
        <w:t xml:space="preserve">or </w:t>
      </w:r>
      <w:r w:rsidR="00903DB9">
        <w:rPr>
          <w:i/>
          <w:iCs/>
          <w:color w:val="000000" w:themeColor="text1"/>
        </w:rPr>
        <w:t xml:space="preserve">R. </w:t>
      </w:r>
      <w:r w:rsidRPr="00062F7E">
        <w:rPr>
          <w:i/>
          <w:iCs/>
          <w:color w:val="000000" w:themeColor="text1"/>
        </w:rPr>
        <w:t>cosgriffi</w:t>
      </w:r>
      <w:r w:rsidRPr="00062F7E">
        <w:rPr>
          <w:color w:val="000000" w:themeColor="text1"/>
        </w:rPr>
        <w:t xml:space="preserve">; it therefore can be more confidently characterized as a true lacrimal. With that said, it is interesting to note that the lacrimal of </w:t>
      </w:r>
      <w:r w:rsidR="00903DB9">
        <w:rPr>
          <w:i/>
          <w:iCs/>
          <w:color w:val="000000" w:themeColor="text1"/>
        </w:rPr>
        <w:t>A.</w:t>
      </w:r>
      <w:r w:rsidR="00903DB9" w:rsidRPr="00062F7E">
        <w:rPr>
          <w:i/>
          <w:iCs/>
          <w:color w:val="000000" w:themeColor="text1"/>
        </w:rPr>
        <w:t xml:space="preserve"> </w:t>
      </w:r>
      <w:r w:rsidRPr="00062F7E">
        <w:rPr>
          <w:i/>
          <w:iCs/>
          <w:color w:val="000000" w:themeColor="text1"/>
        </w:rPr>
        <w:t xml:space="preserve">habbazi </w:t>
      </w:r>
      <w:r w:rsidRPr="00062F7E">
        <w:rPr>
          <w:color w:val="000000" w:themeColor="text1"/>
        </w:rPr>
        <w:t xml:space="preserve">is </w:t>
      </w:r>
      <w:r w:rsidR="0037401E">
        <w:rPr>
          <w:color w:val="000000" w:themeColor="text1"/>
        </w:rPr>
        <w:t>nearly</w:t>
      </w:r>
      <w:r w:rsidR="0037401E" w:rsidRPr="00062F7E">
        <w:rPr>
          <w:color w:val="000000" w:themeColor="text1"/>
        </w:rPr>
        <w:t xml:space="preserve"> </w:t>
      </w:r>
      <w:r w:rsidRPr="00062F7E">
        <w:rPr>
          <w:color w:val="000000" w:themeColor="text1"/>
        </w:rPr>
        <w:t xml:space="preserve">in the same position as the nasal in </w:t>
      </w:r>
      <w:r w:rsidR="00903DB9">
        <w:rPr>
          <w:i/>
          <w:iCs/>
          <w:color w:val="000000" w:themeColor="text1"/>
        </w:rPr>
        <w:t xml:space="preserve">R. </w:t>
      </w:r>
      <w:r w:rsidRPr="00062F7E">
        <w:rPr>
          <w:i/>
          <w:iCs/>
          <w:color w:val="000000" w:themeColor="text1"/>
        </w:rPr>
        <w:t>cosgriffi</w:t>
      </w:r>
      <w:r w:rsidRPr="00062F7E">
        <w:rPr>
          <w:color w:val="000000" w:themeColor="text1"/>
        </w:rPr>
        <w:t xml:space="preserve">. It should be considered that the nasal of </w:t>
      </w:r>
      <w:r w:rsidR="0097118D" w:rsidRPr="00062F7E">
        <w:rPr>
          <w:i/>
          <w:iCs/>
          <w:color w:val="000000" w:themeColor="text1"/>
        </w:rPr>
        <w:t>R</w:t>
      </w:r>
      <w:r w:rsidR="0097118D">
        <w:rPr>
          <w:i/>
          <w:iCs/>
          <w:color w:val="000000" w:themeColor="text1"/>
        </w:rPr>
        <w:t xml:space="preserve">. </w:t>
      </w:r>
      <w:r w:rsidRPr="00062F7E">
        <w:rPr>
          <w:i/>
          <w:iCs/>
          <w:color w:val="000000" w:themeColor="text1"/>
        </w:rPr>
        <w:t xml:space="preserve">cosgriffi </w:t>
      </w:r>
      <w:r w:rsidRPr="00062F7E">
        <w:rPr>
          <w:color w:val="000000" w:themeColor="text1"/>
        </w:rPr>
        <w:t>is actually misidentified given that the snout, including most of the nasal, is unknown in the only specimen</w:t>
      </w:r>
      <w:r w:rsidR="002E1C57">
        <w:rPr>
          <w:color w:val="000000" w:themeColor="text1"/>
        </w:rPr>
        <w:t>;</w:t>
      </w:r>
      <w:r w:rsidRPr="00062F7E">
        <w:rPr>
          <w:color w:val="000000" w:themeColor="text1"/>
        </w:rPr>
        <w:t xml:space="preserve"> there are no particular defining attributes of the nasal other than its position (i.e., it has no equivalent to the nasolacrimal duct). Because material of </w:t>
      </w:r>
      <w:r w:rsidR="00903DB9">
        <w:rPr>
          <w:i/>
          <w:iCs/>
          <w:color w:val="000000" w:themeColor="text1"/>
        </w:rPr>
        <w:t xml:space="preserve">R. </w:t>
      </w:r>
      <w:r w:rsidRPr="00062F7E">
        <w:rPr>
          <w:i/>
          <w:iCs/>
          <w:color w:val="000000" w:themeColor="text1"/>
        </w:rPr>
        <w:t xml:space="preserve">cosgriffi </w:t>
      </w:r>
      <w:r w:rsidRPr="00062F7E">
        <w:rPr>
          <w:color w:val="000000" w:themeColor="text1"/>
        </w:rPr>
        <w:t xml:space="preserve">has never been </w:t>
      </w:r>
      <w:r w:rsidR="002E1C57">
        <w:rPr>
          <w:color w:val="000000" w:themeColor="text1"/>
        </w:rPr>
        <w:t xml:space="preserve">CT </w:t>
      </w:r>
      <w:r w:rsidRPr="00062F7E">
        <w:rPr>
          <w:color w:val="000000" w:themeColor="text1"/>
        </w:rPr>
        <w:t xml:space="preserve">scanned or </w:t>
      </w:r>
      <w:r w:rsidR="002E1C57">
        <w:rPr>
          <w:color w:val="000000" w:themeColor="text1"/>
        </w:rPr>
        <w:t xml:space="preserve">histologically </w:t>
      </w:r>
      <w:r w:rsidRPr="00062F7E">
        <w:rPr>
          <w:color w:val="000000" w:themeColor="text1"/>
        </w:rPr>
        <w:t xml:space="preserve">sectioned, whether the nasolacrimal duct passes the through the dorsal lamina of the maxilla as in </w:t>
      </w:r>
      <w:r w:rsidR="00903DB9">
        <w:rPr>
          <w:i/>
          <w:iCs/>
          <w:color w:val="000000" w:themeColor="text1"/>
        </w:rPr>
        <w:t>C.</w:t>
      </w:r>
      <w:r w:rsidR="00903DB9" w:rsidRPr="00062F7E">
        <w:rPr>
          <w:i/>
          <w:iCs/>
          <w:color w:val="000000" w:themeColor="text1"/>
        </w:rPr>
        <w:t xml:space="preserve"> </w:t>
      </w:r>
      <w:r w:rsidRPr="00062F7E">
        <w:rPr>
          <w:i/>
          <w:iCs/>
          <w:color w:val="000000" w:themeColor="text1"/>
        </w:rPr>
        <w:t xml:space="preserve">jenkinsi </w:t>
      </w:r>
      <w:r w:rsidRPr="00062F7E">
        <w:rPr>
          <w:color w:val="000000" w:themeColor="text1"/>
        </w:rPr>
        <w:t xml:space="preserve">is </w:t>
      </w:r>
      <w:r w:rsidRPr="00062F7E">
        <w:rPr>
          <w:color w:val="000000" w:themeColor="text1"/>
        </w:rPr>
        <w:lastRenderedPageBreak/>
        <w:t xml:space="preserve">unknown. The morphology of the complete nasal of </w:t>
      </w:r>
      <w:r w:rsidR="00903DB9">
        <w:rPr>
          <w:i/>
          <w:iCs/>
          <w:color w:val="000000" w:themeColor="text1"/>
        </w:rPr>
        <w:t>R.</w:t>
      </w:r>
      <w:r w:rsidR="00903DB9" w:rsidRPr="00062F7E">
        <w:rPr>
          <w:i/>
          <w:iCs/>
          <w:color w:val="000000" w:themeColor="text1"/>
        </w:rPr>
        <w:t xml:space="preserve"> </w:t>
      </w:r>
      <w:r w:rsidRPr="00062F7E">
        <w:rPr>
          <w:i/>
          <w:iCs/>
          <w:color w:val="000000" w:themeColor="text1"/>
        </w:rPr>
        <w:t xml:space="preserve">cosgriffi </w:t>
      </w:r>
      <w:r w:rsidRPr="00062F7E">
        <w:rPr>
          <w:color w:val="000000" w:themeColor="text1"/>
        </w:rPr>
        <w:t xml:space="preserve">would be quite aberrant if the </w:t>
      </w:r>
      <w:r w:rsidR="00D71A71">
        <w:rPr>
          <w:color w:val="000000" w:themeColor="text1"/>
        </w:rPr>
        <w:t xml:space="preserve">preserved </w:t>
      </w:r>
      <w:r w:rsidRPr="00062F7E">
        <w:rPr>
          <w:color w:val="000000" w:themeColor="text1"/>
        </w:rPr>
        <w:t xml:space="preserve">part currently interpreted as a partial nasal was correctly identified. The preserved region would represent a large separated posterior process in the lateral half to form an almost ‘L-shaped’ element when complete, something not observed in </w:t>
      </w:r>
      <w:r w:rsidR="00903DB9">
        <w:rPr>
          <w:i/>
          <w:iCs/>
          <w:color w:val="000000" w:themeColor="text1"/>
        </w:rPr>
        <w:t>A.</w:t>
      </w:r>
      <w:r w:rsidR="00903DB9" w:rsidRPr="00062F7E">
        <w:rPr>
          <w:i/>
          <w:iCs/>
          <w:color w:val="000000" w:themeColor="text1"/>
        </w:rPr>
        <w:t xml:space="preserve"> </w:t>
      </w:r>
      <w:r w:rsidRPr="00062F7E">
        <w:rPr>
          <w:i/>
          <w:iCs/>
          <w:color w:val="000000" w:themeColor="text1"/>
        </w:rPr>
        <w:t>habbazi</w:t>
      </w:r>
      <w:r w:rsidRPr="00062F7E">
        <w:rPr>
          <w:color w:val="000000" w:themeColor="text1"/>
        </w:rPr>
        <w:t>,</w:t>
      </w:r>
      <w:r w:rsidRPr="00062F7E">
        <w:rPr>
          <w:i/>
          <w:iCs/>
          <w:color w:val="000000" w:themeColor="text1"/>
        </w:rPr>
        <w:t xml:space="preserve"> </w:t>
      </w:r>
      <w:r w:rsidR="00903DB9">
        <w:rPr>
          <w:i/>
          <w:iCs/>
          <w:color w:val="000000" w:themeColor="text1"/>
        </w:rPr>
        <w:t xml:space="preserve">C. </w:t>
      </w:r>
      <w:r w:rsidRPr="00062F7E">
        <w:rPr>
          <w:i/>
          <w:iCs/>
          <w:color w:val="000000" w:themeColor="text1"/>
        </w:rPr>
        <w:t>jenkinsi</w:t>
      </w:r>
      <w:r w:rsidRPr="00062F7E">
        <w:rPr>
          <w:color w:val="000000" w:themeColor="text1"/>
        </w:rPr>
        <w:t xml:space="preserve">, or other temnospondyls. Lateral expansions of the nasal posterior to the naris are common, but a subsequent posterior extension from this expansion is not. A short lacrimal separated from at least the orbit and sometimes also the naris is found in most metoposaurids (e.g., Case, 1931; Hunt, 1993; Sulej, 2007; Lucas et al., 2016) and is one feature that Schoch (2008a) cited as evidence for the close relationship of </w:t>
      </w:r>
      <w:r w:rsidR="00903DB9">
        <w:rPr>
          <w:i/>
          <w:iCs/>
          <w:color w:val="000000" w:themeColor="text1"/>
        </w:rPr>
        <w:t>A.</w:t>
      </w:r>
      <w:r w:rsidR="00903DB9" w:rsidRPr="00062F7E">
        <w:rPr>
          <w:i/>
          <w:iCs/>
          <w:color w:val="000000" w:themeColor="text1"/>
        </w:rPr>
        <w:t xml:space="preserve"> </w:t>
      </w:r>
      <w:r w:rsidRPr="00062F7E">
        <w:rPr>
          <w:i/>
          <w:iCs/>
          <w:color w:val="000000" w:themeColor="text1"/>
        </w:rPr>
        <w:t xml:space="preserve">habbazi </w:t>
      </w:r>
      <w:r w:rsidRPr="00062F7E">
        <w:rPr>
          <w:color w:val="000000" w:themeColor="text1"/>
        </w:rPr>
        <w:t xml:space="preserve">and </w:t>
      </w:r>
      <w:r w:rsidR="00903DB9">
        <w:rPr>
          <w:i/>
          <w:iCs/>
          <w:color w:val="000000" w:themeColor="text1"/>
        </w:rPr>
        <w:t xml:space="preserve">R. </w:t>
      </w:r>
      <w:r w:rsidRPr="00062F7E">
        <w:rPr>
          <w:i/>
          <w:iCs/>
          <w:color w:val="000000" w:themeColor="text1"/>
        </w:rPr>
        <w:t xml:space="preserve">cosgriffi </w:t>
      </w:r>
      <w:r w:rsidRPr="00062F7E">
        <w:rPr>
          <w:color w:val="000000" w:themeColor="text1"/>
        </w:rPr>
        <w:t>to metoposaurids. A longer lacrimal, similarly separated from the nares and the orbits, is found in the proportionately longer skulls of non-metoposaurid trematosaurs (e.g., Damiani &amp; Yates, 2003; Novikov, 2012</w:t>
      </w:r>
      <w:r w:rsidR="008928C2">
        <w:rPr>
          <w:color w:val="000000" w:themeColor="text1"/>
        </w:rPr>
        <w:t>b</w:t>
      </w:r>
      <w:r w:rsidRPr="00062F7E">
        <w:rPr>
          <w:color w:val="000000" w:themeColor="text1"/>
        </w:rPr>
        <w:t xml:space="preserve">; </w:t>
      </w:r>
      <w:r w:rsidR="005C0E14" w:rsidRPr="005C0E14">
        <w:rPr>
          <w:color w:val="000000" w:themeColor="text1"/>
        </w:rPr>
        <w:t>Fernández-Coll</w:t>
      </w:r>
      <w:r w:rsidRPr="00062F7E">
        <w:rPr>
          <w:color w:val="000000" w:themeColor="text1"/>
        </w:rPr>
        <w:t>et al., 201</w:t>
      </w:r>
      <w:r w:rsidR="005C0E14">
        <w:rPr>
          <w:color w:val="000000" w:themeColor="text1"/>
        </w:rPr>
        <w:t>9</w:t>
      </w:r>
      <w:r w:rsidRPr="00062F7E">
        <w:rPr>
          <w:color w:val="000000" w:themeColor="text1"/>
        </w:rPr>
        <w:t>; Schoch, 2019</w:t>
      </w:r>
      <w:r w:rsidR="00997EF1">
        <w:rPr>
          <w:color w:val="000000" w:themeColor="text1"/>
        </w:rPr>
        <w:t>b</w:t>
      </w:r>
      <w:r w:rsidRPr="00062F7E">
        <w:rPr>
          <w:color w:val="000000" w:themeColor="text1"/>
        </w:rPr>
        <w:t xml:space="preserve">; </w:t>
      </w:r>
      <w:proofErr w:type="spellStart"/>
      <w:r w:rsidRPr="00062F7E">
        <w:rPr>
          <w:color w:val="000000" w:themeColor="text1"/>
        </w:rPr>
        <w:t>Slodownik</w:t>
      </w:r>
      <w:proofErr w:type="spellEnd"/>
      <w:r w:rsidRPr="00062F7E">
        <w:rPr>
          <w:color w:val="000000" w:themeColor="text1"/>
        </w:rPr>
        <w:t xml:space="preserve"> et al., 2021) and capitosaurs (e.g., Damiani, 2001, 2008; Schoch, 2008</w:t>
      </w:r>
      <w:r w:rsidR="002639C2">
        <w:rPr>
          <w:color w:val="000000" w:themeColor="text1"/>
        </w:rPr>
        <w:t>a</w:t>
      </w:r>
      <w:r w:rsidRPr="00062F7E">
        <w:rPr>
          <w:color w:val="000000" w:themeColor="text1"/>
        </w:rPr>
        <w:t xml:space="preserve">; </w:t>
      </w:r>
      <w:proofErr w:type="spellStart"/>
      <w:r w:rsidRPr="00062F7E">
        <w:rPr>
          <w:color w:val="000000" w:themeColor="text1"/>
        </w:rPr>
        <w:t>Sidor</w:t>
      </w:r>
      <w:proofErr w:type="spellEnd"/>
      <w:r w:rsidRPr="00062F7E">
        <w:rPr>
          <w:color w:val="000000" w:themeColor="text1"/>
        </w:rPr>
        <w:t xml:space="preserve"> et al., 2014; Liu, 2016; </w:t>
      </w:r>
      <w:proofErr w:type="spellStart"/>
      <w:r w:rsidRPr="00062F7E">
        <w:rPr>
          <w:color w:val="000000" w:themeColor="text1"/>
        </w:rPr>
        <w:t>Marzola</w:t>
      </w:r>
      <w:proofErr w:type="spellEnd"/>
      <w:r w:rsidRPr="00062F7E">
        <w:rPr>
          <w:color w:val="000000" w:themeColor="text1"/>
        </w:rPr>
        <w:t xml:space="preserve"> et al., 2017), reflecting the plesiomorphic condition for stereospondylomorphs (e.g., Schoch &amp; Witzmann, 2009a, 2009b). </w:t>
      </w:r>
    </w:p>
    <w:p w14:paraId="3CF6F952" w14:textId="1309D6BC" w:rsidR="0072320A" w:rsidRPr="00062F7E" w:rsidRDefault="0072320A" w:rsidP="00662B68">
      <w:pPr>
        <w:rPr>
          <w:color w:val="000000" w:themeColor="text1"/>
        </w:rPr>
      </w:pPr>
      <w:r w:rsidRPr="00062F7E">
        <w:rPr>
          <w:color w:val="000000" w:themeColor="text1"/>
        </w:rPr>
        <w:tab/>
        <w:t xml:space="preserve">The alternative (that the lacrimal of </w:t>
      </w:r>
      <w:r w:rsidRPr="00062F7E">
        <w:rPr>
          <w:i/>
          <w:iCs/>
          <w:color w:val="000000" w:themeColor="text1"/>
        </w:rPr>
        <w:t>Almasaurus habbazi</w:t>
      </w:r>
      <w:r w:rsidRPr="00062F7E">
        <w:rPr>
          <w:color w:val="000000" w:themeColor="text1"/>
        </w:rPr>
        <w:t xml:space="preserve"> is misidentified and/or that it could have an unidentified LEP) could also be true. However, </w:t>
      </w:r>
      <w:r w:rsidR="00903DB9">
        <w:rPr>
          <w:i/>
          <w:iCs/>
          <w:color w:val="000000" w:themeColor="text1"/>
        </w:rPr>
        <w:t>A.</w:t>
      </w:r>
      <w:r w:rsidR="00903DB9" w:rsidRPr="00062F7E">
        <w:rPr>
          <w:i/>
          <w:iCs/>
          <w:color w:val="000000" w:themeColor="text1"/>
        </w:rPr>
        <w:t xml:space="preserve"> </w:t>
      </w:r>
      <w:r w:rsidRPr="00062F7E">
        <w:rPr>
          <w:i/>
          <w:iCs/>
          <w:color w:val="000000" w:themeColor="text1"/>
        </w:rPr>
        <w:t>habbazi</w:t>
      </w:r>
      <w:r w:rsidRPr="00062F7E">
        <w:rPr>
          <w:color w:val="000000" w:themeColor="text1"/>
        </w:rPr>
        <w:t xml:space="preserve"> is known from many specimens</w:t>
      </w:r>
      <w:r w:rsidR="004624A0">
        <w:rPr>
          <w:color w:val="000000" w:themeColor="text1"/>
        </w:rPr>
        <w:t xml:space="preserve"> with complete snouts</w:t>
      </w:r>
      <w:r w:rsidRPr="00062F7E">
        <w:rPr>
          <w:color w:val="000000" w:themeColor="text1"/>
        </w:rPr>
        <w:t xml:space="preserve">, so it seems unlikely that the interpreted lacrimal was a consistently fractured part of the nasal or the maxilla. Sutures are quite evident in some of </w:t>
      </w:r>
      <w:proofErr w:type="spellStart"/>
      <w:r w:rsidRPr="00062F7E">
        <w:rPr>
          <w:color w:val="000000" w:themeColor="text1"/>
        </w:rPr>
        <w:t>Dutuit’s</w:t>
      </w:r>
      <w:proofErr w:type="spellEnd"/>
      <w:r w:rsidRPr="00062F7E">
        <w:rPr>
          <w:color w:val="000000" w:themeColor="text1"/>
        </w:rPr>
        <w:t xml:space="preserve"> (1976) photographs despite their datedness, so misidentification due to poor preservation seems unlikely. It is more plausible that an LEP is present but has yet to be identified. </w:t>
      </w:r>
      <w:r w:rsidR="0097118D">
        <w:rPr>
          <w:color w:val="000000" w:themeColor="text1"/>
        </w:rPr>
        <w:t>Though</w:t>
      </w:r>
      <w:r w:rsidR="0097118D" w:rsidRPr="00062F7E">
        <w:rPr>
          <w:color w:val="000000" w:themeColor="text1"/>
        </w:rPr>
        <w:t xml:space="preserve"> </w:t>
      </w:r>
      <w:r w:rsidRPr="00062F7E">
        <w:rPr>
          <w:color w:val="000000" w:themeColor="text1"/>
        </w:rPr>
        <w:t>an LEP was not figured by Dutuit, some historical context should also be noted</w:t>
      </w:r>
      <w:r w:rsidR="002E1C57">
        <w:rPr>
          <w:color w:val="000000" w:themeColor="text1"/>
        </w:rPr>
        <w:t>;</w:t>
      </w:r>
      <w:r w:rsidRPr="00062F7E">
        <w:rPr>
          <w:color w:val="000000" w:themeColor="text1"/>
        </w:rPr>
        <w:t xml:space="preserve"> LEPs were not widely recognized until the work of Bolt (1974) on dissorophoids</w:t>
      </w:r>
      <w:r w:rsidR="00733FC2">
        <w:rPr>
          <w:color w:val="000000" w:themeColor="text1"/>
        </w:rPr>
        <w:t>, which formalized the term</w:t>
      </w:r>
      <w:r w:rsidR="00903DB9">
        <w:rPr>
          <w:color w:val="000000" w:themeColor="text1"/>
        </w:rPr>
        <w:t xml:space="preserve"> (but see DeMar, 1968; Bolt, 1969, for earlier </w:t>
      </w:r>
      <w:r w:rsidR="00733FC2">
        <w:rPr>
          <w:color w:val="000000" w:themeColor="text1"/>
        </w:rPr>
        <w:t>identification</w:t>
      </w:r>
      <w:r w:rsidR="00903DB9">
        <w:rPr>
          <w:color w:val="000000" w:themeColor="text1"/>
        </w:rPr>
        <w:t>)</w:t>
      </w:r>
      <w:r w:rsidRPr="00062F7E">
        <w:rPr>
          <w:color w:val="000000" w:themeColor="text1"/>
        </w:rPr>
        <w:t xml:space="preserve">, and they are typically quite small, therefore requiring good preservation and preparation to be identified. What is now a LEP was identified prior to that in dvinosaurs (e.g., Shishkin, 1967) but was misinterpreted as </w:t>
      </w:r>
      <w:proofErr w:type="spellStart"/>
      <w:r w:rsidR="00FA6E2E">
        <w:rPr>
          <w:color w:val="000000" w:themeColor="text1"/>
        </w:rPr>
        <w:t>co</w:t>
      </w:r>
      <w:r w:rsidR="00077403">
        <w:rPr>
          <w:color w:val="000000" w:themeColor="text1"/>
        </w:rPr>
        <w:t>o</w:t>
      </w:r>
      <w:r w:rsidR="00FA6E2E">
        <w:rPr>
          <w:color w:val="000000" w:themeColor="text1"/>
        </w:rPr>
        <w:t>ssification</w:t>
      </w:r>
      <w:proofErr w:type="spellEnd"/>
      <w:r w:rsidR="00FA6E2E" w:rsidRPr="00062F7E">
        <w:rPr>
          <w:color w:val="000000" w:themeColor="text1"/>
        </w:rPr>
        <w:t xml:space="preserve"> </w:t>
      </w:r>
      <w:r w:rsidRPr="00062F7E">
        <w:rPr>
          <w:color w:val="000000" w:themeColor="text1"/>
        </w:rPr>
        <w:t>of the palatine with the lacrimal, rather than as a dorsal exposure of the palatine</w:t>
      </w:r>
      <w:r w:rsidR="004624A0">
        <w:rPr>
          <w:color w:val="000000" w:themeColor="text1"/>
        </w:rPr>
        <w:t xml:space="preserve"> (see Damiani &amp; Warren, 1996:290, for comments)</w:t>
      </w:r>
      <w:r w:rsidRPr="00062F7E">
        <w:rPr>
          <w:color w:val="000000" w:themeColor="text1"/>
        </w:rPr>
        <w:t xml:space="preserve">. </w:t>
      </w:r>
      <w:r w:rsidRPr="00062F7E">
        <w:rPr>
          <w:i/>
          <w:iCs/>
          <w:color w:val="000000" w:themeColor="text1"/>
        </w:rPr>
        <w:t xml:space="preserve">Almasaurus habbazi </w:t>
      </w:r>
      <w:r w:rsidRPr="00062F7E">
        <w:rPr>
          <w:color w:val="000000" w:themeColor="text1"/>
        </w:rPr>
        <w:t xml:space="preserve">was described in 1976 and would fall within the time range during which LEPs were neither well-known nor widely documented within Temnospondyli. </w:t>
      </w:r>
      <w:r w:rsidR="00C26551" w:rsidRPr="00C26551">
        <w:rPr>
          <w:color w:val="000000" w:themeColor="text1"/>
        </w:rPr>
        <w:t>There are numerous examples (primarily of dissorophoids) in which reexamination of historic specimens, including those (re)described well after the 1960s, has led to identification of a LEP (e.g., Bolt, 1974;</w:t>
      </w:r>
      <w:r w:rsidR="00225AEA">
        <w:rPr>
          <w:color w:val="000000" w:themeColor="text1"/>
        </w:rPr>
        <w:t xml:space="preserve"> </w:t>
      </w:r>
      <w:r w:rsidR="00C26551" w:rsidRPr="00C26551">
        <w:rPr>
          <w:color w:val="000000" w:themeColor="text1"/>
        </w:rPr>
        <w:t>Boy, 19</w:t>
      </w:r>
      <w:r w:rsidR="00393A77">
        <w:rPr>
          <w:color w:val="000000" w:themeColor="text1"/>
        </w:rPr>
        <w:t>9</w:t>
      </w:r>
      <w:r w:rsidR="00C26551" w:rsidRPr="00C26551">
        <w:rPr>
          <w:color w:val="000000" w:themeColor="text1"/>
        </w:rPr>
        <w:t xml:space="preserve">5; Milner, 2018; Gee et al., 2019; Gee &amp; Reisz, 2020). </w:t>
      </w:r>
      <w:r w:rsidRPr="00062F7E">
        <w:rPr>
          <w:color w:val="000000" w:themeColor="text1"/>
        </w:rPr>
        <w:t xml:space="preserve">If </w:t>
      </w:r>
      <w:r w:rsidR="00733FC2">
        <w:rPr>
          <w:i/>
          <w:iCs/>
          <w:color w:val="000000" w:themeColor="text1"/>
        </w:rPr>
        <w:t>A.</w:t>
      </w:r>
      <w:r w:rsidR="00733FC2" w:rsidRPr="00062F7E">
        <w:rPr>
          <w:i/>
          <w:iCs/>
          <w:color w:val="000000" w:themeColor="text1"/>
        </w:rPr>
        <w:t xml:space="preserve"> </w:t>
      </w:r>
      <w:r w:rsidRPr="00062F7E">
        <w:rPr>
          <w:i/>
          <w:iCs/>
          <w:color w:val="000000" w:themeColor="text1"/>
        </w:rPr>
        <w:t xml:space="preserve">habbazi </w:t>
      </w:r>
      <w:r w:rsidRPr="00062F7E">
        <w:rPr>
          <w:color w:val="000000" w:themeColor="text1"/>
        </w:rPr>
        <w:t xml:space="preserve">actually does have a LEP, this might indicate affinities with </w:t>
      </w:r>
      <w:r w:rsidRPr="00062F7E">
        <w:rPr>
          <w:i/>
          <w:iCs/>
          <w:color w:val="000000" w:themeColor="text1"/>
        </w:rPr>
        <w:t>C</w:t>
      </w:r>
      <w:r w:rsidR="00D71A71">
        <w:rPr>
          <w:i/>
          <w:iCs/>
          <w:color w:val="000000" w:themeColor="text1"/>
        </w:rPr>
        <w:t>hinlestegophis</w:t>
      </w:r>
      <w:r w:rsidRPr="00062F7E">
        <w:rPr>
          <w:i/>
          <w:iCs/>
          <w:color w:val="000000" w:themeColor="text1"/>
        </w:rPr>
        <w:t xml:space="preserve"> jenkinsi </w:t>
      </w:r>
      <w:r w:rsidRPr="00062F7E">
        <w:rPr>
          <w:color w:val="000000" w:themeColor="text1"/>
        </w:rPr>
        <w:t xml:space="preserve">and </w:t>
      </w:r>
      <w:r w:rsidRPr="00062F7E">
        <w:rPr>
          <w:i/>
          <w:iCs/>
          <w:color w:val="000000" w:themeColor="text1"/>
        </w:rPr>
        <w:t>R</w:t>
      </w:r>
      <w:r w:rsidR="00D71A71">
        <w:rPr>
          <w:i/>
          <w:iCs/>
          <w:color w:val="000000" w:themeColor="text1"/>
        </w:rPr>
        <w:t>ileymillerus</w:t>
      </w:r>
      <w:r w:rsidRPr="00062F7E">
        <w:rPr>
          <w:i/>
          <w:iCs/>
          <w:color w:val="000000" w:themeColor="text1"/>
        </w:rPr>
        <w:t xml:space="preserve"> cosgriffi</w:t>
      </w:r>
      <w:r w:rsidRPr="00062F7E">
        <w:rPr>
          <w:color w:val="000000" w:themeColor="text1"/>
        </w:rPr>
        <w:t xml:space="preserve"> but </w:t>
      </w:r>
      <w:r w:rsidR="00733FC2">
        <w:rPr>
          <w:color w:val="000000" w:themeColor="text1"/>
        </w:rPr>
        <w:t>could alternatively imply</w:t>
      </w:r>
      <w:r w:rsidR="00733FC2" w:rsidRPr="00062F7E">
        <w:rPr>
          <w:color w:val="000000" w:themeColor="text1"/>
        </w:rPr>
        <w:t xml:space="preserve"> </w:t>
      </w:r>
      <w:r w:rsidRPr="00062F7E">
        <w:rPr>
          <w:color w:val="000000" w:themeColor="text1"/>
        </w:rPr>
        <w:t>collective affinities with another clade or different relation to caecilians</w:t>
      </w:r>
      <w:r w:rsidR="00733FC2">
        <w:rPr>
          <w:color w:val="000000" w:themeColor="text1"/>
        </w:rPr>
        <w:t>;</w:t>
      </w:r>
      <w:r w:rsidRPr="00062F7E">
        <w:rPr>
          <w:color w:val="000000" w:themeColor="text1"/>
        </w:rPr>
        <w:t xml:space="preserve"> or </w:t>
      </w:r>
      <w:r w:rsidR="0097118D">
        <w:rPr>
          <w:color w:val="000000" w:themeColor="text1"/>
        </w:rPr>
        <w:t xml:space="preserve">as </w:t>
      </w:r>
      <w:r w:rsidR="00C761D6">
        <w:rPr>
          <w:color w:val="000000" w:themeColor="text1"/>
        </w:rPr>
        <w:t>yet</w:t>
      </w:r>
      <w:r w:rsidR="0097118D">
        <w:rPr>
          <w:color w:val="000000" w:themeColor="text1"/>
        </w:rPr>
        <w:t>,</w:t>
      </w:r>
      <w:r w:rsidR="00C761D6">
        <w:rPr>
          <w:color w:val="000000" w:themeColor="text1"/>
        </w:rPr>
        <w:t xml:space="preserve"> </w:t>
      </w:r>
      <w:r w:rsidRPr="00062F7E">
        <w:rPr>
          <w:color w:val="000000" w:themeColor="text1"/>
        </w:rPr>
        <w:t>another independent acquisition of a LEP within Temnospondyli</w:t>
      </w:r>
      <w:r w:rsidR="00C26551">
        <w:rPr>
          <w:color w:val="000000" w:themeColor="text1"/>
        </w:rPr>
        <w:t xml:space="preserve"> cannot be excluded</w:t>
      </w:r>
      <w:r w:rsidRPr="00062F7E">
        <w:rPr>
          <w:color w:val="000000" w:themeColor="text1"/>
        </w:rPr>
        <w:t>.</w:t>
      </w:r>
    </w:p>
    <w:p w14:paraId="69C79567" w14:textId="63DDE7E2" w:rsidR="0072320A" w:rsidRPr="00062F7E" w:rsidRDefault="0072320A" w:rsidP="00662B68">
      <w:pPr>
        <w:ind w:firstLine="720"/>
        <w:rPr>
          <w:color w:val="000000" w:themeColor="text1"/>
        </w:rPr>
      </w:pPr>
      <w:r w:rsidRPr="00062F7E">
        <w:rPr>
          <w:i/>
          <w:iCs/>
          <w:color w:val="000000" w:themeColor="text1"/>
        </w:rPr>
        <w:t xml:space="preserve">Almasaurus habbazi </w:t>
      </w:r>
      <w:r w:rsidRPr="00062F7E">
        <w:rPr>
          <w:color w:val="000000" w:themeColor="text1"/>
        </w:rPr>
        <w:t xml:space="preserve">also shares certain features (most of which are plesiomorphies) with </w:t>
      </w:r>
      <w:r w:rsidRPr="00062F7E">
        <w:rPr>
          <w:i/>
          <w:iCs/>
          <w:color w:val="000000" w:themeColor="text1"/>
        </w:rPr>
        <w:t xml:space="preserve">Rileymillerus cosgriffi </w:t>
      </w:r>
      <w:r w:rsidRPr="00062F7E">
        <w:rPr>
          <w:color w:val="000000" w:themeColor="text1"/>
        </w:rPr>
        <w:t xml:space="preserve">that are not found in </w:t>
      </w:r>
      <w:r w:rsidRPr="00062F7E">
        <w:rPr>
          <w:i/>
          <w:iCs/>
          <w:color w:val="000000" w:themeColor="text1"/>
        </w:rPr>
        <w:t>Chinlestegophis jenkinsi</w:t>
      </w:r>
      <w:r w:rsidRPr="00062F7E">
        <w:rPr>
          <w:color w:val="000000" w:themeColor="text1"/>
        </w:rPr>
        <w:t>. These include a narrow, rod-like cultriform process and corresponding large interpterygoid vacuities</w:t>
      </w:r>
      <w:r w:rsidR="00F67033">
        <w:rPr>
          <w:color w:val="000000" w:themeColor="text1"/>
        </w:rPr>
        <w:t>;</w:t>
      </w:r>
      <w:r w:rsidRPr="00062F7E">
        <w:rPr>
          <w:color w:val="000000" w:themeColor="text1"/>
        </w:rPr>
        <w:t xml:space="preserve"> a proportionately long, triangular skull</w:t>
      </w:r>
      <w:r w:rsidR="00F67033">
        <w:rPr>
          <w:color w:val="000000" w:themeColor="text1"/>
        </w:rPr>
        <w:t>;</w:t>
      </w:r>
      <w:r w:rsidRPr="00062F7E">
        <w:rPr>
          <w:color w:val="000000" w:themeColor="text1"/>
        </w:rPr>
        <w:t xml:space="preserve"> posteriorly open otic notches</w:t>
      </w:r>
      <w:r w:rsidR="00F67033">
        <w:rPr>
          <w:color w:val="000000" w:themeColor="text1"/>
        </w:rPr>
        <w:t>;</w:t>
      </w:r>
      <w:r w:rsidRPr="00062F7E">
        <w:rPr>
          <w:color w:val="000000" w:themeColor="text1"/>
        </w:rPr>
        <w:t xml:space="preserve"> a laterally extensive postfrontal that frames the orbit anteriorly</w:t>
      </w:r>
      <w:r w:rsidR="00F67033">
        <w:rPr>
          <w:color w:val="000000" w:themeColor="text1"/>
        </w:rPr>
        <w:t>;</w:t>
      </w:r>
      <w:r w:rsidRPr="00062F7E">
        <w:rPr>
          <w:color w:val="000000" w:themeColor="text1"/>
        </w:rPr>
        <w:t xml:space="preserve"> a quadratojugal</w:t>
      </w:r>
      <w:r w:rsidR="00F67033">
        <w:rPr>
          <w:color w:val="000000" w:themeColor="text1"/>
        </w:rPr>
        <w:t>;</w:t>
      </w:r>
      <w:r w:rsidRPr="00062F7E">
        <w:rPr>
          <w:color w:val="000000" w:themeColor="text1"/>
        </w:rPr>
        <w:t xml:space="preserve"> and a tightly articulated supratemporal</w:t>
      </w:r>
      <w:r w:rsidR="0040252D">
        <w:rPr>
          <w:color w:val="000000" w:themeColor="text1"/>
        </w:rPr>
        <w:t xml:space="preserve"> (most of these are plesiomorphies)</w:t>
      </w:r>
      <w:r w:rsidRPr="00062F7E">
        <w:rPr>
          <w:color w:val="000000" w:themeColor="text1"/>
        </w:rPr>
        <w:t>.</w:t>
      </w:r>
      <w:r w:rsidR="00F67033">
        <w:rPr>
          <w:color w:val="000000" w:themeColor="text1"/>
        </w:rPr>
        <w:t xml:space="preserve"> </w:t>
      </w:r>
      <w:r w:rsidR="00F67033" w:rsidRPr="00A155FA">
        <w:rPr>
          <w:color w:val="000000" w:themeColor="text1"/>
        </w:rPr>
        <w:t>All three share features like the relatively tall skull, the sloping occiput, and relatively small orbits</w:t>
      </w:r>
      <w:r w:rsidR="00F67033">
        <w:rPr>
          <w:color w:val="000000" w:themeColor="text1"/>
        </w:rPr>
        <w:t>.</w:t>
      </w:r>
      <w:r w:rsidRPr="00062F7E">
        <w:rPr>
          <w:i/>
          <w:iCs/>
          <w:color w:val="000000" w:themeColor="text1"/>
        </w:rPr>
        <w:t xml:space="preserve"> Almasaurus habbazi </w:t>
      </w:r>
      <w:r w:rsidRPr="00062F7E">
        <w:rPr>
          <w:color w:val="000000" w:themeColor="text1"/>
        </w:rPr>
        <w:t xml:space="preserve">has not been redescribed since Dutuit (1976), and it is typically excluded from phylogenetic analyses despite being represented by several complete skulls and postcrania. Schoch (2008a) recovered it as a close relative of </w:t>
      </w:r>
      <w:r w:rsidR="00733FC2">
        <w:rPr>
          <w:i/>
          <w:iCs/>
          <w:color w:val="000000" w:themeColor="text1"/>
        </w:rPr>
        <w:t>R.</w:t>
      </w:r>
      <w:r w:rsidR="00733FC2" w:rsidRPr="00062F7E">
        <w:rPr>
          <w:i/>
          <w:iCs/>
          <w:color w:val="000000" w:themeColor="text1"/>
        </w:rPr>
        <w:t xml:space="preserve"> </w:t>
      </w:r>
      <w:r w:rsidRPr="00062F7E">
        <w:rPr>
          <w:i/>
          <w:iCs/>
          <w:color w:val="000000" w:themeColor="text1"/>
        </w:rPr>
        <w:t>cosgriffi</w:t>
      </w:r>
      <w:r w:rsidRPr="00062F7E">
        <w:rPr>
          <w:color w:val="000000" w:themeColor="text1"/>
        </w:rPr>
        <w:t xml:space="preserve"> but within Trematosauria. Th</w:t>
      </w:r>
      <w:r w:rsidR="0097118D">
        <w:rPr>
          <w:color w:val="000000" w:themeColor="text1"/>
        </w:rPr>
        <w:t>at</w:t>
      </w:r>
      <w:r w:rsidRPr="00062F7E">
        <w:rPr>
          <w:color w:val="000000" w:themeColor="text1"/>
        </w:rPr>
        <w:t xml:space="preserve"> was informed </w:t>
      </w:r>
      <w:r w:rsidR="00AD5CEA">
        <w:rPr>
          <w:color w:val="000000" w:themeColor="text1"/>
        </w:rPr>
        <w:t xml:space="preserve">by an </w:t>
      </w:r>
      <w:r w:rsidRPr="00062F7E">
        <w:rPr>
          <w:color w:val="000000" w:themeColor="text1"/>
        </w:rPr>
        <w:t xml:space="preserve">interpretation of the putative LEP of </w:t>
      </w:r>
      <w:r w:rsidR="00733FC2">
        <w:rPr>
          <w:i/>
          <w:iCs/>
          <w:color w:val="000000" w:themeColor="text1"/>
        </w:rPr>
        <w:t>R.</w:t>
      </w:r>
      <w:r w:rsidR="00733FC2" w:rsidRPr="00062F7E">
        <w:rPr>
          <w:i/>
          <w:iCs/>
          <w:color w:val="000000" w:themeColor="text1"/>
        </w:rPr>
        <w:t xml:space="preserve"> </w:t>
      </w:r>
      <w:r w:rsidRPr="00062F7E">
        <w:rPr>
          <w:i/>
          <w:iCs/>
          <w:color w:val="000000" w:themeColor="text1"/>
        </w:rPr>
        <w:t>cosgriffi</w:t>
      </w:r>
      <w:r w:rsidRPr="00062F7E">
        <w:rPr>
          <w:color w:val="000000" w:themeColor="text1"/>
        </w:rPr>
        <w:t xml:space="preserve"> as a </w:t>
      </w:r>
      <w:r w:rsidRPr="00062F7E">
        <w:rPr>
          <w:color w:val="000000" w:themeColor="text1"/>
        </w:rPr>
        <w:lastRenderedPageBreak/>
        <w:t xml:space="preserve">short lacrimal like that of </w:t>
      </w:r>
      <w:r w:rsidR="00733FC2">
        <w:rPr>
          <w:i/>
          <w:iCs/>
          <w:color w:val="000000" w:themeColor="text1"/>
        </w:rPr>
        <w:t>A.</w:t>
      </w:r>
      <w:r w:rsidR="00733FC2" w:rsidRPr="00062F7E">
        <w:rPr>
          <w:i/>
          <w:iCs/>
          <w:color w:val="000000" w:themeColor="text1"/>
        </w:rPr>
        <w:t xml:space="preserve"> </w:t>
      </w:r>
      <w:r w:rsidRPr="00062F7E">
        <w:rPr>
          <w:i/>
          <w:iCs/>
          <w:color w:val="000000" w:themeColor="text1"/>
        </w:rPr>
        <w:t xml:space="preserve">habbazi, </w:t>
      </w:r>
      <w:r w:rsidRPr="00062F7E">
        <w:rPr>
          <w:color w:val="000000" w:themeColor="text1"/>
        </w:rPr>
        <w:t xml:space="preserve">although if the small element below the orbit of </w:t>
      </w:r>
      <w:r w:rsidR="00733FC2">
        <w:rPr>
          <w:i/>
          <w:iCs/>
          <w:color w:val="000000" w:themeColor="text1"/>
        </w:rPr>
        <w:t xml:space="preserve">R. </w:t>
      </w:r>
      <w:r w:rsidRPr="00062F7E">
        <w:rPr>
          <w:i/>
          <w:iCs/>
          <w:color w:val="000000" w:themeColor="text1"/>
        </w:rPr>
        <w:t>cosgriffi</w:t>
      </w:r>
      <w:r w:rsidRPr="00062F7E">
        <w:rPr>
          <w:color w:val="000000" w:themeColor="text1"/>
        </w:rPr>
        <w:t xml:space="preserve"> is a lacrimal, it is very different from </w:t>
      </w:r>
      <w:r w:rsidR="00733FC2">
        <w:rPr>
          <w:i/>
          <w:iCs/>
          <w:color w:val="000000" w:themeColor="text1"/>
        </w:rPr>
        <w:t>A.</w:t>
      </w:r>
      <w:r w:rsidR="00733FC2" w:rsidRPr="00062F7E">
        <w:rPr>
          <w:i/>
          <w:iCs/>
          <w:color w:val="000000" w:themeColor="text1"/>
        </w:rPr>
        <w:t xml:space="preserve"> </w:t>
      </w:r>
      <w:r w:rsidRPr="00062F7E">
        <w:rPr>
          <w:i/>
          <w:iCs/>
          <w:color w:val="000000" w:themeColor="text1"/>
        </w:rPr>
        <w:t>habbazi</w:t>
      </w:r>
      <w:r w:rsidRPr="00062F7E">
        <w:rPr>
          <w:color w:val="000000" w:themeColor="text1"/>
        </w:rPr>
        <w:t xml:space="preserve">. McHugh (2012) similarly recovered </w:t>
      </w:r>
      <w:r w:rsidR="00733FC2">
        <w:rPr>
          <w:i/>
          <w:iCs/>
          <w:color w:val="000000" w:themeColor="text1"/>
        </w:rPr>
        <w:t>A.</w:t>
      </w:r>
      <w:r w:rsidR="00733FC2" w:rsidRPr="00062F7E">
        <w:rPr>
          <w:i/>
          <w:iCs/>
          <w:color w:val="000000" w:themeColor="text1"/>
        </w:rPr>
        <w:t xml:space="preserve"> </w:t>
      </w:r>
      <w:r w:rsidRPr="00062F7E">
        <w:rPr>
          <w:i/>
          <w:iCs/>
          <w:color w:val="000000" w:themeColor="text1"/>
        </w:rPr>
        <w:t xml:space="preserve">habbazi </w:t>
      </w:r>
      <w:r w:rsidRPr="00062F7E">
        <w:rPr>
          <w:color w:val="000000" w:themeColor="text1"/>
        </w:rPr>
        <w:t>as a relative of the Metoposauridae within Trematosauria. The omission of this taxon</w:t>
      </w:r>
      <w:r w:rsidR="00CB1B61">
        <w:rPr>
          <w:color w:val="000000" w:themeColor="text1"/>
        </w:rPr>
        <w:t xml:space="preserve"> from most previous analyses</w:t>
      </w:r>
      <w:r w:rsidRPr="00062F7E">
        <w:rPr>
          <w:color w:val="000000" w:themeColor="text1"/>
        </w:rPr>
        <w:t xml:space="preserve"> is not surprising, but its uncertain relationships and general marginalization (it is not mentioned by Pardo et al., 2017a) urge caution in the interpretation of small-bodied Mesozoic temnospondyls.</w:t>
      </w:r>
    </w:p>
    <w:p w14:paraId="28BB8FB9" w14:textId="5FAB035A" w:rsidR="0072320A" w:rsidRPr="00062F7E" w:rsidRDefault="0072320A" w:rsidP="00662B68">
      <w:pPr>
        <w:ind w:firstLine="720"/>
        <w:rPr>
          <w:color w:val="000000" w:themeColor="text1"/>
        </w:rPr>
      </w:pPr>
      <w:r w:rsidRPr="00062F7E">
        <w:rPr>
          <w:color w:val="000000" w:themeColor="text1"/>
        </w:rPr>
        <w:t xml:space="preserve">If </w:t>
      </w:r>
      <w:r w:rsidRPr="00062F7E">
        <w:rPr>
          <w:i/>
          <w:iCs/>
          <w:color w:val="000000" w:themeColor="text1"/>
        </w:rPr>
        <w:t>A</w:t>
      </w:r>
      <w:r w:rsidR="0040252D">
        <w:rPr>
          <w:i/>
          <w:iCs/>
          <w:color w:val="000000" w:themeColor="text1"/>
        </w:rPr>
        <w:t>lmasaurus</w:t>
      </w:r>
      <w:r w:rsidRPr="00062F7E">
        <w:rPr>
          <w:i/>
          <w:iCs/>
          <w:color w:val="000000" w:themeColor="text1"/>
        </w:rPr>
        <w:t xml:space="preserve"> habbazi</w:t>
      </w:r>
      <w:r w:rsidRPr="00062F7E">
        <w:rPr>
          <w:color w:val="000000" w:themeColor="text1"/>
        </w:rPr>
        <w:t xml:space="preserve"> possesses a lacrimal and lacks an LEP (and the original interpretation of </w:t>
      </w:r>
      <w:r w:rsidRPr="00062F7E">
        <w:rPr>
          <w:i/>
          <w:iCs/>
          <w:color w:val="000000" w:themeColor="text1"/>
        </w:rPr>
        <w:t>R</w:t>
      </w:r>
      <w:r w:rsidR="00C761D6">
        <w:rPr>
          <w:i/>
          <w:iCs/>
          <w:color w:val="000000" w:themeColor="text1"/>
        </w:rPr>
        <w:t>ileymillerus</w:t>
      </w:r>
      <w:r w:rsidRPr="00062F7E">
        <w:rPr>
          <w:i/>
          <w:iCs/>
          <w:color w:val="000000" w:themeColor="text1"/>
        </w:rPr>
        <w:t xml:space="preserve"> cosgriffi </w:t>
      </w:r>
      <w:r w:rsidRPr="00062F7E">
        <w:rPr>
          <w:color w:val="000000" w:themeColor="text1"/>
        </w:rPr>
        <w:t>as lacking a lacrimal and possessing an LEP</w:t>
      </w:r>
      <w:r w:rsidR="0040252D">
        <w:rPr>
          <w:color w:val="000000" w:themeColor="text1"/>
        </w:rPr>
        <w:t xml:space="preserve"> is correct</w:t>
      </w:r>
      <w:r w:rsidRPr="00062F7E">
        <w:rPr>
          <w:color w:val="000000" w:themeColor="text1"/>
        </w:rPr>
        <w:t xml:space="preserve">), then it is probably unrelated to </w:t>
      </w:r>
      <w:r w:rsidRPr="00062F7E">
        <w:rPr>
          <w:i/>
          <w:iCs/>
          <w:color w:val="000000" w:themeColor="text1"/>
        </w:rPr>
        <w:t>C</w:t>
      </w:r>
      <w:r w:rsidR="00C761D6">
        <w:rPr>
          <w:i/>
          <w:iCs/>
          <w:color w:val="000000" w:themeColor="text1"/>
        </w:rPr>
        <w:t>hinlestegophis</w:t>
      </w:r>
      <w:r w:rsidRPr="00062F7E">
        <w:rPr>
          <w:i/>
          <w:iCs/>
          <w:color w:val="000000" w:themeColor="text1"/>
        </w:rPr>
        <w:t xml:space="preserve"> jenkinsi </w:t>
      </w:r>
      <w:r w:rsidRPr="00062F7E">
        <w:rPr>
          <w:color w:val="000000" w:themeColor="text1"/>
        </w:rPr>
        <w:t xml:space="preserve">and </w:t>
      </w:r>
      <w:r w:rsidR="00733FC2">
        <w:rPr>
          <w:i/>
          <w:iCs/>
          <w:color w:val="000000" w:themeColor="text1"/>
        </w:rPr>
        <w:t>R.</w:t>
      </w:r>
      <w:r w:rsidR="00733FC2" w:rsidRPr="00062F7E">
        <w:rPr>
          <w:i/>
          <w:iCs/>
          <w:color w:val="000000" w:themeColor="text1"/>
        </w:rPr>
        <w:t xml:space="preserve"> </w:t>
      </w:r>
      <w:r w:rsidRPr="00062F7E">
        <w:rPr>
          <w:i/>
          <w:iCs/>
          <w:color w:val="000000" w:themeColor="text1"/>
        </w:rPr>
        <w:t xml:space="preserve">cosgriffi </w:t>
      </w:r>
      <w:r w:rsidRPr="00062F7E">
        <w:rPr>
          <w:color w:val="000000" w:themeColor="text1"/>
        </w:rPr>
        <w:t xml:space="preserve">and may be </w:t>
      </w:r>
      <w:r w:rsidR="00415923">
        <w:rPr>
          <w:color w:val="000000" w:themeColor="text1"/>
        </w:rPr>
        <w:t>a</w:t>
      </w:r>
      <w:r w:rsidR="00415923" w:rsidRPr="00062F7E">
        <w:rPr>
          <w:color w:val="000000" w:themeColor="text1"/>
        </w:rPr>
        <w:t xml:space="preserve"> </w:t>
      </w:r>
      <w:r w:rsidRPr="00062F7E">
        <w:rPr>
          <w:color w:val="000000" w:themeColor="text1"/>
        </w:rPr>
        <w:t>diminutive trematosaur as Dutuit (1976) and Schoch (2008</w:t>
      </w:r>
      <w:r w:rsidR="00CF07FB">
        <w:rPr>
          <w:color w:val="000000" w:themeColor="text1"/>
        </w:rPr>
        <w:t>a</w:t>
      </w:r>
      <w:r w:rsidRPr="00062F7E">
        <w:rPr>
          <w:color w:val="000000" w:themeColor="text1"/>
        </w:rPr>
        <w:t>) suggested</w:t>
      </w:r>
      <w:r w:rsidR="006B048C" w:rsidRPr="00A155FA">
        <w:rPr>
          <w:color w:val="000000" w:themeColor="text1"/>
        </w:rPr>
        <w:t xml:space="preserve"> and as was recently recovered by Gee et al. (2021) based on codes generated from </w:t>
      </w:r>
      <w:proofErr w:type="spellStart"/>
      <w:r w:rsidR="006B048C" w:rsidRPr="00A155FA">
        <w:rPr>
          <w:color w:val="000000" w:themeColor="text1"/>
        </w:rPr>
        <w:t>Dutuit’s</w:t>
      </w:r>
      <w:proofErr w:type="spellEnd"/>
      <w:r w:rsidR="006B048C" w:rsidRPr="00A155FA">
        <w:rPr>
          <w:color w:val="000000" w:themeColor="text1"/>
        </w:rPr>
        <w:t xml:space="preserve"> description</w:t>
      </w:r>
      <w:r w:rsidRPr="00062F7E">
        <w:rPr>
          <w:color w:val="000000" w:themeColor="text1"/>
        </w:rPr>
        <w:t>. However, it would then represent an independently convergent form characterized by many of the features that these taxa share with caecilians that Pardo et al. (2017a) asserted as early transformations in caecilian evolution and therein cast</w:t>
      </w:r>
      <w:r w:rsidR="00C15A69" w:rsidRPr="00062F7E">
        <w:rPr>
          <w:color w:val="000000" w:themeColor="text1"/>
        </w:rPr>
        <w:t>s</w:t>
      </w:r>
      <w:r w:rsidR="00D40A91">
        <w:rPr>
          <w:color w:val="000000" w:themeColor="text1"/>
        </w:rPr>
        <w:t xml:space="preserve"> doubt</w:t>
      </w:r>
      <w:r w:rsidRPr="00062F7E">
        <w:rPr>
          <w:color w:val="000000" w:themeColor="text1"/>
        </w:rPr>
        <w:t xml:space="preserve"> on the robusticity of their inferred homologies</w:t>
      </w:r>
      <w:r w:rsidR="00415923">
        <w:rPr>
          <w:color w:val="000000" w:themeColor="text1"/>
        </w:rPr>
        <w:t xml:space="preserve"> (e.g., relative</w:t>
      </w:r>
      <w:r w:rsidR="0097118D">
        <w:rPr>
          <w:color w:val="000000" w:themeColor="text1"/>
        </w:rPr>
        <w:t>ly</w:t>
      </w:r>
      <w:r w:rsidR="00415923">
        <w:rPr>
          <w:color w:val="000000" w:themeColor="text1"/>
        </w:rPr>
        <w:t xml:space="preserve"> small, laterally facing orbits, occiput projecting far posteriorly and exposed dorsally</w:t>
      </w:r>
      <w:r w:rsidR="00D40935">
        <w:rPr>
          <w:color w:val="000000" w:themeColor="text1"/>
        </w:rPr>
        <w:t>, single row of coronoid teeth</w:t>
      </w:r>
      <w:r w:rsidR="00415923">
        <w:rPr>
          <w:color w:val="000000" w:themeColor="text1"/>
        </w:rPr>
        <w:t>)</w:t>
      </w:r>
      <w:r w:rsidRPr="00062F7E">
        <w:rPr>
          <w:color w:val="000000" w:themeColor="text1"/>
        </w:rPr>
        <w:t xml:space="preserve">. </w:t>
      </w:r>
      <w:r w:rsidR="006B048C" w:rsidRPr="00A155FA">
        <w:rPr>
          <w:color w:val="000000" w:themeColor="text1"/>
        </w:rPr>
        <w:t xml:space="preserve">Alternatively, </w:t>
      </w:r>
      <w:r w:rsidR="005F52A4">
        <w:rPr>
          <w:color w:val="000000" w:themeColor="text1"/>
        </w:rPr>
        <w:t>the three extinct taxa</w:t>
      </w:r>
      <w:r w:rsidR="006B048C" w:rsidRPr="00A155FA">
        <w:rPr>
          <w:color w:val="000000" w:themeColor="text1"/>
        </w:rPr>
        <w:t xml:space="preserve"> may be closely related, but it cannot be assumed that </w:t>
      </w:r>
      <w:r w:rsidR="006B048C" w:rsidRPr="00A155FA">
        <w:rPr>
          <w:i/>
          <w:iCs/>
          <w:color w:val="000000" w:themeColor="text1"/>
        </w:rPr>
        <w:t xml:space="preserve">A. habbazi </w:t>
      </w:r>
      <w:r w:rsidR="006B048C" w:rsidRPr="00A155FA">
        <w:rPr>
          <w:color w:val="000000" w:themeColor="text1"/>
        </w:rPr>
        <w:t xml:space="preserve">would merely nest with </w:t>
      </w:r>
      <w:r w:rsidR="006B048C" w:rsidRPr="00A155FA">
        <w:rPr>
          <w:i/>
          <w:iCs/>
          <w:color w:val="000000" w:themeColor="text1"/>
        </w:rPr>
        <w:t xml:space="preserve">R. cosgriffi </w:t>
      </w:r>
      <w:r w:rsidR="006B048C" w:rsidRPr="00A155FA">
        <w:rPr>
          <w:color w:val="000000" w:themeColor="text1"/>
        </w:rPr>
        <w:t xml:space="preserve">and </w:t>
      </w:r>
      <w:r w:rsidR="006B048C" w:rsidRPr="00A155FA">
        <w:rPr>
          <w:i/>
          <w:iCs/>
          <w:color w:val="000000" w:themeColor="text1"/>
        </w:rPr>
        <w:t xml:space="preserve">C. jenkinsi </w:t>
      </w:r>
      <w:r w:rsidR="006B048C" w:rsidRPr="00A155FA">
        <w:rPr>
          <w:color w:val="000000" w:themeColor="text1"/>
        </w:rPr>
        <w:t xml:space="preserve">without changes to the topology with respect to other stereospondyls or to lissamphibians. </w:t>
      </w:r>
      <w:r w:rsidRPr="00062F7E">
        <w:rPr>
          <w:color w:val="000000" w:themeColor="text1"/>
        </w:rPr>
        <w:t xml:space="preserve">Small-bodied stereospondyls remain enigmatic, but it seems probable that they merely </w:t>
      </w:r>
      <w:r w:rsidR="0097118D">
        <w:rPr>
          <w:color w:val="000000" w:themeColor="text1"/>
        </w:rPr>
        <w:t xml:space="preserve">are </w:t>
      </w:r>
      <w:proofErr w:type="spellStart"/>
      <w:r w:rsidRPr="00062F7E">
        <w:rPr>
          <w:color w:val="000000" w:themeColor="text1"/>
        </w:rPr>
        <w:t>undersampled</w:t>
      </w:r>
      <w:proofErr w:type="spellEnd"/>
      <w:r w:rsidRPr="00062F7E">
        <w:rPr>
          <w:color w:val="000000" w:themeColor="text1"/>
        </w:rPr>
        <w:t xml:space="preserve"> due to both size and ecology and could prove to be more diverse and widespread than presently recognized, especially in North America</w:t>
      </w:r>
      <w:r w:rsidR="0040252D">
        <w:rPr>
          <w:color w:val="000000" w:themeColor="text1"/>
        </w:rPr>
        <w:t>, as Pardo et al. (2017a) suggested</w:t>
      </w:r>
      <w:r w:rsidRPr="00062F7E">
        <w:rPr>
          <w:color w:val="000000" w:themeColor="text1"/>
        </w:rPr>
        <w:t>. Additional recovery and study of such taxa might confer additional support that their morphology is merely convergent with caecilians on account of their fossorial ecology (as with recumbirostran ‘microsaurs,’ longstanding candidates for lissamphibian origins more recently considered to be crown amniotes; e.g., Pardo et al., 2017b, and derivates thereof) or alternatively might provide a more compelling narrative in the stepwise acquisition of caecilian features from stereospondyls.</w:t>
      </w:r>
    </w:p>
    <w:p w14:paraId="3E8576FC" w14:textId="77777777" w:rsidR="0072320A" w:rsidRPr="00062F7E" w:rsidRDefault="0072320A" w:rsidP="00662B68">
      <w:pPr>
        <w:rPr>
          <w:color w:val="000000" w:themeColor="text1"/>
        </w:rPr>
      </w:pPr>
    </w:p>
    <w:p w14:paraId="547B4114" w14:textId="3D27AB77" w:rsidR="0072320A" w:rsidRPr="00062F7E" w:rsidRDefault="0072320A" w:rsidP="00662B68">
      <w:pPr>
        <w:rPr>
          <w:color w:val="000000" w:themeColor="text1"/>
        </w:rPr>
      </w:pPr>
      <w:r w:rsidRPr="00662B68">
        <w:rPr>
          <w:b/>
          <w:bCs/>
          <w:color w:val="000000" w:themeColor="text1"/>
        </w:rPr>
        <w:t>Co</w:t>
      </w:r>
      <w:r w:rsidR="0079468E">
        <w:rPr>
          <w:b/>
          <w:bCs/>
          <w:color w:val="000000" w:themeColor="text1"/>
        </w:rPr>
        <w:t>mparisons of</w:t>
      </w:r>
      <w:r w:rsidR="00157651">
        <w:rPr>
          <w:b/>
          <w:bCs/>
          <w:color w:val="000000" w:themeColor="text1"/>
        </w:rPr>
        <w:t xml:space="preserve"> </w:t>
      </w:r>
      <w:r w:rsidRPr="00625011">
        <w:rPr>
          <w:b/>
          <w:bCs/>
          <w:i/>
          <w:iCs/>
          <w:color w:val="000000" w:themeColor="text1"/>
        </w:rPr>
        <w:t>Funcusvermis</w:t>
      </w:r>
      <w:r w:rsidR="006A7CA6">
        <w:rPr>
          <w:b/>
          <w:bCs/>
          <w:i/>
          <w:iCs/>
          <w:color w:val="000000" w:themeColor="text1"/>
        </w:rPr>
        <w:t xml:space="preserve"> gilmorei</w:t>
      </w:r>
      <w:r w:rsidRPr="00662B68">
        <w:rPr>
          <w:b/>
          <w:bCs/>
          <w:color w:val="000000" w:themeColor="text1"/>
        </w:rPr>
        <w:t xml:space="preserve"> </w:t>
      </w:r>
      <w:r w:rsidR="00157651">
        <w:rPr>
          <w:b/>
          <w:bCs/>
          <w:color w:val="000000" w:themeColor="text1"/>
        </w:rPr>
        <w:t xml:space="preserve">to </w:t>
      </w:r>
      <w:r w:rsidR="00157651" w:rsidRPr="006A7CA6">
        <w:rPr>
          <w:b/>
          <w:bCs/>
          <w:i/>
          <w:iCs/>
          <w:color w:val="000000" w:themeColor="text1"/>
        </w:rPr>
        <w:t>Chin</w:t>
      </w:r>
      <w:r w:rsidR="00254EE3" w:rsidRPr="006A7CA6">
        <w:rPr>
          <w:b/>
          <w:bCs/>
          <w:i/>
          <w:iCs/>
          <w:color w:val="000000" w:themeColor="text1"/>
        </w:rPr>
        <w:t>lestegophis</w:t>
      </w:r>
      <w:r w:rsidR="00091FF4" w:rsidRPr="006A7CA6">
        <w:rPr>
          <w:b/>
          <w:bCs/>
          <w:i/>
          <w:iCs/>
          <w:color w:val="000000" w:themeColor="text1"/>
        </w:rPr>
        <w:t xml:space="preserve"> jenkinsi</w:t>
      </w:r>
      <w:r w:rsidR="008405A5">
        <w:rPr>
          <w:b/>
          <w:bCs/>
          <w:color w:val="000000" w:themeColor="text1"/>
        </w:rPr>
        <w:t>.</w:t>
      </w:r>
      <w:r w:rsidR="00C41FA6" w:rsidRPr="00062F7E">
        <w:rPr>
          <w:color w:val="000000" w:themeColor="text1"/>
        </w:rPr>
        <w:t xml:space="preserve"> </w:t>
      </w:r>
      <w:r w:rsidRPr="00062F7E">
        <w:rPr>
          <w:color w:val="000000" w:themeColor="text1"/>
        </w:rPr>
        <w:t xml:space="preserve">The evidence for a </w:t>
      </w:r>
      <w:r w:rsidR="00337A4B">
        <w:rPr>
          <w:color w:val="000000" w:themeColor="text1"/>
        </w:rPr>
        <w:t>d</w:t>
      </w:r>
      <w:r w:rsidR="0037401E">
        <w:rPr>
          <w:color w:val="000000" w:themeColor="text1"/>
        </w:rPr>
        <w:t>issorophoid</w:t>
      </w:r>
      <w:r w:rsidRPr="00062F7E">
        <w:rPr>
          <w:color w:val="000000" w:themeColor="text1"/>
        </w:rPr>
        <w:t xml:space="preserve"> origin of Gymnophionomorpha and a broader monophyletic origin of Lissamphibia from Dissorophoidea means that it can be assumed that the anatomy of </w:t>
      </w:r>
      <w:r w:rsidRPr="00062F7E">
        <w:rPr>
          <w:i/>
          <w:iCs/>
          <w:color w:val="000000" w:themeColor="text1"/>
        </w:rPr>
        <w:t>Funcusvermis</w:t>
      </w:r>
      <w:r w:rsidR="001D449E">
        <w:rPr>
          <w:i/>
          <w:iCs/>
          <w:color w:val="000000" w:themeColor="text1"/>
        </w:rPr>
        <w:t xml:space="preserve"> gilmorei</w:t>
      </w:r>
      <w:r w:rsidRPr="00062F7E">
        <w:rPr>
          <w:color w:val="000000" w:themeColor="text1"/>
        </w:rPr>
        <w:t xml:space="preserve">, not that of </w:t>
      </w:r>
      <w:r w:rsidRPr="00062F7E">
        <w:rPr>
          <w:i/>
          <w:iCs/>
          <w:color w:val="000000" w:themeColor="text1"/>
        </w:rPr>
        <w:t>Chinlestegophis</w:t>
      </w:r>
      <w:r w:rsidR="001D449E">
        <w:rPr>
          <w:i/>
          <w:iCs/>
          <w:color w:val="000000" w:themeColor="text1"/>
        </w:rPr>
        <w:t xml:space="preserve"> jenkinsi</w:t>
      </w:r>
      <w:r w:rsidRPr="00062F7E">
        <w:rPr>
          <w:color w:val="000000" w:themeColor="text1"/>
        </w:rPr>
        <w:t xml:space="preserve">, approximates the </w:t>
      </w:r>
      <w:r w:rsidR="00337A4B">
        <w:rPr>
          <w:color w:val="000000" w:themeColor="text1"/>
        </w:rPr>
        <w:t>plesiomorphic</w:t>
      </w:r>
      <w:r w:rsidR="00337A4B" w:rsidRPr="00062F7E">
        <w:rPr>
          <w:color w:val="000000" w:themeColor="text1"/>
        </w:rPr>
        <w:t xml:space="preserve"> </w:t>
      </w:r>
      <w:r w:rsidRPr="00062F7E">
        <w:rPr>
          <w:color w:val="000000" w:themeColor="text1"/>
        </w:rPr>
        <w:t>condition</w:t>
      </w:r>
      <w:r w:rsidR="00337A4B">
        <w:rPr>
          <w:color w:val="000000" w:themeColor="text1"/>
        </w:rPr>
        <w:t>s</w:t>
      </w:r>
      <w:r w:rsidRPr="00062F7E">
        <w:rPr>
          <w:color w:val="000000" w:themeColor="text1"/>
        </w:rPr>
        <w:t xml:space="preserve"> for Gymnophionomorpha.</w:t>
      </w:r>
      <w:r w:rsidR="009A1385">
        <w:rPr>
          <w:color w:val="000000" w:themeColor="text1"/>
        </w:rPr>
        <w:t xml:space="preserve"> </w:t>
      </w:r>
      <w:r w:rsidRPr="00062F7E">
        <w:rPr>
          <w:color w:val="000000" w:themeColor="text1"/>
        </w:rPr>
        <w:t>The differing interpretations for caecilian evolution based on which taxon is consider</w:t>
      </w:r>
      <w:r w:rsidR="008D59A1">
        <w:rPr>
          <w:color w:val="000000" w:themeColor="text1"/>
        </w:rPr>
        <w:t>ed</w:t>
      </w:r>
      <w:r w:rsidRPr="00062F7E">
        <w:rPr>
          <w:color w:val="000000" w:themeColor="text1"/>
        </w:rPr>
        <w:t xml:space="preserve"> as the </w:t>
      </w:r>
      <w:r w:rsidR="00D329F1">
        <w:rPr>
          <w:color w:val="000000" w:themeColor="text1"/>
        </w:rPr>
        <w:t>plesiomorphic</w:t>
      </w:r>
      <w:r w:rsidR="00D329F1" w:rsidRPr="00062F7E">
        <w:rPr>
          <w:color w:val="000000" w:themeColor="text1"/>
        </w:rPr>
        <w:t xml:space="preserve"> </w:t>
      </w:r>
      <w:r w:rsidRPr="00062F7E">
        <w:rPr>
          <w:color w:val="000000" w:themeColor="text1"/>
        </w:rPr>
        <w:t>condition are summarized below.</w:t>
      </w:r>
    </w:p>
    <w:p w14:paraId="177C7954" w14:textId="57147127" w:rsidR="0072320A" w:rsidRPr="00062F7E" w:rsidRDefault="0072320A" w:rsidP="005229E5">
      <w:pPr>
        <w:pStyle w:val="ListParagraph"/>
        <w:numPr>
          <w:ilvl w:val="0"/>
          <w:numId w:val="2"/>
        </w:numPr>
        <w:rPr>
          <w:rFonts w:ascii="Times New Roman" w:hAnsi="Times New Roman" w:cs="Times New Roman"/>
          <w:color w:val="000000" w:themeColor="text1"/>
        </w:rPr>
      </w:pPr>
      <w:r w:rsidRPr="00062F7E">
        <w:rPr>
          <w:rFonts w:ascii="Times New Roman" w:hAnsi="Times New Roman" w:cs="Times New Roman"/>
          <w:i/>
          <w:iCs/>
          <w:color w:val="000000" w:themeColor="text1"/>
        </w:rPr>
        <w:t xml:space="preserve">Formation of the maxillopalatine: </w:t>
      </w:r>
      <w:r w:rsidRPr="00062F7E">
        <w:rPr>
          <w:rFonts w:ascii="Times New Roman" w:hAnsi="Times New Roman" w:cs="Times New Roman"/>
          <w:color w:val="000000" w:themeColor="text1"/>
        </w:rPr>
        <w:t xml:space="preserve">The </w:t>
      </w:r>
      <w:proofErr w:type="spellStart"/>
      <w:r w:rsidR="00FA6E2E">
        <w:rPr>
          <w:rFonts w:ascii="Times New Roman" w:hAnsi="Times New Roman" w:cs="Times New Roman"/>
          <w:color w:val="000000" w:themeColor="text1"/>
        </w:rPr>
        <w:t>coossification</w:t>
      </w:r>
      <w:proofErr w:type="spellEnd"/>
      <w:r w:rsidR="00FA6E2E" w:rsidRPr="00062F7E">
        <w:rPr>
          <w:rFonts w:ascii="Times New Roman" w:hAnsi="Times New Roman" w:cs="Times New Roman"/>
          <w:color w:val="000000" w:themeColor="text1"/>
        </w:rPr>
        <w:t xml:space="preserve"> </w:t>
      </w:r>
      <w:r w:rsidRPr="00062F7E">
        <w:rPr>
          <w:rFonts w:ascii="Times New Roman" w:hAnsi="Times New Roman" w:cs="Times New Roman"/>
          <w:color w:val="000000" w:themeColor="text1"/>
        </w:rPr>
        <w:t xml:space="preserve">of the lacrimal to the maxilla in </w:t>
      </w:r>
      <w:r w:rsidRPr="00062F7E">
        <w:rPr>
          <w:rFonts w:ascii="Times New Roman" w:hAnsi="Times New Roman" w:cs="Times New Roman"/>
          <w:i/>
          <w:iCs/>
          <w:color w:val="000000" w:themeColor="text1"/>
        </w:rPr>
        <w:t>Chinlestegophis</w:t>
      </w:r>
      <w:r w:rsidR="001D449E">
        <w:rPr>
          <w:rFonts w:ascii="Times New Roman" w:hAnsi="Times New Roman" w:cs="Times New Roman"/>
          <w:i/>
          <w:iCs/>
          <w:color w:val="000000" w:themeColor="text1"/>
        </w:rPr>
        <w:t xml:space="preserve"> jenkinsi</w:t>
      </w:r>
      <w:r w:rsidRPr="00062F7E">
        <w:rPr>
          <w:rFonts w:ascii="Times New Roman" w:hAnsi="Times New Roman" w:cs="Times New Roman"/>
          <w:color w:val="000000" w:themeColor="text1"/>
        </w:rPr>
        <w:t xml:space="preserve"> was interpreted as incipient formation of the gymnophionan maxillopalatine (Pardo et al., 2017a), but the </w:t>
      </w:r>
      <w:r w:rsidR="0037401E">
        <w:rPr>
          <w:rFonts w:ascii="Times New Roman" w:hAnsi="Times New Roman" w:cs="Times New Roman"/>
          <w:color w:val="000000" w:themeColor="text1"/>
        </w:rPr>
        <w:t xml:space="preserve">external </w:t>
      </w:r>
      <w:r w:rsidR="0097118D">
        <w:rPr>
          <w:rFonts w:ascii="Times New Roman" w:hAnsi="Times New Roman" w:cs="Times New Roman"/>
          <w:color w:val="000000" w:themeColor="text1"/>
        </w:rPr>
        <w:t xml:space="preserve">and </w:t>
      </w:r>
      <w:r w:rsidR="0037401E">
        <w:rPr>
          <w:rFonts w:ascii="Times New Roman" w:hAnsi="Times New Roman" w:cs="Times New Roman"/>
          <w:color w:val="000000" w:themeColor="text1"/>
        </w:rPr>
        <w:t xml:space="preserve">internal </w:t>
      </w:r>
      <w:r w:rsidRPr="00062F7E">
        <w:rPr>
          <w:rFonts w:ascii="Times New Roman" w:hAnsi="Times New Roman" w:cs="Times New Roman"/>
          <w:color w:val="000000" w:themeColor="text1"/>
        </w:rPr>
        <w:t>morphology of</w:t>
      </w:r>
      <w:r w:rsidR="004960D0">
        <w:rPr>
          <w:rFonts w:ascii="Times New Roman" w:hAnsi="Times New Roman" w:cs="Times New Roman"/>
          <w:color w:val="000000" w:themeColor="text1"/>
        </w:rPr>
        <w:t xml:space="preserve"> </w:t>
      </w:r>
      <w:r w:rsidR="00ED5B1D">
        <w:rPr>
          <w:rFonts w:ascii="Times New Roman" w:hAnsi="Times New Roman" w:cs="Times New Roman"/>
          <w:color w:val="000000" w:themeColor="text1"/>
        </w:rPr>
        <w:t>the</w:t>
      </w:r>
      <w:r w:rsidRPr="00062F7E">
        <w:rPr>
          <w:rFonts w:ascii="Times New Roman" w:hAnsi="Times New Roman" w:cs="Times New Roman"/>
          <w:color w:val="000000" w:themeColor="text1"/>
        </w:rPr>
        <w:t xml:space="preserve"> </w:t>
      </w:r>
      <w:r w:rsidRPr="00062F7E">
        <w:rPr>
          <w:rFonts w:ascii="Times New Roman" w:hAnsi="Times New Roman" w:cs="Times New Roman"/>
          <w:i/>
          <w:iCs/>
          <w:color w:val="000000" w:themeColor="text1"/>
        </w:rPr>
        <w:t>Funcusvermis</w:t>
      </w:r>
      <w:r w:rsidR="001D449E">
        <w:rPr>
          <w:rFonts w:ascii="Times New Roman" w:hAnsi="Times New Roman" w:cs="Times New Roman"/>
          <w:i/>
          <w:iCs/>
          <w:color w:val="000000" w:themeColor="text1"/>
        </w:rPr>
        <w:t xml:space="preserve"> gilmorei</w:t>
      </w:r>
      <w:r w:rsidR="00ED5B1D">
        <w:rPr>
          <w:rFonts w:ascii="Times New Roman" w:hAnsi="Times New Roman" w:cs="Times New Roman"/>
          <w:i/>
          <w:iCs/>
          <w:color w:val="000000" w:themeColor="text1"/>
        </w:rPr>
        <w:t xml:space="preserve"> </w:t>
      </w:r>
      <w:r w:rsidR="00ED5B1D" w:rsidRPr="00EA1DDB">
        <w:rPr>
          <w:rFonts w:ascii="Times New Roman" w:hAnsi="Times New Roman" w:cs="Times New Roman"/>
          <w:color w:val="000000" w:themeColor="text1"/>
        </w:rPr>
        <w:t>maxillopalati</w:t>
      </w:r>
      <w:r w:rsidR="00EA1DDB" w:rsidRPr="00EA1DDB">
        <w:rPr>
          <w:rFonts w:ascii="Times New Roman" w:hAnsi="Times New Roman" w:cs="Times New Roman"/>
          <w:color w:val="000000" w:themeColor="text1"/>
        </w:rPr>
        <w:t>ne</w:t>
      </w:r>
      <w:r w:rsidRPr="00062F7E">
        <w:rPr>
          <w:rFonts w:ascii="Times New Roman" w:hAnsi="Times New Roman" w:cs="Times New Roman"/>
          <w:color w:val="000000" w:themeColor="text1"/>
        </w:rPr>
        <w:t xml:space="preserve"> </w:t>
      </w:r>
      <w:r w:rsidR="009A1385">
        <w:rPr>
          <w:rFonts w:ascii="Times New Roman" w:hAnsi="Times New Roman" w:cs="Times New Roman"/>
          <w:color w:val="000000" w:themeColor="text1"/>
        </w:rPr>
        <w:t>(</w:t>
      </w:r>
      <w:r w:rsidR="0037401E">
        <w:rPr>
          <w:rFonts w:ascii="Times New Roman" w:hAnsi="Times New Roman" w:cs="Times New Roman"/>
          <w:color w:val="000000" w:themeColor="text1"/>
        </w:rPr>
        <w:t>Fig.</w:t>
      </w:r>
      <w:r w:rsidR="00EB7BB6">
        <w:rPr>
          <w:rFonts w:ascii="Times New Roman" w:hAnsi="Times New Roman" w:cs="Times New Roman"/>
          <w:color w:val="000000" w:themeColor="text1"/>
        </w:rPr>
        <w:t xml:space="preserve"> </w:t>
      </w:r>
      <w:r w:rsidR="0037401E">
        <w:rPr>
          <w:rFonts w:ascii="Times New Roman" w:hAnsi="Times New Roman" w:cs="Times New Roman"/>
          <w:color w:val="000000" w:themeColor="text1"/>
        </w:rPr>
        <w:t xml:space="preserve">1, </w:t>
      </w:r>
      <w:r w:rsidR="009A1385">
        <w:rPr>
          <w:rFonts w:ascii="Times New Roman" w:hAnsi="Times New Roman" w:cs="Times New Roman"/>
          <w:color w:val="000000" w:themeColor="text1"/>
        </w:rPr>
        <w:t xml:space="preserve">Extended Data Fig. </w:t>
      </w:r>
      <w:r w:rsidR="00EB7BB6">
        <w:rPr>
          <w:rFonts w:ascii="Times New Roman" w:hAnsi="Times New Roman" w:cs="Times New Roman"/>
          <w:color w:val="000000" w:themeColor="text1"/>
        </w:rPr>
        <w:t>4</w:t>
      </w:r>
      <w:r w:rsidR="009A1385">
        <w:rPr>
          <w:rFonts w:ascii="Times New Roman" w:hAnsi="Times New Roman" w:cs="Times New Roman"/>
          <w:color w:val="000000" w:themeColor="text1"/>
        </w:rPr>
        <w:t xml:space="preserve">) </w:t>
      </w:r>
      <w:r w:rsidRPr="00062F7E">
        <w:rPr>
          <w:rFonts w:ascii="Times New Roman" w:hAnsi="Times New Roman" w:cs="Times New Roman"/>
          <w:color w:val="000000" w:themeColor="text1"/>
        </w:rPr>
        <w:t>shows that the nasolacrimal duct was likely not enclosed by the maxillopalatine in ancestral gymnophionomorphs, suggesting that its closure within the maxillopalatine occurred later in the common ancestor of gymnophionans. This warrants additional examination of temnospondyls using CT methods to assess the passage of the nasolacrimal duct in taxa with various lacrimal morphologies as well as those lacking lacrimals.</w:t>
      </w:r>
    </w:p>
    <w:p w14:paraId="1D4755EC" w14:textId="1F9F734B" w:rsidR="0072320A" w:rsidRPr="00062F7E" w:rsidRDefault="0072320A" w:rsidP="005229E5">
      <w:pPr>
        <w:pStyle w:val="ListParagraph"/>
        <w:numPr>
          <w:ilvl w:val="0"/>
          <w:numId w:val="2"/>
        </w:numPr>
        <w:rPr>
          <w:rFonts w:ascii="Times New Roman" w:hAnsi="Times New Roman" w:cs="Times New Roman"/>
          <w:color w:val="000000" w:themeColor="text1"/>
        </w:rPr>
      </w:pPr>
      <w:r w:rsidRPr="00062F7E">
        <w:rPr>
          <w:rFonts w:ascii="Times New Roman" w:hAnsi="Times New Roman" w:cs="Times New Roman"/>
          <w:i/>
          <w:iCs/>
          <w:color w:val="000000" w:themeColor="text1"/>
        </w:rPr>
        <w:t xml:space="preserve">Orbit size reduction: </w:t>
      </w:r>
      <w:r w:rsidRPr="00062F7E">
        <w:rPr>
          <w:rFonts w:ascii="Times New Roman" w:hAnsi="Times New Roman" w:cs="Times New Roman"/>
          <w:color w:val="000000" w:themeColor="text1"/>
        </w:rPr>
        <w:t xml:space="preserve">The small, laterally directed orbits present in </w:t>
      </w:r>
      <w:r w:rsidRPr="00062F7E">
        <w:rPr>
          <w:rFonts w:ascii="Times New Roman" w:hAnsi="Times New Roman" w:cs="Times New Roman"/>
          <w:i/>
          <w:iCs/>
          <w:color w:val="000000" w:themeColor="text1"/>
        </w:rPr>
        <w:t>Chinlestegophis</w:t>
      </w:r>
      <w:r w:rsidR="001D449E">
        <w:rPr>
          <w:rFonts w:ascii="Times New Roman" w:hAnsi="Times New Roman" w:cs="Times New Roman"/>
          <w:i/>
          <w:iCs/>
          <w:color w:val="000000" w:themeColor="text1"/>
        </w:rPr>
        <w:t xml:space="preserve"> </w:t>
      </w:r>
      <w:r w:rsidR="001D449E" w:rsidRPr="001D449E">
        <w:rPr>
          <w:rFonts w:ascii="Times New Roman" w:hAnsi="Times New Roman" w:cs="Times New Roman"/>
          <w:i/>
          <w:iCs/>
          <w:color w:val="000000" w:themeColor="text1"/>
        </w:rPr>
        <w:t>jenkinsi</w:t>
      </w:r>
      <w:r w:rsidRPr="00062F7E">
        <w:rPr>
          <w:rFonts w:ascii="Times New Roman" w:hAnsi="Times New Roman" w:cs="Times New Roman"/>
          <w:color w:val="000000" w:themeColor="text1"/>
        </w:rPr>
        <w:t xml:space="preserve"> and </w:t>
      </w:r>
      <w:r w:rsidRPr="00062F7E">
        <w:rPr>
          <w:rFonts w:ascii="Times New Roman" w:hAnsi="Times New Roman" w:cs="Times New Roman"/>
          <w:i/>
          <w:iCs/>
          <w:color w:val="000000" w:themeColor="text1"/>
        </w:rPr>
        <w:t>Rileymillerus</w:t>
      </w:r>
      <w:r w:rsidR="001D449E">
        <w:rPr>
          <w:rFonts w:ascii="Times New Roman" w:hAnsi="Times New Roman" w:cs="Times New Roman"/>
          <w:i/>
          <w:iCs/>
          <w:color w:val="000000" w:themeColor="text1"/>
        </w:rPr>
        <w:t xml:space="preserve"> cosgriffi</w:t>
      </w:r>
      <w:r w:rsidRPr="00062F7E">
        <w:rPr>
          <w:rFonts w:ascii="Times New Roman" w:hAnsi="Times New Roman" w:cs="Times New Roman"/>
          <w:color w:val="000000" w:themeColor="text1"/>
        </w:rPr>
        <w:t xml:space="preserve"> were suggested as homologous to similar orbital size and position in </w:t>
      </w:r>
      <w:r w:rsidRPr="00062F7E">
        <w:rPr>
          <w:rFonts w:ascii="Times New Roman" w:hAnsi="Times New Roman" w:cs="Times New Roman"/>
          <w:i/>
          <w:iCs/>
          <w:color w:val="000000" w:themeColor="text1"/>
        </w:rPr>
        <w:t>Eocaecilia</w:t>
      </w:r>
      <w:r w:rsidR="001D449E">
        <w:rPr>
          <w:rFonts w:ascii="Times New Roman" w:hAnsi="Times New Roman" w:cs="Times New Roman"/>
          <w:i/>
          <w:iCs/>
          <w:color w:val="000000" w:themeColor="text1"/>
        </w:rPr>
        <w:t xml:space="preserve"> micropodia</w:t>
      </w:r>
      <w:r w:rsidRPr="00062F7E">
        <w:rPr>
          <w:rFonts w:ascii="Times New Roman" w:hAnsi="Times New Roman" w:cs="Times New Roman"/>
          <w:color w:val="000000" w:themeColor="text1"/>
        </w:rPr>
        <w:t xml:space="preserve"> and gymnophionans, however the incompletely preserved orbital margin of </w:t>
      </w:r>
      <w:r w:rsidRPr="00062F7E">
        <w:rPr>
          <w:rFonts w:ascii="Times New Roman" w:hAnsi="Times New Roman" w:cs="Times New Roman"/>
          <w:i/>
          <w:iCs/>
          <w:color w:val="000000" w:themeColor="text1"/>
        </w:rPr>
        <w:t>Funcusvermis</w:t>
      </w:r>
      <w:r w:rsidR="001D449E">
        <w:rPr>
          <w:rFonts w:ascii="Times New Roman" w:hAnsi="Times New Roman" w:cs="Times New Roman"/>
          <w:i/>
          <w:iCs/>
          <w:color w:val="000000" w:themeColor="text1"/>
        </w:rPr>
        <w:t xml:space="preserve"> gilmorei</w:t>
      </w:r>
      <w:r w:rsidRPr="00062F7E">
        <w:rPr>
          <w:rFonts w:ascii="Times New Roman" w:hAnsi="Times New Roman" w:cs="Times New Roman"/>
          <w:color w:val="000000" w:themeColor="text1"/>
        </w:rPr>
        <w:t xml:space="preserve"> suggests relatively large orbits, more </w:t>
      </w:r>
      <w:r w:rsidRPr="00062F7E">
        <w:rPr>
          <w:rFonts w:ascii="Times New Roman" w:hAnsi="Times New Roman" w:cs="Times New Roman"/>
          <w:color w:val="000000" w:themeColor="text1"/>
        </w:rPr>
        <w:lastRenderedPageBreak/>
        <w:t xml:space="preserve">comparable to those in dissorophoids. This suggests that the orbits in ancestral </w:t>
      </w:r>
      <w:proofErr w:type="spellStart"/>
      <w:r w:rsidRPr="00062F7E">
        <w:rPr>
          <w:rFonts w:ascii="Times New Roman" w:hAnsi="Times New Roman" w:cs="Times New Roman"/>
          <w:color w:val="000000" w:themeColor="text1"/>
        </w:rPr>
        <w:t>gymnophionomorphans</w:t>
      </w:r>
      <w:proofErr w:type="spellEnd"/>
      <w:r w:rsidRPr="00062F7E">
        <w:rPr>
          <w:rFonts w:ascii="Times New Roman" w:hAnsi="Times New Roman" w:cs="Times New Roman"/>
          <w:color w:val="000000" w:themeColor="text1"/>
        </w:rPr>
        <w:t xml:space="preserve"> were initially large, later reducing in size in the common ancestor of </w:t>
      </w:r>
      <w:r w:rsidR="001D449E">
        <w:rPr>
          <w:rFonts w:ascii="Times New Roman" w:hAnsi="Times New Roman" w:cs="Times New Roman"/>
          <w:i/>
          <w:iCs/>
          <w:color w:val="000000" w:themeColor="text1"/>
        </w:rPr>
        <w:t>E. micropodia</w:t>
      </w:r>
      <w:r w:rsidR="001D449E" w:rsidRPr="00062F7E">
        <w:rPr>
          <w:rFonts w:ascii="Times New Roman" w:hAnsi="Times New Roman" w:cs="Times New Roman"/>
          <w:color w:val="000000" w:themeColor="text1"/>
        </w:rPr>
        <w:t xml:space="preserve"> </w:t>
      </w:r>
      <w:r w:rsidRPr="00062F7E">
        <w:rPr>
          <w:rFonts w:ascii="Times New Roman" w:hAnsi="Times New Roman" w:cs="Times New Roman"/>
          <w:color w:val="000000" w:themeColor="text1"/>
        </w:rPr>
        <w:t xml:space="preserve">and gymnophionans. </w:t>
      </w:r>
    </w:p>
    <w:p w14:paraId="54B8005F" w14:textId="2C0D7940" w:rsidR="0072320A" w:rsidRPr="00062F7E" w:rsidRDefault="0072320A" w:rsidP="005229E5">
      <w:pPr>
        <w:pStyle w:val="ListParagraph"/>
        <w:numPr>
          <w:ilvl w:val="0"/>
          <w:numId w:val="2"/>
        </w:numPr>
        <w:rPr>
          <w:rFonts w:ascii="Times New Roman" w:hAnsi="Times New Roman" w:cs="Times New Roman"/>
          <w:color w:val="000000" w:themeColor="text1"/>
        </w:rPr>
      </w:pPr>
      <w:r w:rsidRPr="00062F7E">
        <w:rPr>
          <w:rFonts w:ascii="Times New Roman" w:hAnsi="Times New Roman" w:cs="Times New Roman"/>
          <w:i/>
          <w:iCs/>
          <w:color w:val="000000" w:themeColor="text1"/>
        </w:rPr>
        <w:t xml:space="preserve">Consolidation of lower jaw elements: </w:t>
      </w:r>
      <w:r w:rsidRPr="00062F7E">
        <w:rPr>
          <w:rFonts w:ascii="Times New Roman" w:hAnsi="Times New Roman" w:cs="Times New Roman"/>
          <w:color w:val="000000" w:themeColor="text1"/>
        </w:rPr>
        <w:t xml:space="preserve">The lower jaw of </w:t>
      </w:r>
      <w:r w:rsidRPr="00062F7E">
        <w:rPr>
          <w:rFonts w:ascii="Times New Roman" w:hAnsi="Times New Roman" w:cs="Times New Roman"/>
          <w:i/>
          <w:iCs/>
          <w:color w:val="000000" w:themeColor="text1"/>
        </w:rPr>
        <w:t>Chinlestegophis</w:t>
      </w:r>
      <w:r w:rsidR="001D449E">
        <w:rPr>
          <w:rFonts w:ascii="Times New Roman" w:hAnsi="Times New Roman" w:cs="Times New Roman"/>
          <w:i/>
          <w:iCs/>
          <w:color w:val="000000" w:themeColor="text1"/>
        </w:rPr>
        <w:t xml:space="preserve"> jenkinsi</w:t>
      </w:r>
      <w:r w:rsidRPr="00062F7E">
        <w:rPr>
          <w:rFonts w:ascii="Times New Roman" w:hAnsi="Times New Roman" w:cs="Times New Roman"/>
          <w:color w:val="000000" w:themeColor="text1"/>
        </w:rPr>
        <w:t xml:space="preserve"> contains all the bones present ancestrally in temnospondyls, differing from the condition in </w:t>
      </w:r>
      <w:r w:rsidRPr="00062F7E">
        <w:rPr>
          <w:rFonts w:ascii="Times New Roman" w:hAnsi="Times New Roman" w:cs="Times New Roman"/>
          <w:i/>
          <w:iCs/>
          <w:color w:val="000000" w:themeColor="text1"/>
        </w:rPr>
        <w:t>Funcusvermis</w:t>
      </w:r>
      <w:r w:rsidR="001D449E">
        <w:rPr>
          <w:rFonts w:ascii="Times New Roman" w:hAnsi="Times New Roman" w:cs="Times New Roman"/>
          <w:i/>
          <w:iCs/>
          <w:color w:val="000000" w:themeColor="text1"/>
        </w:rPr>
        <w:t xml:space="preserve"> gilmorei</w:t>
      </w:r>
      <w:r w:rsidRPr="00062F7E">
        <w:rPr>
          <w:rFonts w:ascii="Times New Roman" w:hAnsi="Times New Roman" w:cs="Times New Roman"/>
          <w:color w:val="000000" w:themeColor="text1"/>
        </w:rPr>
        <w:t xml:space="preserve"> and all other gymnophionomorphs where the lower jaw is formed by the pseudoangular and pseudodentary. </w:t>
      </w:r>
    </w:p>
    <w:p w14:paraId="2F78FF20" w14:textId="5BE3015D" w:rsidR="0036693B" w:rsidRPr="00062F7E" w:rsidRDefault="0072320A" w:rsidP="005229E5">
      <w:pPr>
        <w:pStyle w:val="ListParagraph"/>
        <w:numPr>
          <w:ilvl w:val="0"/>
          <w:numId w:val="2"/>
        </w:numPr>
        <w:rPr>
          <w:rFonts w:ascii="Times New Roman" w:hAnsi="Times New Roman" w:cs="Times New Roman"/>
          <w:color w:val="000000" w:themeColor="text1"/>
        </w:rPr>
      </w:pPr>
      <w:bookmarkStart w:id="12" w:name="_Hlk83727435"/>
      <w:r w:rsidRPr="00062F7E">
        <w:rPr>
          <w:rFonts w:ascii="Times New Roman" w:hAnsi="Times New Roman" w:cs="Times New Roman"/>
          <w:i/>
          <w:iCs/>
          <w:color w:val="000000" w:themeColor="text1"/>
        </w:rPr>
        <w:t xml:space="preserve">Secondary tooth row in the lower jaw: </w:t>
      </w:r>
      <w:r w:rsidRPr="00062F7E">
        <w:rPr>
          <w:rFonts w:ascii="Times New Roman" w:hAnsi="Times New Roman" w:cs="Times New Roman"/>
          <w:color w:val="000000" w:themeColor="text1"/>
        </w:rPr>
        <w:t xml:space="preserve">The coronoid series in </w:t>
      </w:r>
      <w:r w:rsidRPr="00062F7E">
        <w:rPr>
          <w:rFonts w:ascii="Times New Roman" w:hAnsi="Times New Roman" w:cs="Times New Roman"/>
          <w:i/>
          <w:iCs/>
          <w:color w:val="000000" w:themeColor="text1"/>
        </w:rPr>
        <w:t>Chinlestegophis</w:t>
      </w:r>
      <w:r w:rsidR="001D449E">
        <w:rPr>
          <w:rFonts w:ascii="Times New Roman" w:hAnsi="Times New Roman" w:cs="Times New Roman"/>
          <w:i/>
          <w:iCs/>
          <w:color w:val="000000" w:themeColor="text1"/>
        </w:rPr>
        <w:t xml:space="preserve"> jenkinsi</w:t>
      </w:r>
      <w:r w:rsidRPr="00062F7E">
        <w:rPr>
          <w:rFonts w:ascii="Times New Roman" w:hAnsi="Times New Roman" w:cs="Times New Roman"/>
          <w:color w:val="000000" w:themeColor="text1"/>
        </w:rPr>
        <w:t xml:space="preserve"> bears a continuous row of </w:t>
      </w:r>
      <w:r w:rsidR="00233444" w:rsidRPr="00062F7E">
        <w:rPr>
          <w:rFonts w:ascii="Times New Roman" w:hAnsi="Times New Roman" w:cs="Times New Roman"/>
          <w:color w:val="000000" w:themeColor="text1"/>
        </w:rPr>
        <w:t xml:space="preserve">non-pedicellate </w:t>
      </w:r>
      <w:r w:rsidRPr="00062F7E">
        <w:rPr>
          <w:rFonts w:ascii="Times New Roman" w:hAnsi="Times New Roman" w:cs="Times New Roman"/>
          <w:color w:val="000000" w:themeColor="text1"/>
        </w:rPr>
        <w:t xml:space="preserve">teeth which form a parallel row to the marginal dentition of the dentary; this was suggested to represent an incipient </w:t>
      </w:r>
      <w:proofErr w:type="spellStart"/>
      <w:r w:rsidRPr="00062F7E">
        <w:rPr>
          <w:rFonts w:ascii="Times New Roman" w:hAnsi="Times New Roman" w:cs="Times New Roman"/>
          <w:color w:val="000000" w:themeColor="text1"/>
        </w:rPr>
        <w:t>pseudodentary</w:t>
      </w:r>
      <w:proofErr w:type="spellEnd"/>
      <w:r w:rsidRPr="00062F7E">
        <w:rPr>
          <w:rFonts w:ascii="Times New Roman" w:hAnsi="Times New Roman" w:cs="Times New Roman"/>
          <w:color w:val="000000" w:themeColor="text1"/>
        </w:rPr>
        <w:t xml:space="preserve"> prior to </w:t>
      </w:r>
      <w:proofErr w:type="spellStart"/>
      <w:r w:rsidR="00FA6E2E">
        <w:rPr>
          <w:rFonts w:ascii="Times New Roman" w:hAnsi="Times New Roman" w:cs="Times New Roman"/>
          <w:color w:val="000000" w:themeColor="text1"/>
        </w:rPr>
        <w:t>coossification</w:t>
      </w:r>
      <w:proofErr w:type="spellEnd"/>
      <w:r w:rsidR="00FA6E2E" w:rsidRPr="00062F7E">
        <w:rPr>
          <w:rFonts w:ascii="Times New Roman" w:hAnsi="Times New Roman" w:cs="Times New Roman"/>
          <w:color w:val="000000" w:themeColor="text1"/>
        </w:rPr>
        <w:t xml:space="preserve"> </w:t>
      </w:r>
      <w:r w:rsidRPr="00062F7E">
        <w:rPr>
          <w:rFonts w:ascii="Times New Roman" w:hAnsi="Times New Roman" w:cs="Times New Roman"/>
          <w:color w:val="000000" w:themeColor="text1"/>
        </w:rPr>
        <w:t>of the coronoid series to the dentary forming the double row of dentition typical of gymnophionomorphs.</w:t>
      </w:r>
      <w:r w:rsidR="00C15A69" w:rsidRPr="00062F7E">
        <w:rPr>
          <w:rFonts w:ascii="Times New Roman" w:hAnsi="Times New Roman" w:cs="Times New Roman"/>
          <w:color w:val="000000" w:themeColor="text1"/>
        </w:rPr>
        <w:t xml:space="preserve"> However, </w:t>
      </w:r>
      <w:r w:rsidR="00233444" w:rsidRPr="00062F7E">
        <w:rPr>
          <w:rFonts w:ascii="Times New Roman" w:hAnsi="Times New Roman" w:cs="Times New Roman"/>
          <w:color w:val="000000" w:themeColor="text1"/>
        </w:rPr>
        <w:t xml:space="preserve">the </w:t>
      </w:r>
      <w:proofErr w:type="spellStart"/>
      <w:r w:rsidR="00233444" w:rsidRPr="00062F7E">
        <w:rPr>
          <w:rFonts w:ascii="Times New Roman" w:hAnsi="Times New Roman" w:cs="Times New Roman"/>
          <w:color w:val="000000" w:themeColor="text1"/>
        </w:rPr>
        <w:t>mesially</w:t>
      </w:r>
      <w:proofErr w:type="spellEnd"/>
      <w:r w:rsidR="00233444" w:rsidRPr="00062F7E">
        <w:rPr>
          <w:rFonts w:ascii="Times New Roman" w:hAnsi="Times New Roman" w:cs="Times New Roman"/>
          <w:color w:val="000000" w:themeColor="text1"/>
        </w:rPr>
        <w:t xml:space="preserve"> restricted lingual tooth row in </w:t>
      </w:r>
      <w:r w:rsidR="00233444" w:rsidRPr="00062F7E">
        <w:rPr>
          <w:rFonts w:ascii="Times New Roman" w:hAnsi="Times New Roman" w:cs="Times New Roman"/>
          <w:i/>
          <w:iCs/>
          <w:color w:val="000000" w:themeColor="text1"/>
        </w:rPr>
        <w:t>Funcusvermis</w:t>
      </w:r>
      <w:r w:rsidR="001D449E">
        <w:rPr>
          <w:rFonts w:ascii="Times New Roman" w:hAnsi="Times New Roman" w:cs="Times New Roman"/>
          <w:i/>
          <w:iCs/>
          <w:color w:val="000000" w:themeColor="text1"/>
        </w:rPr>
        <w:t xml:space="preserve"> gilmorei</w:t>
      </w:r>
      <w:r w:rsidR="00233444" w:rsidRPr="00062F7E">
        <w:rPr>
          <w:rFonts w:ascii="Times New Roman" w:hAnsi="Times New Roman" w:cs="Times New Roman"/>
          <w:color w:val="000000" w:themeColor="text1"/>
        </w:rPr>
        <w:t xml:space="preserve"> and </w:t>
      </w:r>
      <w:r w:rsidR="00233444" w:rsidRPr="00062F7E">
        <w:rPr>
          <w:rFonts w:ascii="Times New Roman" w:hAnsi="Times New Roman" w:cs="Times New Roman"/>
          <w:i/>
          <w:iCs/>
          <w:color w:val="000000" w:themeColor="text1"/>
        </w:rPr>
        <w:t>Eocaecilia</w:t>
      </w:r>
      <w:r w:rsidR="001D449E">
        <w:rPr>
          <w:rFonts w:ascii="Times New Roman" w:hAnsi="Times New Roman" w:cs="Times New Roman"/>
          <w:i/>
          <w:iCs/>
          <w:color w:val="000000" w:themeColor="text1"/>
        </w:rPr>
        <w:t xml:space="preserve"> micropodia</w:t>
      </w:r>
      <w:r w:rsidR="00233444" w:rsidRPr="00062F7E">
        <w:rPr>
          <w:rFonts w:ascii="Times New Roman" w:hAnsi="Times New Roman" w:cs="Times New Roman"/>
          <w:color w:val="000000" w:themeColor="text1"/>
        </w:rPr>
        <w:t xml:space="preserve"> differs from the distally extending li</w:t>
      </w:r>
      <w:r w:rsidR="00E57108">
        <w:rPr>
          <w:rFonts w:ascii="Times New Roman" w:hAnsi="Times New Roman" w:cs="Times New Roman"/>
          <w:color w:val="000000" w:themeColor="text1"/>
        </w:rPr>
        <w:t>n</w:t>
      </w:r>
      <w:r w:rsidR="00233444" w:rsidRPr="00062F7E">
        <w:rPr>
          <w:rFonts w:ascii="Times New Roman" w:hAnsi="Times New Roman" w:cs="Times New Roman"/>
          <w:color w:val="000000" w:themeColor="text1"/>
        </w:rPr>
        <w:t xml:space="preserve">gual tooth row of the coronoid series in </w:t>
      </w:r>
      <w:r w:rsidR="001D449E">
        <w:rPr>
          <w:rFonts w:ascii="Times New Roman" w:hAnsi="Times New Roman" w:cs="Times New Roman"/>
          <w:i/>
          <w:iCs/>
          <w:color w:val="000000" w:themeColor="text1"/>
        </w:rPr>
        <w:t>C. jenkinsi</w:t>
      </w:r>
      <w:r w:rsidR="00233444" w:rsidRPr="00062F7E">
        <w:rPr>
          <w:rFonts w:ascii="Times New Roman" w:hAnsi="Times New Roman" w:cs="Times New Roman"/>
          <w:color w:val="000000" w:themeColor="text1"/>
        </w:rPr>
        <w:t xml:space="preserve">, more closely resembling the </w:t>
      </w:r>
      <w:proofErr w:type="spellStart"/>
      <w:r w:rsidR="00233444" w:rsidRPr="00062F7E">
        <w:rPr>
          <w:rFonts w:ascii="Times New Roman" w:hAnsi="Times New Roman" w:cs="Times New Roman"/>
          <w:color w:val="000000" w:themeColor="text1"/>
        </w:rPr>
        <w:t>mesially</w:t>
      </w:r>
      <w:proofErr w:type="spellEnd"/>
      <w:r w:rsidR="00233444" w:rsidRPr="00062F7E">
        <w:rPr>
          <w:rFonts w:ascii="Times New Roman" w:hAnsi="Times New Roman" w:cs="Times New Roman"/>
          <w:color w:val="000000" w:themeColor="text1"/>
        </w:rPr>
        <w:t xml:space="preserve"> restricted tooth row of </w:t>
      </w:r>
      <w:r w:rsidR="00233444" w:rsidRPr="00062F7E">
        <w:rPr>
          <w:rFonts w:ascii="Times New Roman" w:hAnsi="Times New Roman" w:cs="Times New Roman"/>
          <w:i/>
          <w:iCs/>
          <w:color w:val="000000" w:themeColor="text1"/>
        </w:rPr>
        <w:t>Doleserpeton</w:t>
      </w:r>
      <w:r w:rsidR="001D449E">
        <w:rPr>
          <w:rFonts w:ascii="Times New Roman" w:hAnsi="Times New Roman" w:cs="Times New Roman"/>
          <w:i/>
          <w:iCs/>
          <w:color w:val="000000" w:themeColor="text1"/>
        </w:rPr>
        <w:t xml:space="preserve"> annectens</w:t>
      </w:r>
      <w:r w:rsidR="00233444" w:rsidRPr="00062F7E">
        <w:rPr>
          <w:rFonts w:ascii="Times New Roman" w:hAnsi="Times New Roman" w:cs="Times New Roman"/>
          <w:color w:val="000000" w:themeColor="text1"/>
        </w:rPr>
        <w:t xml:space="preserve">. </w:t>
      </w:r>
      <w:r w:rsidR="009A1385">
        <w:rPr>
          <w:rFonts w:ascii="Times New Roman" w:hAnsi="Times New Roman" w:cs="Times New Roman"/>
          <w:color w:val="000000" w:themeColor="text1"/>
        </w:rPr>
        <w:t>As detailed in Supplementa</w:t>
      </w:r>
      <w:r w:rsidR="009E1C96">
        <w:rPr>
          <w:rFonts w:ascii="Times New Roman" w:hAnsi="Times New Roman" w:cs="Times New Roman"/>
          <w:color w:val="000000" w:themeColor="text1"/>
        </w:rPr>
        <w:t>ry</w:t>
      </w:r>
      <w:r w:rsidR="009A1385">
        <w:rPr>
          <w:rFonts w:ascii="Times New Roman" w:hAnsi="Times New Roman" w:cs="Times New Roman"/>
          <w:color w:val="000000" w:themeColor="text1"/>
        </w:rPr>
        <w:t xml:space="preserve"> Information </w:t>
      </w:r>
      <w:r w:rsidR="00EC324E">
        <w:rPr>
          <w:rFonts w:ascii="Times New Roman" w:hAnsi="Times New Roman" w:cs="Times New Roman"/>
          <w:color w:val="000000" w:themeColor="text1"/>
        </w:rPr>
        <w:t>2</w:t>
      </w:r>
      <w:r w:rsidR="009A1385">
        <w:rPr>
          <w:rFonts w:ascii="Times New Roman" w:hAnsi="Times New Roman" w:cs="Times New Roman"/>
          <w:color w:val="000000" w:themeColor="text1"/>
        </w:rPr>
        <w:t>, the lingual tooth row of</w:t>
      </w:r>
      <w:r w:rsidR="00233444" w:rsidRPr="00062F7E">
        <w:rPr>
          <w:rFonts w:ascii="Times New Roman" w:hAnsi="Times New Roman" w:cs="Times New Roman"/>
          <w:color w:val="000000" w:themeColor="text1"/>
        </w:rPr>
        <w:t xml:space="preserve"> </w:t>
      </w:r>
      <w:r w:rsidR="001D449E">
        <w:rPr>
          <w:rFonts w:ascii="Times New Roman" w:hAnsi="Times New Roman" w:cs="Times New Roman"/>
          <w:i/>
          <w:iCs/>
          <w:color w:val="000000" w:themeColor="text1"/>
        </w:rPr>
        <w:t xml:space="preserve">D. annectens </w:t>
      </w:r>
      <w:r w:rsidR="009A1385">
        <w:rPr>
          <w:rFonts w:ascii="Times New Roman" w:hAnsi="Times New Roman" w:cs="Times New Roman"/>
          <w:color w:val="000000" w:themeColor="text1"/>
        </w:rPr>
        <w:t>(and many temnospondyls) is likely homologous to the</w:t>
      </w:r>
      <w:r w:rsidR="00BC7B89">
        <w:rPr>
          <w:rFonts w:ascii="Times New Roman" w:hAnsi="Times New Roman" w:cs="Times New Roman"/>
          <w:color w:val="000000" w:themeColor="text1"/>
        </w:rPr>
        <w:t xml:space="preserve"> adsymphyseal (=</w:t>
      </w:r>
      <w:r w:rsidR="009A1385">
        <w:rPr>
          <w:rFonts w:ascii="Times New Roman" w:hAnsi="Times New Roman" w:cs="Times New Roman"/>
          <w:color w:val="000000" w:themeColor="text1"/>
        </w:rPr>
        <w:t>parasymphyseal plate</w:t>
      </w:r>
      <w:r w:rsidR="00074C9D">
        <w:rPr>
          <w:rFonts w:ascii="Times New Roman" w:hAnsi="Times New Roman" w:cs="Times New Roman"/>
          <w:color w:val="000000" w:themeColor="text1"/>
        </w:rPr>
        <w:t>)</w:t>
      </w:r>
      <w:r w:rsidR="009A1385">
        <w:rPr>
          <w:rFonts w:ascii="Times New Roman" w:hAnsi="Times New Roman" w:cs="Times New Roman"/>
          <w:color w:val="000000" w:themeColor="text1"/>
        </w:rPr>
        <w:t xml:space="preserve">. </w:t>
      </w:r>
      <w:r w:rsidR="00233444" w:rsidRPr="00062F7E">
        <w:rPr>
          <w:rFonts w:ascii="Times New Roman" w:hAnsi="Times New Roman" w:cs="Times New Roman"/>
          <w:color w:val="000000" w:themeColor="text1"/>
        </w:rPr>
        <w:t xml:space="preserve">If </w:t>
      </w:r>
      <w:r w:rsidR="001D449E">
        <w:rPr>
          <w:rFonts w:ascii="Times New Roman" w:hAnsi="Times New Roman" w:cs="Times New Roman"/>
          <w:i/>
          <w:iCs/>
          <w:color w:val="000000" w:themeColor="text1"/>
        </w:rPr>
        <w:t xml:space="preserve">C. jenkinsi </w:t>
      </w:r>
      <w:r w:rsidR="001D449E">
        <w:rPr>
          <w:rFonts w:ascii="Times New Roman" w:hAnsi="Times New Roman" w:cs="Times New Roman"/>
          <w:color w:val="000000" w:themeColor="text1"/>
        </w:rPr>
        <w:t>is</w:t>
      </w:r>
      <w:r w:rsidR="001D449E" w:rsidRPr="00062F7E">
        <w:rPr>
          <w:rFonts w:ascii="Times New Roman" w:hAnsi="Times New Roman" w:cs="Times New Roman"/>
          <w:color w:val="000000" w:themeColor="text1"/>
        </w:rPr>
        <w:t xml:space="preserve"> </w:t>
      </w:r>
      <w:r w:rsidR="001F7D9F">
        <w:rPr>
          <w:rFonts w:ascii="Times New Roman" w:hAnsi="Times New Roman" w:cs="Times New Roman"/>
          <w:color w:val="000000" w:themeColor="text1"/>
        </w:rPr>
        <w:t>the</w:t>
      </w:r>
      <w:r w:rsidR="001F7D9F" w:rsidRPr="00062F7E">
        <w:rPr>
          <w:rFonts w:ascii="Times New Roman" w:hAnsi="Times New Roman" w:cs="Times New Roman"/>
          <w:color w:val="000000" w:themeColor="text1"/>
        </w:rPr>
        <w:t xml:space="preserve"> </w:t>
      </w:r>
      <w:r w:rsidR="00233444" w:rsidRPr="00062F7E">
        <w:rPr>
          <w:rFonts w:ascii="Times New Roman" w:hAnsi="Times New Roman" w:cs="Times New Roman"/>
          <w:color w:val="000000" w:themeColor="text1"/>
        </w:rPr>
        <w:t>sister</w:t>
      </w:r>
      <w:r w:rsidR="001F7D9F">
        <w:rPr>
          <w:rFonts w:ascii="Times New Roman" w:hAnsi="Times New Roman" w:cs="Times New Roman"/>
          <w:color w:val="000000" w:themeColor="text1"/>
        </w:rPr>
        <w:t xml:space="preserve"> taxon</w:t>
      </w:r>
      <w:r w:rsidR="00233444" w:rsidRPr="00062F7E">
        <w:rPr>
          <w:rFonts w:ascii="Times New Roman" w:hAnsi="Times New Roman" w:cs="Times New Roman"/>
          <w:color w:val="000000" w:themeColor="text1"/>
        </w:rPr>
        <w:t xml:space="preserve"> </w:t>
      </w:r>
      <w:r w:rsidR="001F7D9F">
        <w:rPr>
          <w:rFonts w:ascii="Times New Roman" w:hAnsi="Times New Roman" w:cs="Times New Roman"/>
          <w:color w:val="000000" w:themeColor="text1"/>
        </w:rPr>
        <w:t>of</w:t>
      </w:r>
      <w:r w:rsidR="001F7D9F" w:rsidRPr="00062F7E">
        <w:rPr>
          <w:rFonts w:ascii="Times New Roman" w:hAnsi="Times New Roman" w:cs="Times New Roman"/>
          <w:color w:val="000000" w:themeColor="text1"/>
        </w:rPr>
        <w:t xml:space="preserve"> </w:t>
      </w:r>
      <w:r w:rsidR="00207791">
        <w:rPr>
          <w:rFonts w:ascii="Times New Roman" w:hAnsi="Times New Roman" w:cs="Times New Roman"/>
          <w:color w:val="000000" w:themeColor="text1"/>
        </w:rPr>
        <w:t>G</w:t>
      </w:r>
      <w:r w:rsidR="00233444" w:rsidRPr="00062F7E">
        <w:rPr>
          <w:rFonts w:ascii="Times New Roman" w:hAnsi="Times New Roman" w:cs="Times New Roman"/>
          <w:color w:val="000000" w:themeColor="text1"/>
        </w:rPr>
        <w:t>ymnophionomorpha, multiple transformations</w:t>
      </w:r>
      <w:r w:rsidR="00E57108">
        <w:rPr>
          <w:rFonts w:ascii="Times New Roman" w:hAnsi="Times New Roman" w:cs="Times New Roman"/>
          <w:color w:val="000000" w:themeColor="text1"/>
        </w:rPr>
        <w:t xml:space="preserve"> in the dentigerous bones of the lower jaw</w:t>
      </w:r>
      <w:r w:rsidR="00233444" w:rsidRPr="00062F7E">
        <w:rPr>
          <w:rFonts w:ascii="Times New Roman" w:hAnsi="Times New Roman" w:cs="Times New Roman"/>
          <w:color w:val="000000" w:themeColor="text1"/>
        </w:rPr>
        <w:t xml:space="preserve"> </w:t>
      </w:r>
      <w:r w:rsidR="0036693B" w:rsidRPr="00062F7E">
        <w:rPr>
          <w:rFonts w:ascii="Times New Roman" w:hAnsi="Times New Roman" w:cs="Times New Roman"/>
          <w:color w:val="000000" w:themeColor="text1"/>
        </w:rPr>
        <w:t xml:space="preserve">would be required, </w:t>
      </w:r>
      <w:r w:rsidR="00233444" w:rsidRPr="00062F7E">
        <w:rPr>
          <w:rFonts w:ascii="Times New Roman" w:hAnsi="Times New Roman" w:cs="Times New Roman"/>
          <w:color w:val="000000" w:themeColor="text1"/>
        </w:rPr>
        <w:t>including loss of the coronoid</w:t>
      </w:r>
      <w:r w:rsidR="00E57108">
        <w:rPr>
          <w:rFonts w:ascii="Times New Roman" w:hAnsi="Times New Roman" w:cs="Times New Roman"/>
          <w:color w:val="000000" w:themeColor="text1"/>
        </w:rPr>
        <w:t xml:space="preserve"> series, mesial expansion of the lingual tooth row to the mandibular symphysis,</w:t>
      </w:r>
      <w:r w:rsidR="008164CE">
        <w:rPr>
          <w:rFonts w:ascii="Times New Roman" w:hAnsi="Times New Roman" w:cs="Times New Roman"/>
          <w:color w:val="000000" w:themeColor="text1"/>
        </w:rPr>
        <w:t xml:space="preserve"> and</w:t>
      </w:r>
      <w:r w:rsidR="00233444" w:rsidRPr="00062F7E">
        <w:rPr>
          <w:rFonts w:ascii="Times New Roman" w:hAnsi="Times New Roman" w:cs="Times New Roman"/>
          <w:color w:val="000000" w:themeColor="text1"/>
        </w:rPr>
        <w:t xml:space="preserve"> acquisition of pedicellate teeth in coronoid 1. </w:t>
      </w:r>
    </w:p>
    <w:bookmarkEnd w:id="12"/>
    <w:p w14:paraId="5659C49B" w14:textId="5C2BC88E" w:rsidR="0072320A" w:rsidRPr="00062F7E" w:rsidRDefault="0072320A" w:rsidP="005229E5">
      <w:pPr>
        <w:pStyle w:val="ListParagraph"/>
        <w:numPr>
          <w:ilvl w:val="0"/>
          <w:numId w:val="2"/>
        </w:numPr>
        <w:rPr>
          <w:rFonts w:ascii="Times New Roman" w:hAnsi="Times New Roman" w:cs="Times New Roman"/>
          <w:color w:val="000000" w:themeColor="text1"/>
        </w:rPr>
      </w:pPr>
      <w:r w:rsidRPr="00062F7E">
        <w:rPr>
          <w:rFonts w:ascii="Times New Roman" w:hAnsi="Times New Roman" w:cs="Times New Roman"/>
          <w:i/>
          <w:iCs/>
          <w:color w:val="000000" w:themeColor="text1"/>
        </w:rPr>
        <w:t xml:space="preserve">Bicuspid </w:t>
      </w:r>
      <w:r w:rsidR="0036693B" w:rsidRPr="00062F7E">
        <w:rPr>
          <w:rFonts w:ascii="Times New Roman" w:hAnsi="Times New Roman" w:cs="Times New Roman"/>
          <w:i/>
          <w:iCs/>
          <w:color w:val="000000" w:themeColor="text1"/>
        </w:rPr>
        <w:t xml:space="preserve">pedicellate </w:t>
      </w:r>
      <w:r w:rsidRPr="00062F7E">
        <w:rPr>
          <w:rFonts w:ascii="Times New Roman" w:hAnsi="Times New Roman" w:cs="Times New Roman"/>
          <w:i/>
          <w:iCs/>
          <w:color w:val="000000" w:themeColor="text1"/>
        </w:rPr>
        <w:t>marginal dentition:</w:t>
      </w:r>
      <w:r w:rsidRPr="00062F7E">
        <w:rPr>
          <w:rFonts w:ascii="Times New Roman" w:hAnsi="Times New Roman" w:cs="Times New Roman"/>
          <w:color w:val="000000" w:themeColor="text1"/>
        </w:rPr>
        <w:t xml:space="preserve"> The </w:t>
      </w:r>
      <w:proofErr w:type="spellStart"/>
      <w:r w:rsidRPr="00062F7E">
        <w:rPr>
          <w:rFonts w:ascii="Times New Roman" w:hAnsi="Times New Roman" w:cs="Times New Roman"/>
          <w:color w:val="000000" w:themeColor="text1"/>
        </w:rPr>
        <w:t>monocuspid</w:t>
      </w:r>
      <w:proofErr w:type="spellEnd"/>
      <w:r w:rsidRPr="00062F7E">
        <w:rPr>
          <w:rFonts w:ascii="Times New Roman" w:hAnsi="Times New Roman" w:cs="Times New Roman"/>
          <w:color w:val="000000" w:themeColor="text1"/>
        </w:rPr>
        <w:t xml:space="preserve"> </w:t>
      </w:r>
      <w:r w:rsidR="0036693B" w:rsidRPr="00062F7E">
        <w:rPr>
          <w:rFonts w:ascii="Times New Roman" w:hAnsi="Times New Roman" w:cs="Times New Roman"/>
          <w:color w:val="000000" w:themeColor="text1"/>
        </w:rPr>
        <w:t xml:space="preserve">non-pedicellate </w:t>
      </w:r>
      <w:r w:rsidRPr="00062F7E">
        <w:rPr>
          <w:rFonts w:ascii="Times New Roman" w:hAnsi="Times New Roman" w:cs="Times New Roman"/>
          <w:color w:val="000000" w:themeColor="text1"/>
        </w:rPr>
        <w:t xml:space="preserve">conical dentition of </w:t>
      </w:r>
      <w:r w:rsidRPr="00062F7E">
        <w:rPr>
          <w:rFonts w:ascii="Times New Roman" w:hAnsi="Times New Roman" w:cs="Times New Roman"/>
          <w:i/>
          <w:iCs/>
          <w:color w:val="000000" w:themeColor="text1"/>
        </w:rPr>
        <w:t>Chinlestegophis</w:t>
      </w:r>
      <w:r w:rsidR="001D449E">
        <w:rPr>
          <w:rFonts w:ascii="Times New Roman" w:hAnsi="Times New Roman" w:cs="Times New Roman"/>
          <w:i/>
          <w:iCs/>
          <w:color w:val="000000" w:themeColor="text1"/>
        </w:rPr>
        <w:t xml:space="preserve"> jenkinsi</w:t>
      </w:r>
      <w:r w:rsidRPr="00062F7E">
        <w:rPr>
          <w:rFonts w:ascii="Times New Roman" w:hAnsi="Times New Roman" w:cs="Times New Roman"/>
          <w:color w:val="000000" w:themeColor="text1"/>
        </w:rPr>
        <w:t xml:space="preserve"> differs from the clearly pedicellate dentition of </w:t>
      </w:r>
      <w:r w:rsidRPr="00062F7E">
        <w:rPr>
          <w:rFonts w:ascii="Times New Roman" w:hAnsi="Times New Roman" w:cs="Times New Roman"/>
          <w:i/>
          <w:iCs/>
          <w:color w:val="000000" w:themeColor="text1"/>
        </w:rPr>
        <w:t xml:space="preserve">Funcusvermis </w:t>
      </w:r>
      <w:r w:rsidR="001D449E">
        <w:rPr>
          <w:rFonts w:ascii="Times New Roman" w:hAnsi="Times New Roman" w:cs="Times New Roman"/>
          <w:i/>
          <w:iCs/>
          <w:color w:val="000000" w:themeColor="text1"/>
        </w:rPr>
        <w:t xml:space="preserve">gilmorei </w:t>
      </w:r>
      <w:r w:rsidRPr="00062F7E">
        <w:rPr>
          <w:rFonts w:ascii="Times New Roman" w:hAnsi="Times New Roman" w:cs="Times New Roman"/>
          <w:color w:val="000000" w:themeColor="text1"/>
        </w:rPr>
        <w:t xml:space="preserve">and all other gymnophionomorphs. Given their phylogenetic results, Pardo et al. (2017a) argued that pedicellate dentition in gymnophionomorphs must have been acquired separately in amphibamids and gymnophionomorphs. Indeed, as they note, </w:t>
      </w:r>
      <w:proofErr w:type="spellStart"/>
      <w:r w:rsidRPr="00062F7E">
        <w:rPr>
          <w:rFonts w:ascii="Times New Roman" w:hAnsi="Times New Roman" w:cs="Times New Roman"/>
          <w:i/>
          <w:iCs/>
          <w:color w:val="000000" w:themeColor="text1"/>
        </w:rPr>
        <w:t>Gerobatrachus</w:t>
      </w:r>
      <w:proofErr w:type="spellEnd"/>
      <w:r w:rsidRPr="00062F7E">
        <w:rPr>
          <w:rFonts w:ascii="Times New Roman" w:hAnsi="Times New Roman" w:cs="Times New Roman"/>
          <w:i/>
          <w:iCs/>
          <w:color w:val="000000" w:themeColor="text1"/>
        </w:rPr>
        <w:t xml:space="preserve"> </w:t>
      </w:r>
      <w:proofErr w:type="spellStart"/>
      <w:r w:rsidRPr="00062F7E">
        <w:rPr>
          <w:rFonts w:ascii="Times New Roman" w:hAnsi="Times New Roman" w:cs="Times New Roman"/>
          <w:i/>
          <w:iCs/>
          <w:color w:val="000000" w:themeColor="text1"/>
        </w:rPr>
        <w:t>hottoni</w:t>
      </w:r>
      <w:proofErr w:type="spellEnd"/>
      <w:r w:rsidRPr="00062F7E">
        <w:rPr>
          <w:rFonts w:ascii="Times New Roman" w:hAnsi="Times New Roman" w:cs="Times New Roman"/>
          <w:i/>
          <w:iCs/>
          <w:color w:val="000000" w:themeColor="text1"/>
        </w:rPr>
        <w:t xml:space="preserve"> </w:t>
      </w:r>
      <w:r w:rsidRPr="00062F7E">
        <w:rPr>
          <w:rFonts w:ascii="Times New Roman" w:hAnsi="Times New Roman" w:cs="Times New Roman"/>
          <w:color w:val="000000" w:themeColor="text1"/>
        </w:rPr>
        <w:t xml:space="preserve">has </w:t>
      </w:r>
      <w:proofErr w:type="spellStart"/>
      <w:r w:rsidRPr="00062F7E">
        <w:rPr>
          <w:rFonts w:ascii="Times New Roman" w:hAnsi="Times New Roman" w:cs="Times New Roman"/>
          <w:color w:val="000000" w:themeColor="text1"/>
        </w:rPr>
        <w:t>monocuspid</w:t>
      </w:r>
      <w:proofErr w:type="spellEnd"/>
      <w:r w:rsidRPr="00062F7E">
        <w:rPr>
          <w:rFonts w:ascii="Times New Roman" w:hAnsi="Times New Roman" w:cs="Times New Roman"/>
          <w:color w:val="000000" w:themeColor="text1"/>
        </w:rPr>
        <w:t xml:space="preserve"> teeth (Anderson et al., 2008</w:t>
      </w:r>
      <w:r w:rsidR="002639C2">
        <w:rPr>
          <w:rFonts w:ascii="Times New Roman" w:hAnsi="Times New Roman" w:cs="Times New Roman"/>
          <w:color w:val="000000" w:themeColor="text1"/>
        </w:rPr>
        <w:t>b</w:t>
      </w:r>
      <w:r w:rsidRPr="00062F7E">
        <w:rPr>
          <w:rFonts w:ascii="Times New Roman" w:hAnsi="Times New Roman" w:cs="Times New Roman"/>
          <w:color w:val="000000" w:themeColor="text1"/>
        </w:rPr>
        <w:t xml:space="preserve">), despite nesting higher than amphibamids with bicuspid dentition like </w:t>
      </w:r>
      <w:r w:rsidRPr="00062F7E">
        <w:rPr>
          <w:rFonts w:ascii="Times New Roman" w:hAnsi="Times New Roman" w:cs="Times New Roman"/>
          <w:i/>
          <w:iCs/>
          <w:color w:val="000000" w:themeColor="text1"/>
        </w:rPr>
        <w:t xml:space="preserve">Amphibamus grandiceps </w:t>
      </w:r>
      <w:r w:rsidRPr="00062F7E">
        <w:rPr>
          <w:rFonts w:ascii="Times New Roman" w:hAnsi="Times New Roman" w:cs="Times New Roman"/>
          <w:color w:val="000000" w:themeColor="text1"/>
        </w:rPr>
        <w:t xml:space="preserve">and </w:t>
      </w:r>
      <w:r w:rsidRPr="00062F7E">
        <w:rPr>
          <w:rFonts w:ascii="Times New Roman" w:hAnsi="Times New Roman" w:cs="Times New Roman"/>
          <w:i/>
          <w:iCs/>
          <w:color w:val="000000" w:themeColor="text1"/>
        </w:rPr>
        <w:t xml:space="preserve">Doleserpeton annectens </w:t>
      </w:r>
      <w:r w:rsidRPr="00062F7E">
        <w:rPr>
          <w:rFonts w:ascii="Times New Roman" w:hAnsi="Times New Roman" w:cs="Times New Roman"/>
          <w:color w:val="000000" w:themeColor="text1"/>
        </w:rPr>
        <w:t>(Sigurdsen &amp; Bolt, 2010). Their points are not repeated here, but the possibility that bicuspid dentition is only acquired at hormonal maturity</w:t>
      </w:r>
      <w:r w:rsidR="006B048C">
        <w:rPr>
          <w:rFonts w:ascii="Times New Roman" w:hAnsi="Times New Roman" w:cs="Times New Roman"/>
          <w:color w:val="000000" w:themeColor="text1"/>
        </w:rPr>
        <w:t xml:space="preserve"> </w:t>
      </w:r>
      <w:r w:rsidR="006B048C" w:rsidRPr="00A155FA">
        <w:rPr>
          <w:rFonts w:ascii="Times New Roman" w:hAnsi="Times New Roman" w:cs="Times New Roman"/>
          <w:color w:val="000000" w:themeColor="text1"/>
        </w:rPr>
        <w:t>(as in many extant lissamphibians, e.g., Davit-</w:t>
      </w:r>
      <w:proofErr w:type="spellStart"/>
      <w:r w:rsidR="006B048C" w:rsidRPr="00A155FA">
        <w:rPr>
          <w:rFonts w:ascii="Times New Roman" w:hAnsi="Times New Roman" w:cs="Times New Roman"/>
          <w:color w:val="000000" w:themeColor="text1"/>
        </w:rPr>
        <w:t>Béal</w:t>
      </w:r>
      <w:proofErr w:type="spellEnd"/>
      <w:r w:rsidR="006B048C" w:rsidRPr="00A155FA">
        <w:rPr>
          <w:rFonts w:ascii="Times New Roman" w:hAnsi="Times New Roman" w:cs="Times New Roman"/>
          <w:color w:val="000000" w:themeColor="text1"/>
        </w:rPr>
        <w:t xml:space="preserve"> et al., 2007) </w:t>
      </w:r>
      <w:r w:rsidRPr="00062F7E">
        <w:rPr>
          <w:rFonts w:ascii="Times New Roman" w:hAnsi="Times New Roman" w:cs="Times New Roman"/>
          <w:color w:val="000000" w:themeColor="text1"/>
        </w:rPr>
        <w:t>warrants future consideration because</w:t>
      </w:r>
      <w:r w:rsidR="006B048C" w:rsidRPr="006B048C">
        <w:rPr>
          <w:rFonts w:ascii="Times New Roman" w:hAnsi="Times New Roman" w:cs="Times New Roman"/>
          <w:color w:val="000000" w:themeColor="text1"/>
        </w:rPr>
        <w:t xml:space="preserve"> </w:t>
      </w:r>
      <w:r w:rsidR="006B048C" w:rsidRPr="00A155FA">
        <w:rPr>
          <w:rFonts w:ascii="Times New Roman" w:hAnsi="Times New Roman" w:cs="Times New Roman"/>
          <w:color w:val="000000" w:themeColor="text1"/>
        </w:rPr>
        <w:t xml:space="preserve">the holotype and only specimen of </w:t>
      </w:r>
      <w:r w:rsidR="006B048C" w:rsidRPr="00A155FA">
        <w:rPr>
          <w:rFonts w:ascii="Times New Roman" w:hAnsi="Times New Roman" w:cs="Times New Roman"/>
          <w:i/>
          <w:iCs/>
          <w:color w:val="000000" w:themeColor="text1"/>
        </w:rPr>
        <w:t xml:space="preserve">G. hottoni </w:t>
      </w:r>
      <w:r w:rsidR="006B048C" w:rsidRPr="00A155FA">
        <w:rPr>
          <w:rFonts w:ascii="Times New Roman" w:hAnsi="Times New Roman" w:cs="Times New Roman"/>
          <w:color w:val="000000" w:themeColor="text1"/>
        </w:rPr>
        <w:t>was interpreted as a juvenile by Anderson et al. (2008). Immaturity</w:t>
      </w:r>
      <w:r w:rsidRPr="00062F7E">
        <w:rPr>
          <w:rFonts w:ascii="Times New Roman" w:hAnsi="Times New Roman" w:cs="Times New Roman"/>
          <w:color w:val="000000" w:themeColor="text1"/>
        </w:rPr>
        <w:t xml:space="preserve">  might explain the present discrepancies in character evolution. However, this will require additional data from extinct taxa, which places a premium on improving ontogenetic resolution of temnospondyls and other candidate clades for lissamphibian origins. A monophyletic Lissamphibia originating from within Dissorophoidea supports a single origin of bicuspid</w:t>
      </w:r>
      <w:r w:rsidR="0036693B" w:rsidRPr="00062F7E">
        <w:rPr>
          <w:rFonts w:ascii="Times New Roman" w:hAnsi="Times New Roman" w:cs="Times New Roman"/>
          <w:color w:val="000000" w:themeColor="text1"/>
        </w:rPr>
        <w:t xml:space="preserve"> pedicellate</w:t>
      </w:r>
      <w:r w:rsidRPr="00062F7E">
        <w:rPr>
          <w:rFonts w:ascii="Times New Roman" w:hAnsi="Times New Roman" w:cs="Times New Roman"/>
          <w:color w:val="000000" w:themeColor="text1"/>
        </w:rPr>
        <w:t xml:space="preserve"> dentition.</w:t>
      </w:r>
    </w:p>
    <w:p w14:paraId="4CD85CFA" w14:textId="7F4ABC7A" w:rsidR="0072320A" w:rsidRPr="00062F7E" w:rsidRDefault="0072320A" w:rsidP="005229E5">
      <w:pPr>
        <w:pStyle w:val="ListParagraph"/>
        <w:numPr>
          <w:ilvl w:val="0"/>
          <w:numId w:val="2"/>
        </w:numPr>
        <w:rPr>
          <w:rFonts w:ascii="Times New Roman" w:hAnsi="Times New Roman" w:cs="Times New Roman"/>
          <w:color w:val="000000" w:themeColor="text1"/>
        </w:rPr>
      </w:pPr>
      <w:r w:rsidRPr="00062F7E">
        <w:rPr>
          <w:rFonts w:ascii="Times New Roman" w:hAnsi="Times New Roman" w:cs="Times New Roman"/>
          <w:i/>
          <w:iCs/>
          <w:color w:val="000000" w:themeColor="text1"/>
        </w:rPr>
        <w:t xml:space="preserve">Other dentition: </w:t>
      </w:r>
      <w:r w:rsidRPr="00062F7E">
        <w:rPr>
          <w:rFonts w:ascii="Times New Roman" w:hAnsi="Times New Roman" w:cs="Times New Roman"/>
          <w:color w:val="000000" w:themeColor="text1"/>
        </w:rPr>
        <w:t xml:space="preserve">Unlike the high tooth counts present in the labial and lingual tooth rows of </w:t>
      </w:r>
      <w:r w:rsidRPr="00062F7E">
        <w:rPr>
          <w:rFonts w:ascii="Times New Roman" w:hAnsi="Times New Roman" w:cs="Times New Roman"/>
          <w:i/>
          <w:iCs/>
          <w:color w:val="000000" w:themeColor="text1"/>
        </w:rPr>
        <w:t>Funcusvermis</w:t>
      </w:r>
      <w:r w:rsidR="001D449E">
        <w:rPr>
          <w:rFonts w:ascii="Times New Roman" w:hAnsi="Times New Roman" w:cs="Times New Roman"/>
          <w:i/>
          <w:iCs/>
          <w:color w:val="000000" w:themeColor="text1"/>
        </w:rPr>
        <w:t xml:space="preserve"> gilmorei</w:t>
      </w:r>
      <w:r w:rsidRPr="00062F7E">
        <w:rPr>
          <w:rFonts w:ascii="Times New Roman" w:hAnsi="Times New Roman" w:cs="Times New Roman"/>
          <w:i/>
          <w:iCs/>
          <w:color w:val="000000" w:themeColor="text1"/>
        </w:rPr>
        <w:t xml:space="preserve"> </w:t>
      </w:r>
      <w:r w:rsidRPr="00062F7E">
        <w:rPr>
          <w:rFonts w:ascii="Times New Roman" w:hAnsi="Times New Roman" w:cs="Times New Roman"/>
          <w:color w:val="000000" w:themeColor="text1"/>
        </w:rPr>
        <w:t xml:space="preserve">and </w:t>
      </w:r>
      <w:r w:rsidRPr="00062F7E">
        <w:rPr>
          <w:rFonts w:ascii="Times New Roman" w:hAnsi="Times New Roman" w:cs="Times New Roman"/>
          <w:i/>
          <w:iCs/>
          <w:color w:val="000000" w:themeColor="text1"/>
        </w:rPr>
        <w:t>Eocaecilia</w:t>
      </w:r>
      <w:r w:rsidR="001D449E">
        <w:rPr>
          <w:rFonts w:ascii="Times New Roman" w:hAnsi="Times New Roman" w:cs="Times New Roman"/>
          <w:i/>
          <w:iCs/>
          <w:color w:val="000000" w:themeColor="text1"/>
        </w:rPr>
        <w:t xml:space="preserve"> micropodia</w:t>
      </w:r>
      <w:r w:rsidRPr="00062F7E">
        <w:rPr>
          <w:rFonts w:ascii="Times New Roman" w:hAnsi="Times New Roman" w:cs="Times New Roman"/>
          <w:i/>
          <w:iCs/>
          <w:color w:val="000000" w:themeColor="text1"/>
        </w:rPr>
        <w:t xml:space="preserve"> </w:t>
      </w:r>
      <w:r w:rsidRPr="00062F7E">
        <w:rPr>
          <w:rFonts w:ascii="Times New Roman" w:hAnsi="Times New Roman" w:cs="Times New Roman"/>
          <w:color w:val="000000" w:themeColor="text1"/>
        </w:rPr>
        <w:t>(&gt;40)</w:t>
      </w:r>
      <w:r w:rsidRPr="00062F7E">
        <w:rPr>
          <w:rFonts w:ascii="Times New Roman" w:hAnsi="Times New Roman" w:cs="Times New Roman"/>
          <w:i/>
          <w:iCs/>
          <w:color w:val="000000" w:themeColor="text1"/>
        </w:rPr>
        <w:t xml:space="preserve">, </w:t>
      </w:r>
      <w:r w:rsidRPr="00062F7E">
        <w:rPr>
          <w:rFonts w:ascii="Times New Roman" w:hAnsi="Times New Roman" w:cs="Times New Roman"/>
          <w:color w:val="000000" w:themeColor="text1"/>
        </w:rPr>
        <w:t>which are also shared with many amphibamiforms (e.g., Huttenlocker et al., 2007; Clack &amp; Milner, 20</w:t>
      </w:r>
      <w:r w:rsidR="006B048C">
        <w:rPr>
          <w:rFonts w:ascii="Times New Roman" w:hAnsi="Times New Roman" w:cs="Times New Roman"/>
          <w:color w:val="000000" w:themeColor="text1"/>
        </w:rPr>
        <w:t>10</w:t>
      </w:r>
      <w:r w:rsidRPr="00062F7E">
        <w:rPr>
          <w:rFonts w:ascii="Times New Roman" w:hAnsi="Times New Roman" w:cs="Times New Roman"/>
          <w:color w:val="000000" w:themeColor="text1"/>
        </w:rPr>
        <w:t>; Sigurdsen &amp; Bolt, 2010; Anderson &amp; Bolt, 2013; Maddin et al., 2013)</w:t>
      </w:r>
      <w:r w:rsidRPr="00062F7E">
        <w:rPr>
          <w:rFonts w:ascii="Times New Roman" w:hAnsi="Times New Roman" w:cs="Times New Roman"/>
          <w:i/>
          <w:iCs/>
          <w:color w:val="000000" w:themeColor="text1"/>
        </w:rPr>
        <w:t xml:space="preserve"> Chinlestegophis</w:t>
      </w:r>
      <w:r w:rsidR="001D449E">
        <w:rPr>
          <w:rFonts w:ascii="Times New Roman" w:hAnsi="Times New Roman" w:cs="Times New Roman"/>
          <w:i/>
          <w:iCs/>
          <w:color w:val="000000" w:themeColor="text1"/>
        </w:rPr>
        <w:t xml:space="preserve"> jenkinsi</w:t>
      </w:r>
      <w:r w:rsidRPr="00062F7E">
        <w:rPr>
          <w:rFonts w:ascii="Times New Roman" w:hAnsi="Times New Roman" w:cs="Times New Roman"/>
          <w:color w:val="000000" w:themeColor="text1"/>
        </w:rPr>
        <w:t xml:space="preserve"> preserves at least 13 marginal teeth in the dentary and likely no more than twice as many based on the estimated length of the complete dentary. A symphyseal tusk is likely present in </w:t>
      </w:r>
      <w:r w:rsidR="001D449E">
        <w:rPr>
          <w:rFonts w:ascii="Times New Roman" w:hAnsi="Times New Roman" w:cs="Times New Roman"/>
          <w:i/>
          <w:iCs/>
          <w:color w:val="000000" w:themeColor="text1"/>
        </w:rPr>
        <w:t>C. jenkinsi</w:t>
      </w:r>
      <w:r w:rsidRPr="00062F7E">
        <w:rPr>
          <w:rFonts w:ascii="Times New Roman" w:hAnsi="Times New Roman" w:cs="Times New Roman"/>
          <w:color w:val="000000" w:themeColor="text1"/>
        </w:rPr>
        <w:t xml:space="preserve">, as with other stereospondyls, whereas no tusk is present in </w:t>
      </w:r>
      <w:r w:rsidR="001D449E">
        <w:rPr>
          <w:rFonts w:ascii="Times New Roman" w:hAnsi="Times New Roman" w:cs="Times New Roman"/>
          <w:i/>
          <w:iCs/>
          <w:color w:val="000000" w:themeColor="text1"/>
        </w:rPr>
        <w:t>F. gilmorei</w:t>
      </w:r>
      <w:r w:rsidRPr="00062F7E">
        <w:rPr>
          <w:rFonts w:ascii="Times New Roman" w:hAnsi="Times New Roman" w:cs="Times New Roman"/>
          <w:color w:val="000000" w:themeColor="text1"/>
        </w:rPr>
        <w:t xml:space="preserve">. </w:t>
      </w:r>
    </w:p>
    <w:p w14:paraId="2373C787" w14:textId="3D6453CE" w:rsidR="0072320A" w:rsidRPr="00062F7E" w:rsidRDefault="0072320A" w:rsidP="005229E5">
      <w:pPr>
        <w:pStyle w:val="ListParagraph"/>
        <w:numPr>
          <w:ilvl w:val="0"/>
          <w:numId w:val="2"/>
        </w:numPr>
        <w:rPr>
          <w:rFonts w:ascii="Times New Roman" w:hAnsi="Times New Roman" w:cs="Times New Roman"/>
          <w:color w:val="000000" w:themeColor="text1"/>
        </w:rPr>
      </w:pPr>
      <w:r w:rsidRPr="00062F7E">
        <w:rPr>
          <w:rFonts w:ascii="Times New Roman" w:hAnsi="Times New Roman" w:cs="Times New Roman"/>
          <w:i/>
          <w:iCs/>
          <w:color w:val="000000" w:themeColor="text1"/>
        </w:rPr>
        <w:lastRenderedPageBreak/>
        <w:t xml:space="preserve">Dermal sculpturing: </w:t>
      </w:r>
      <w:r w:rsidRPr="00062F7E">
        <w:rPr>
          <w:rFonts w:ascii="Times New Roman" w:hAnsi="Times New Roman" w:cs="Times New Roman"/>
          <w:color w:val="000000" w:themeColor="text1"/>
        </w:rPr>
        <w:t xml:space="preserve">Dermal bones of the cranium, as well as the angular in </w:t>
      </w:r>
      <w:r w:rsidRPr="00062F7E">
        <w:rPr>
          <w:rFonts w:ascii="Times New Roman" w:hAnsi="Times New Roman" w:cs="Times New Roman"/>
          <w:i/>
          <w:iCs/>
          <w:color w:val="000000" w:themeColor="text1"/>
        </w:rPr>
        <w:t>Chinlestegophis</w:t>
      </w:r>
      <w:r w:rsidR="001D449E">
        <w:rPr>
          <w:rFonts w:ascii="Times New Roman" w:hAnsi="Times New Roman" w:cs="Times New Roman"/>
          <w:i/>
          <w:iCs/>
          <w:color w:val="000000" w:themeColor="text1"/>
        </w:rPr>
        <w:t xml:space="preserve"> jenkinsi</w:t>
      </w:r>
      <w:r w:rsidRPr="00062F7E">
        <w:rPr>
          <w:rFonts w:ascii="Times New Roman" w:hAnsi="Times New Roman" w:cs="Times New Roman"/>
          <w:color w:val="000000" w:themeColor="text1"/>
        </w:rPr>
        <w:t>, bear external sculpturing, differing from the unsculptured maxillopalatine</w:t>
      </w:r>
      <w:r w:rsidR="002F1A25">
        <w:rPr>
          <w:rFonts w:ascii="Times New Roman" w:hAnsi="Times New Roman" w:cs="Times New Roman"/>
          <w:color w:val="000000" w:themeColor="text1"/>
        </w:rPr>
        <w:t xml:space="preserve">, pseudodentary, and </w:t>
      </w:r>
      <w:r w:rsidRPr="00062F7E">
        <w:rPr>
          <w:rFonts w:ascii="Times New Roman" w:hAnsi="Times New Roman" w:cs="Times New Roman"/>
          <w:color w:val="000000" w:themeColor="text1"/>
        </w:rPr>
        <w:t>ps</w:t>
      </w:r>
      <w:r w:rsidR="0035660A">
        <w:rPr>
          <w:rFonts w:ascii="Times New Roman" w:hAnsi="Times New Roman" w:cs="Times New Roman"/>
          <w:color w:val="000000" w:themeColor="text1"/>
        </w:rPr>
        <w:t>eu</w:t>
      </w:r>
      <w:r w:rsidRPr="00062F7E">
        <w:rPr>
          <w:rFonts w:ascii="Times New Roman" w:hAnsi="Times New Roman" w:cs="Times New Roman"/>
          <w:color w:val="000000" w:themeColor="text1"/>
        </w:rPr>
        <w:t xml:space="preserve">doangular in </w:t>
      </w:r>
      <w:r w:rsidRPr="00062F7E">
        <w:rPr>
          <w:rFonts w:ascii="Times New Roman" w:hAnsi="Times New Roman" w:cs="Times New Roman"/>
          <w:i/>
          <w:iCs/>
          <w:color w:val="000000" w:themeColor="text1"/>
        </w:rPr>
        <w:t>Funcusvermis</w:t>
      </w:r>
      <w:r w:rsidR="001D449E">
        <w:rPr>
          <w:rFonts w:ascii="Times New Roman" w:hAnsi="Times New Roman" w:cs="Times New Roman"/>
          <w:i/>
          <w:iCs/>
          <w:color w:val="000000" w:themeColor="text1"/>
        </w:rPr>
        <w:t xml:space="preserve"> gilmorei</w:t>
      </w:r>
      <w:r w:rsidRPr="00062F7E">
        <w:rPr>
          <w:rFonts w:ascii="Times New Roman" w:hAnsi="Times New Roman" w:cs="Times New Roman"/>
          <w:i/>
          <w:iCs/>
          <w:color w:val="000000" w:themeColor="text1"/>
        </w:rPr>
        <w:t xml:space="preserve">. </w:t>
      </w:r>
    </w:p>
    <w:p w14:paraId="2BBA3E51" w14:textId="77777777" w:rsidR="0072320A" w:rsidRPr="00062F7E" w:rsidRDefault="0072320A" w:rsidP="00662B68">
      <w:pPr>
        <w:pStyle w:val="ListParagraph"/>
        <w:rPr>
          <w:rFonts w:ascii="Times New Roman" w:hAnsi="Times New Roman" w:cs="Times New Roman"/>
          <w:color w:val="000000" w:themeColor="text1"/>
        </w:rPr>
      </w:pPr>
    </w:p>
    <w:p w14:paraId="3C58604D" w14:textId="2B8E8134" w:rsidR="0072320A" w:rsidRPr="00062F7E" w:rsidRDefault="0072320A" w:rsidP="00662B68">
      <w:pPr>
        <w:ind w:firstLine="360"/>
        <w:rPr>
          <w:color w:val="000000" w:themeColor="text1"/>
        </w:rPr>
      </w:pPr>
      <w:r w:rsidRPr="00062F7E">
        <w:rPr>
          <w:color w:val="000000" w:themeColor="text1"/>
        </w:rPr>
        <w:t xml:space="preserve">The limited skeletal material referred to </w:t>
      </w:r>
      <w:r w:rsidRPr="00062F7E">
        <w:rPr>
          <w:i/>
          <w:iCs/>
          <w:color w:val="000000" w:themeColor="text1"/>
        </w:rPr>
        <w:t>Funcusvermis</w:t>
      </w:r>
      <w:r w:rsidR="001D449E">
        <w:rPr>
          <w:i/>
          <w:iCs/>
          <w:color w:val="000000" w:themeColor="text1"/>
        </w:rPr>
        <w:t xml:space="preserve"> gilmorei</w:t>
      </w:r>
      <w:r w:rsidRPr="00062F7E">
        <w:rPr>
          <w:color w:val="000000" w:themeColor="text1"/>
        </w:rPr>
        <w:t xml:space="preserve"> precludes comparison with other skull roof and braincase features present in </w:t>
      </w:r>
      <w:r w:rsidRPr="00062F7E">
        <w:rPr>
          <w:i/>
          <w:iCs/>
          <w:color w:val="000000" w:themeColor="text1"/>
        </w:rPr>
        <w:t>Chinlestegophis</w:t>
      </w:r>
      <w:r w:rsidR="001D449E">
        <w:rPr>
          <w:i/>
          <w:iCs/>
          <w:color w:val="000000" w:themeColor="text1"/>
        </w:rPr>
        <w:t xml:space="preserve"> jenkinsi</w:t>
      </w:r>
      <w:r w:rsidRPr="00062F7E">
        <w:rPr>
          <w:color w:val="000000" w:themeColor="text1"/>
        </w:rPr>
        <w:t xml:space="preserve"> that were suggested to be homologs to similar gym</w:t>
      </w:r>
      <w:r w:rsidR="00280E49">
        <w:rPr>
          <w:color w:val="000000" w:themeColor="text1"/>
        </w:rPr>
        <w:t>n</w:t>
      </w:r>
      <w:r w:rsidRPr="00062F7E">
        <w:rPr>
          <w:color w:val="000000" w:themeColor="text1"/>
        </w:rPr>
        <w:t xml:space="preserve">ophionomorph features (Pardo et al., 2017a), however the strong support for an amphibamiform origin of Gymnophionomorpha found herein suggests that these features are homoplastic rather than homologous. The discovery of skeletons </w:t>
      </w:r>
      <w:r w:rsidR="001D449E">
        <w:rPr>
          <w:color w:val="000000" w:themeColor="text1"/>
        </w:rPr>
        <w:t xml:space="preserve">of </w:t>
      </w:r>
      <w:r w:rsidR="001D449E">
        <w:rPr>
          <w:i/>
          <w:iCs/>
          <w:color w:val="000000" w:themeColor="text1"/>
        </w:rPr>
        <w:t xml:space="preserve">C. jenkinsi </w:t>
      </w:r>
      <w:r w:rsidRPr="00062F7E">
        <w:rPr>
          <w:color w:val="000000" w:themeColor="text1"/>
        </w:rPr>
        <w:t xml:space="preserve">encased within burrows strongly supports a fossorial life-habit for this taxon, suggesting that its similarity to gymnophionans may be a result of skeletal convergence driven by adaptation for fossoriality. This is similar to the longstanding hypothesis of an origin of Lissamphibia from within </w:t>
      </w:r>
      <w:r w:rsidR="00807018">
        <w:rPr>
          <w:color w:val="000000" w:themeColor="text1"/>
        </w:rPr>
        <w:t>‘</w:t>
      </w:r>
      <w:r w:rsidRPr="00062F7E">
        <w:rPr>
          <w:color w:val="000000" w:themeColor="text1"/>
        </w:rPr>
        <w:t>Lepospondyli</w:t>
      </w:r>
      <w:r w:rsidR="00807018">
        <w:rPr>
          <w:color w:val="000000" w:themeColor="text1"/>
        </w:rPr>
        <w:t>’</w:t>
      </w:r>
      <w:r w:rsidRPr="00062F7E">
        <w:rPr>
          <w:color w:val="000000" w:themeColor="text1"/>
        </w:rPr>
        <w:t xml:space="preserve"> </w:t>
      </w:r>
      <w:r w:rsidR="0036693B" w:rsidRPr="00062F7E">
        <w:rPr>
          <w:color w:val="000000" w:themeColor="text1"/>
        </w:rPr>
        <w:t xml:space="preserve">that </w:t>
      </w:r>
      <w:r w:rsidRPr="00062F7E">
        <w:rPr>
          <w:color w:val="000000" w:themeColor="text1"/>
        </w:rPr>
        <w:t xml:space="preserve">was driven by features now regarded as convergence due to a fossorial ecology (e.g., Pardo &amp; Anderson, 2016; Pardo et al., 2017b). </w:t>
      </w:r>
    </w:p>
    <w:p w14:paraId="2573502D" w14:textId="1CEC54C7" w:rsidR="0072320A" w:rsidRPr="00062F7E" w:rsidRDefault="0072320A" w:rsidP="00662B68">
      <w:pPr>
        <w:ind w:firstLine="360"/>
        <w:rPr>
          <w:color w:val="000000" w:themeColor="text1"/>
        </w:rPr>
      </w:pPr>
      <w:r w:rsidRPr="00062F7E">
        <w:rPr>
          <w:i/>
          <w:iCs/>
          <w:color w:val="000000" w:themeColor="text1"/>
        </w:rPr>
        <w:t>Chinlestegophis</w:t>
      </w:r>
      <w:r w:rsidR="001D449E">
        <w:rPr>
          <w:i/>
          <w:iCs/>
          <w:color w:val="000000" w:themeColor="text1"/>
        </w:rPr>
        <w:t xml:space="preserve"> jenkinsi</w:t>
      </w:r>
      <w:r w:rsidRPr="00062F7E">
        <w:rPr>
          <w:color w:val="000000" w:themeColor="text1"/>
        </w:rPr>
        <w:t xml:space="preserve"> was recovered from the Upper Triassic Chinle Formation (middle-late Norian; </w:t>
      </w:r>
      <w:proofErr w:type="spellStart"/>
      <w:r w:rsidRPr="00062F7E">
        <w:rPr>
          <w:color w:val="000000" w:themeColor="text1"/>
        </w:rPr>
        <w:t>Revueltian</w:t>
      </w:r>
      <w:proofErr w:type="spellEnd"/>
      <w:r w:rsidRPr="00062F7E">
        <w:rPr>
          <w:color w:val="000000" w:themeColor="text1"/>
        </w:rPr>
        <w:t xml:space="preserve"> </w:t>
      </w:r>
      <w:r w:rsidR="00207791">
        <w:rPr>
          <w:color w:val="000000" w:themeColor="text1"/>
        </w:rPr>
        <w:t xml:space="preserve">Estimated </w:t>
      </w:r>
      <w:proofErr w:type="spellStart"/>
      <w:r w:rsidR="00207791">
        <w:rPr>
          <w:color w:val="000000" w:themeColor="text1"/>
        </w:rPr>
        <w:t>Holochron</w:t>
      </w:r>
      <w:proofErr w:type="spellEnd"/>
      <w:r w:rsidR="00207791">
        <w:rPr>
          <w:color w:val="000000" w:themeColor="text1"/>
        </w:rPr>
        <w:t>)</w:t>
      </w:r>
      <w:r w:rsidRPr="00062F7E">
        <w:rPr>
          <w:color w:val="000000" w:themeColor="text1"/>
        </w:rPr>
        <w:t xml:space="preserve"> in Garfield County, Colorado, USA</w:t>
      </w:r>
      <w:r w:rsidR="00280E49">
        <w:rPr>
          <w:color w:val="000000" w:themeColor="text1"/>
        </w:rPr>
        <w:t xml:space="preserve"> (Pardo et al., 2017a)</w:t>
      </w:r>
      <w:r w:rsidRPr="00062F7E">
        <w:rPr>
          <w:color w:val="000000" w:themeColor="text1"/>
        </w:rPr>
        <w:t xml:space="preserve">. </w:t>
      </w:r>
      <w:r w:rsidRPr="00062F7E">
        <w:rPr>
          <w:i/>
          <w:iCs/>
          <w:color w:val="000000" w:themeColor="text1"/>
        </w:rPr>
        <w:t>Chinlestegophis</w:t>
      </w:r>
      <w:r w:rsidR="001D449E">
        <w:rPr>
          <w:i/>
          <w:iCs/>
          <w:color w:val="000000" w:themeColor="text1"/>
        </w:rPr>
        <w:t xml:space="preserve"> jenkinsi</w:t>
      </w:r>
      <w:r w:rsidRPr="00062F7E">
        <w:rPr>
          <w:color w:val="000000" w:themeColor="text1"/>
        </w:rPr>
        <w:t xml:space="preserve"> is only slightly younger than the middle</w:t>
      </w:r>
      <w:r w:rsidR="00280E49">
        <w:rPr>
          <w:color w:val="000000" w:themeColor="text1"/>
        </w:rPr>
        <w:t xml:space="preserve"> </w:t>
      </w:r>
      <w:r w:rsidRPr="00062F7E">
        <w:rPr>
          <w:color w:val="000000" w:themeColor="text1"/>
        </w:rPr>
        <w:t xml:space="preserve">Norian-aged </w:t>
      </w:r>
      <w:proofErr w:type="spellStart"/>
      <w:r w:rsidRPr="00062F7E">
        <w:rPr>
          <w:i/>
          <w:iCs/>
          <w:color w:val="000000" w:themeColor="text1"/>
        </w:rPr>
        <w:t>Funcusvermis</w:t>
      </w:r>
      <w:proofErr w:type="spellEnd"/>
      <w:r w:rsidR="002E582B">
        <w:rPr>
          <w:i/>
          <w:iCs/>
          <w:color w:val="000000" w:themeColor="text1"/>
        </w:rPr>
        <w:t xml:space="preserve"> </w:t>
      </w:r>
      <w:proofErr w:type="spellStart"/>
      <w:r w:rsidR="002E582B">
        <w:rPr>
          <w:i/>
          <w:iCs/>
          <w:color w:val="000000" w:themeColor="text1"/>
        </w:rPr>
        <w:t>gilmorei</w:t>
      </w:r>
      <w:proofErr w:type="spellEnd"/>
      <w:r w:rsidRPr="00062F7E">
        <w:rPr>
          <w:color w:val="000000" w:themeColor="text1"/>
        </w:rPr>
        <w:t xml:space="preserve"> (</w:t>
      </w:r>
      <w:proofErr w:type="spellStart"/>
      <w:r w:rsidRPr="00062F7E">
        <w:rPr>
          <w:color w:val="000000" w:themeColor="text1"/>
        </w:rPr>
        <w:t>Adamanian</w:t>
      </w:r>
      <w:proofErr w:type="spellEnd"/>
      <w:r w:rsidRPr="00062F7E">
        <w:rPr>
          <w:color w:val="000000" w:themeColor="text1"/>
        </w:rPr>
        <w:t xml:space="preserve"> </w:t>
      </w:r>
      <w:r w:rsidR="00207791">
        <w:rPr>
          <w:color w:val="000000" w:themeColor="text1"/>
        </w:rPr>
        <w:t xml:space="preserve">Estimated </w:t>
      </w:r>
      <w:proofErr w:type="spellStart"/>
      <w:r w:rsidR="00207791">
        <w:rPr>
          <w:color w:val="000000" w:themeColor="text1"/>
        </w:rPr>
        <w:t>Holochron</w:t>
      </w:r>
      <w:proofErr w:type="spellEnd"/>
      <w:r w:rsidRPr="00062F7E">
        <w:rPr>
          <w:color w:val="000000" w:themeColor="text1"/>
        </w:rPr>
        <w:t>), and the present-day provenance of these two taxa are separated spatially by approximately 400 km.</w:t>
      </w:r>
      <w:r w:rsidR="00385EB7">
        <w:rPr>
          <w:color w:val="000000" w:themeColor="text1"/>
        </w:rPr>
        <w:t xml:space="preserve"> </w:t>
      </w:r>
      <w:r w:rsidR="00385EB7" w:rsidRPr="00662B68">
        <w:rPr>
          <w:i/>
          <w:iCs/>
          <w:color w:val="000000" w:themeColor="text1"/>
        </w:rPr>
        <w:t>Rileymillerus</w:t>
      </w:r>
      <w:r w:rsidR="001D449E">
        <w:rPr>
          <w:i/>
          <w:iCs/>
          <w:color w:val="000000" w:themeColor="text1"/>
        </w:rPr>
        <w:t xml:space="preserve"> cosgriffi</w:t>
      </w:r>
      <w:r w:rsidR="008C3C6D">
        <w:rPr>
          <w:color w:val="000000" w:themeColor="text1"/>
        </w:rPr>
        <w:t xml:space="preserve"> was recovered from </w:t>
      </w:r>
      <w:r w:rsidR="00A47AA8">
        <w:rPr>
          <w:color w:val="000000" w:themeColor="text1"/>
        </w:rPr>
        <w:t xml:space="preserve">the Upper Triassic Dockum Group (middle-late Norian; </w:t>
      </w:r>
      <w:proofErr w:type="spellStart"/>
      <w:r w:rsidR="00A47AA8">
        <w:rPr>
          <w:color w:val="000000" w:themeColor="text1"/>
        </w:rPr>
        <w:t>Adamanian</w:t>
      </w:r>
      <w:proofErr w:type="spellEnd"/>
      <w:r w:rsidR="00A47AA8">
        <w:rPr>
          <w:color w:val="000000" w:themeColor="text1"/>
        </w:rPr>
        <w:t xml:space="preserve"> </w:t>
      </w:r>
      <w:r w:rsidR="00207791">
        <w:rPr>
          <w:color w:val="000000" w:themeColor="text1"/>
        </w:rPr>
        <w:t xml:space="preserve">Estimated </w:t>
      </w:r>
      <w:proofErr w:type="spellStart"/>
      <w:r w:rsidR="00207791">
        <w:rPr>
          <w:color w:val="000000" w:themeColor="text1"/>
        </w:rPr>
        <w:t>Holochron</w:t>
      </w:r>
      <w:proofErr w:type="spellEnd"/>
      <w:r w:rsidR="00A47AA8">
        <w:rPr>
          <w:color w:val="000000" w:themeColor="text1"/>
        </w:rPr>
        <w:t>) in Garza County</w:t>
      </w:r>
      <w:r w:rsidR="0097118D">
        <w:rPr>
          <w:color w:val="000000" w:themeColor="text1"/>
        </w:rPr>
        <w:t>,</w:t>
      </w:r>
      <w:r w:rsidR="00A47AA8">
        <w:rPr>
          <w:color w:val="000000" w:themeColor="text1"/>
        </w:rPr>
        <w:t xml:space="preserve"> Texas (Martz et al., 201</w:t>
      </w:r>
      <w:r w:rsidR="008713BA">
        <w:rPr>
          <w:color w:val="000000" w:themeColor="text1"/>
        </w:rPr>
        <w:t>2</w:t>
      </w:r>
      <w:r w:rsidR="00A47AA8">
        <w:rPr>
          <w:color w:val="000000" w:themeColor="text1"/>
        </w:rPr>
        <w:t xml:space="preserve">). </w:t>
      </w:r>
      <w:r w:rsidRPr="00062F7E">
        <w:rPr>
          <w:color w:val="000000" w:themeColor="text1"/>
        </w:rPr>
        <w:t xml:space="preserve">The </w:t>
      </w:r>
      <w:r w:rsidR="0036693B" w:rsidRPr="00062F7E">
        <w:rPr>
          <w:color w:val="000000" w:themeColor="text1"/>
        </w:rPr>
        <w:t xml:space="preserve">proximal </w:t>
      </w:r>
      <w:r w:rsidRPr="00062F7E">
        <w:rPr>
          <w:color w:val="000000" w:themeColor="text1"/>
        </w:rPr>
        <w:t>spatiotemporal occurrence of these taxa is evidence that fossorial caecilian-like ster</w:t>
      </w:r>
      <w:r w:rsidR="0049464B">
        <w:rPr>
          <w:color w:val="000000" w:themeColor="text1"/>
        </w:rPr>
        <w:t>e</w:t>
      </w:r>
      <w:r w:rsidRPr="00062F7E">
        <w:rPr>
          <w:color w:val="000000" w:themeColor="text1"/>
        </w:rPr>
        <w:t xml:space="preserve">ospondyls such as </w:t>
      </w:r>
      <w:r w:rsidR="001D449E">
        <w:rPr>
          <w:i/>
          <w:iCs/>
          <w:color w:val="000000" w:themeColor="text1"/>
        </w:rPr>
        <w:t>C. jenkinsi</w:t>
      </w:r>
      <w:r w:rsidR="001D449E" w:rsidRPr="00062F7E">
        <w:rPr>
          <w:color w:val="000000" w:themeColor="text1"/>
        </w:rPr>
        <w:t xml:space="preserve"> </w:t>
      </w:r>
      <w:r w:rsidRPr="00062F7E">
        <w:rPr>
          <w:color w:val="000000" w:themeColor="text1"/>
        </w:rPr>
        <w:t xml:space="preserve">and </w:t>
      </w:r>
      <w:r w:rsidR="001D449E">
        <w:rPr>
          <w:i/>
          <w:iCs/>
          <w:color w:val="000000" w:themeColor="text1"/>
        </w:rPr>
        <w:t>R. cosgriffi</w:t>
      </w:r>
      <w:r w:rsidR="001D449E" w:rsidRPr="00062F7E">
        <w:rPr>
          <w:color w:val="000000" w:themeColor="text1"/>
        </w:rPr>
        <w:t xml:space="preserve"> </w:t>
      </w:r>
      <w:r w:rsidRPr="00062F7E">
        <w:rPr>
          <w:color w:val="000000" w:themeColor="text1"/>
        </w:rPr>
        <w:t>and stem-caecilians with uncertain life habits</w:t>
      </w:r>
      <w:r w:rsidR="00A25929">
        <w:rPr>
          <w:color w:val="000000" w:themeColor="text1"/>
        </w:rPr>
        <w:t xml:space="preserve"> (</w:t>
      </w:r>
      <w:r w:rsidR="00CF0AFA" w:rsidRPr="003821F4">
        <w:rPr>
          <w:i/>
          <w:iCs/>
          <w:color w:val="000000" w:themeColor="text1"/>
        </w:rPr>
        <w:t>Funcusvermis</w:t>
      </w:r>
      <w:r w:rsidR="001D449E">
        <w:rPr>
          <w:i/>
          <w:iCs/>
          <w:color w:val="000000" w:themeColor="text1"/>
        </w:rPr>
        <w:t xml:space="preserve"> gilmorei</w:t>
      </w:r>
      <w:r w:rsidR="00CF0AFA">
        <w:rPr>
          <w:color w:val="000000" w:themeColor="text1"/>
        </w:rPr>
        <w:t>)</w:t>
      </w:r>
      <w:r w:rsidRPr="00062F7E">
        <w:rPr>
          <w:color w:val="000000" w:themeColor="text1"/>
        </w:rPr>
        <w:t xml:space="preserve"> were all members of the overall Late Triassic vertebrate assemblage of equatorial Pangaea (present day Southwestern North America). </w:t>
      </w:r>
    </w:p>
    <w:p w14:paraId="59732710" w14:textId="31DC32AC" w:rsidR="0072320A" w:rsidRDefault="0072320A" w:rsidP="00662B68">
      <w:pPr>
        <w:rPr>
          <w:color w:val="000000" w:themeColor="text1"/>
        </w:rPr>
      </w:pPr>
    </w:p>
    <w:p w14:paraId="351CBCE6" w14:textId="77777777" w:rsidR="005D19DB" w:rsidRDefault="005D19DB" w:rsidP="00662B68">
      <w:pPr>
        <w:tabs>
          <w:tab w:val="left" w:pos="2860"/>
        </w:tabs>
        <w:rPr>
          <w:b/>
          <w:bCs/>
          <w:sz w:val="28"/>
          <w:szCs w:val="28"/>
        </w:rPr>
      </w:pPr>
    </w:p>
    <w:p w14:paraId="7629C572" w14:textId="77777777" w:rsidR="005D19DB" w:rsidRDefault="005D19DB" w:rsidP="00662B68">
      <w:pPr>
        <w:tabs>
          <w:tab w:val="left" w:pos="2860"/>
        </w:tabs>
        <w:rPr>
          <w:b/>
          <w:bCs/>
          <w:sz w:val="28"/>
          <w:szCs w:val="28"/>
        </w:rPr>
      </w:pPr>
    </w:p>
    <w:p w14:paraId="207DAD23" w14:textId="77777777" w:rsidR="005D19DB" w:rsidRDefault="005D19DB" w:rsidP="00662B68">
      <w:pPr>
        <w:tabs>
          <w:tab w:val="left" w:pos="2860"/>
        </w:tabs>
        <w:rPr>
          <w:b/>
          <w:bCs/>
          <w:sz w:val="28"/>
          <w:szCs w:val="28"/>
        </w:rPr>
      </w:pPr>
    </w:p>
    <w:p w14:paraId="51528611" w14:textId="77777777" w:rsidR="005D19DB" w:rsidRDefault="005D19DB" w:rsidP="00662B68">
      <w:pPr>
        <w:tabs>
          <w:tab w:val="left" w:pos="2860"/>
        </w:tabs>
        <w:rPr>
          <w:b/>
          <w:bCs/>
          <w:sz w:val="28"/>
          <w:szCs w:val="28"/>
        </w:rPr>
      </w:pPr>
    </w:p>
    <w:p w14:paraId="47DB9986" w14:textId="77777777" w:rsidR="005D19DB" w:rsidRDefault="005D19DB" w:rsidP="00662B68">
      <w:pPr>
        <w:tabs>
          <w:tab w:val="left" w:pos="2860"/>
        </w:tabs>
        <w:rPr>
          <w:b/>
          <w:bCs/>
          <w:sz w:val="28"/>
          <w:szCs w:val="28"/>
        </w:rPr>
      </w:pPr>
    </w:p>
    <w:p w14:paraId="794723F6" w14:textId="77777777" w:rsidR="005D19DB" w:rsidRDefault="005D19DB" w:rsidP="00662B68">
      <w:pPr>
        <w:tabs>
          <w:tab w:val="left" w:pos="2860"/>
        </w:tabs>
        <w:rPr>
          <w:b/>
          <w:bCs/>
          <w:sz w:val="28"/>
          <w:szCs w:val="28"/>
        </w:rPr>
      </w:pPr>
    </w:p>
    <w:p w14:paraId="11CA6CA7" w14:textId="77777777" w:rsidR="005D19DB" w:rsidRDefault="005D19DB" w:rsidP="00662B68">
      <w:pPr>
        <w:tabs>
          <w:tab w:val="left" w:pos="2860"/>
        </w:tabs>
        <w:rPr>
          <w:b/>
          <w:bCs/>
          <w:sz w:val="28"/>
          <w:szCs w:val="28"/>
        </w:rPr>
      </w:pPr>
    </w:p>
    <w:p w14:paraId="390FDB4D" w14:textId="77777777" w:rsidR="005D19DB" w:rsidRDefault="005D19DB" w:rsidP="00662B68">
      <w:pPr>
        <w:tabs>
          <w:tab w:val="left" w:pos="2860"/>
        </w:tabs>
        <w:rPr>
          <w:b/>
          <w:bCs/>
          <w:sz w:val="28"/>
          <w:szCs w:val="28"/>
        </w:rPr>
      </w:pPr>
    </w:p>
    <w:p w14:paraId="6165714E" w14:textId="77777777" w:rsidR="005D19DB" w:rsidRDefault="005D19DB" w:rsidP="00662B68">
      <w:pPr>
        <w:tabs>
          <w:tab w:val="left" w:pos="2860"/>
        </w:tabs>
        <w:rPr>
          <w:b/>
          <w:bCs/>
          <w:sz w:val="28"/>
          <w:szCs w:val="28"/>
        </w:rPr>
      </w:pPr>
    </w:p>
    <w:p w14:paraId="7275E050" w14:textId="77777777" w:rsidR="005D19DB" w:rsidRDefault="005D19DB" w:rsidP="00662B68">
      <w:pPr>
        <w:tabs>
          <w:tab w:val="left" w:pos="2860"/>
        </w:tabs>
        <w:rPr>
          <w:b/>
          <w:bCs/>
          <w:sz w:val="28"/>
          <w:szCs w:val="28"/>
        </w:rPr>
      </w:pPr>
    </w:p>
    <w:p w14:paraId="282E9120" w14:textId="48015BA3" w:rsidR="005D19DB" w:rsidRDefault="005D19DB" w:rsidP="00662B68">
      <w:pPr>
        <w:tabs>
          <w:tab w:val="left" w:pos="2860"/>
        </w:tabs>
        <w:rPr>
          <w:b/>
          <w:bCs/>
          <w:sz w:val="28"/>
          <w:szCs w:val="28"/>
        </w:rPr>
      </w:pPr>
    </w:p>
    <w:p w14:paraId="772560FE" w14:textId="1267F529" w:rsidR="005D19DB" w:rsidRDefault="005D19DB" w:rsidP="00662B68">
      <w:pPr>
        <w:tabs>
          <w:tab w:val="left" w:pos="2860"/>
        </w:tabs>
        <w:rPr>
          <w:b/>
          <w:bCs/>
          <w:sz w:val="28"/>
          <w:szCs w:val="28"/>
        </w:rPr>
      </w:pPr>
    </w:p>
    <w:p w14:paraId="3934DB78" w14:textId="0E99DF84" w:rsidR="005D19DB" w:rsidRDefault="005D19DB" w:rsidP="00662B68">
      <w:pPr>
        <w:tabs>
          <w:tab w:val="left" w:pos="2860"/>
        </w:tabs>
        <w:rPr>
          <w:b/>
          <w:bCs/>
          <w:sz w:val="28"/>
          <w:szCs w:val="28"/>
        </w:rPr>
      </w:pPr>
    </w:p>
    <w:p w14:paraId="4020876C" w14:textId="32DB645A" w:rsidR="005D19DB" w:rsidRDefault="005D19DB" w:rsidP="00662B68">
      <w:pPr>
        <w:tabs>
          <w:tab w:val="left" w:pos="2860"/>
        </w:tabs>
        <w:rPr>
          <w:b/>
          <w:bCs/>
          <w:sz w:val="28"/>
          <w:szCs w:val="28"/>
        </w:rPr>
      </w:pPr>
    </w:p>
    <w:p w14:paraId="25A5A810" w14:textId="387BCFA3" w:rsidR="005D19DB" w:rsidRDefault="005D19DB" w:rsidP="00662B68">
      <w:pPr>
        <w:tabs>
          <w:tab w:val="left" w:pos="2860"/>
        </w:tabs>
        <w:rPr>
          <w:b/>
          <w:bCs/>
          <w:sz w:val="28"/>
          <w:szCs w:val="28"/>
        </w:rPr>
      </w:pPr>
    </w:p>
    <w:p w14:paraId="00D97FC1" w14:textId="305A5A17" w:rsidR="005D19DB" w:rsidRDefault="005D19DB" w:rsidP="00662B68">
      <w:pPr>
        <w:tabs>
          <w:tab w:val="left" w:pos="2860"/>
        </w:tabs>
        <w:rPr>
          <w:b/>
          <w:bCs/>
          <w:sz w:val="28"/>
          <w:szCs w:val="28"/>
        </w:rPr>
      </w:pPr>
    </w:p>
    <w:p w14:paraId="153F005C" w14:textId="405775F9" w:rsidR="005D19DB" w:rsidRDefault="005D19DB" w:rsidP="00662B68">
      <w:pPr>
        <w:tabs>
          <w:tab w:val="left" w:pos="2860"/>
        </w:tabs>
        <w:rPr>
          <w:b/>
          <w:bCs/>
          <w:sz w:val="28"/>
          <w:szCs w:val="28"/>
        </w:rPr>
      </w:pPr>
    </w:p>
    <w:p w14:paraId="7655993C" w14:textId="1E104736" w:rsidR="005D19DB" w:rsidRDefault="005D19DB" w:rsidP="00662B68">
      <w:pPr>
        <w:tabs>
          <w:tab w:val="left" w:pos="2860"/>
        </w:tabs>
        <w:rPr>
          <w:b/>
          <w:bCs/>
          <w:sz w:val="28"/>
          <w:szCs w:val="28"/>
        </w:rPr>
      </w:pPr>
    </w:p>
    <w:p w14:paraId="7188AC45" w14:textId="27F5F0B2" w:rsidR="005D19DB" w:rsidRDefault="005D19DB" w:rsidP="00662B68">
      <w:pPr>
        <w:tabs>
          <w:tab w:val="left" w:pos="2860"/>
        </w:tabs>
        <w:rPr>
          <w:b/>
          <w:bCs/>
          <w:sz w:val="28"/>
          <w:szCs w:val="28"/>
        </w:rPr>
      </w:pPr>
    </w:p>
    <w:p w14:paraId="211F9FF4" w14:textId="38A8408D" w:rsidR="005D19DB" w:rsidRDefault="005D19DB" w:rsidP="00662B68">
      <w:pPr>
        <w:tabs>
          <w:tab w:val="left" w:pos="2860"/>
        </w:tabs>
        <w:rPr>
          <w:b/>
          <w:bCs/>
          <w:sz w:val="28"/>
          <w:szCs w:val="28"/>
        </w:rPr>
      </w:pPr>
    </w:p>
    <w:p w14:paraId="29C125C9" w14:textId="77777777" w:rsidR="005D19DB" w:rsidRDefault="005D19DB" w:rsidP="00662B68">
      <w:pPr>
        <w:tabs>
          <w:tab w:val="left" w:pos="2860"/>
        </w:tabs>
        <w:rPr>
          <w:b/>
          <w:bCs/>
          <w:sz w:val="28"/>
          <w:szCs w:val="28"/>
        </w:rPr>
      </w:pPr>
    </w:p>
    <w:p w14:paraId="0C43BA50" w14:textId="09980619" w:rsidR="009C1A18" w:rsidRPr="00662B68" w:rsidRDefault="00511315" w:rsidP="00662B68">
      <w:pPr>
        <w:tabs>
          <w:tab w:val="left" w:pos="2860"/>
        </w:tabs>
        <w:rPr>
          <w:b/>
          <w:bCs/>
          <w:sz w:val="28"/>
          <w:szCs w:val="28"/>
        </w:rPr>
      </w:pPr>
      <w:r>
        <w:rPr>
          <w:b/>
          <w:bCs/>
          <w:sz w:val="28"/>
          <w:szCs w:val="28"/>
        </w:rPr>
        <w:t>4</w:t>
      </w:r>
      <w:r w:rsidR="00447B41" w:rsidRPr="00662B68">
        <w:rPr>
          <w:b/>
          <w:bCs/>
          <w:sz w:val="28"/>
          <w:szCs w:val="28"/>
        </w:rPr>
        <w:t>. Revis</w:t>
      </w:r>
      <w:r w:rsidR="00C47EA2">
        <w:rPr>
          <w:b/>
          <w:bCs/>
          <w:sz w:val="28"/>
          <w:szCs w:val="28"/>
        </w:rPr>
        <w:t>ions and additions to</w:t>
      </w:r>
      <w:r w:rsidR="005815A6">
        <w:rPr>
          <w:b/>
          <w:bCs/>
          <w:sz w:val="28"/>
          <w:szCs w:val="28"/>
        </w:rPr>
        <w:t xml:space="preserve"> </w:t>
      </w:r>
      <w:r w:rsidR="00447B41" w:rsidRPr="00662B68">
        <w:rPr>
          <w:b/>
          <w:bCs/>
          <w:sz w:val="28"/>
          <w:szCs w:val="28"/>
        </w:rPr>
        <w:t>phylogenetic dataset</w:t>
      </w:r>
    </w:p>
    <w:p w14:paraId="1D4F3FB2" w14:textId="77777777" w:rsidR="009C1A18" w:rsidRDefault="009C1A18" w:rsidP="009C1A18">
      <w:pPr>
        <w:tabs>
          <w:tab w:val="left" w:pos="2860"/>
        </w:tabs>
        <w:rPr>
          <w:b/>
          <w:bCs/>
        </w:rPr>
      </w:pPr>
    </w:p>
    <w:p w14:paraId="25D5924C" w14:textId="06D0AE1A" w:rsidR="00287837" w:rsidRDefault="009C1A18" w:rsidP="009C1A18">
      <w:pPr>
        <w:tabs>
          <w:tab w:val="left" w:pos="720"/>
        </w:tabs>
        <w:rPr>
          <w:color w:val="222222"/>
          <w:shd w:val="clear" w:color="auto" w:fill="FFFFFF"/>
        </w:rPr>
      </w:pPr>
      <w:r w:rsidRPr="00662B68">
        <w:rPr>
          <w:b/>
          <w:bCs/>
        </w:rPr>
        <w:t>Motivations</w:t>
      </w:r>
      <w:r w:rsidR="008757FF">
        <w:t>.</w:t>
      </w:r>
      <w:r w:rsidR="00287837">
        <w:t xml:space="preserve"> </w:t>
      </w:r>
      <w:r w:rsidR="00287837" w:rsidRPr="00287837">
        <w:rPr>
          <w:color w:val="222222"/>
          <w:shd w:val="clear" w:color="auto" w:fill="FFFFFF"/>
        </w:rPr>
        <w:t>The phylogenetic dataset built upon herein is derived from the dataset published in Schoch et al. (2020). The Schoch et al. (2020) matrix was selected because it has been previously employed to test the relationships of early-diverging lissamphibians (such as </w:t>
      </w:r>
      <w:r w:rsidR="00287837" w:rsidRPr="00287837">
        <w:rPr>
          <w:i/>
          <w:iCs/>
          <w:color w:val="222222"/>
          <w:shd w:val="clear" w:color="auto" w:fill="FFFFFF"/>
        </w:rPr>
        <w:t>Funcusvermis gilmorei</w:t>
      </w:r>
      <w:r w:rsidR="00287837" w:rsidRPr="00287837">
        <w:rPr>
          <w:color w:val="222222"/>
          <w:shd w:val="clear" w:color="auto" w:fill="FFFFFF"/>
        </w:rPr>
        <w:t>) because of its comprehensive sampling of temnospondyls, including the putative stem caecilian </w:t>
      </w:r>
      <w:r w:rsidR="00287837" w:rsidRPr="00287837">
        <w:rPr>
          <w:i/>
          <w:iCs/>
          <w:color w:val="222222"/>
          <w:shd w:val="clear" w:color="auto" w:fill="FFFFFF"/>
        </w:rPr>
        <w:t>Chinlestegophis jenkinsi</w:t>
      </w:r>
      <w:r w:rsidR="00287837" w:rsidRPr="00287837">
        <w:rPr>
          <w:color w:val="222222"/>
          <w:shd w:val="clear" w:color="auto" w:fill="FFFFFF"/>
        </w:rPr>
        <w:t> and other stereospondyls (Pardo et al., 2017</w:t>
      </w:r>
      <w:r w:rsidR="008713BA">
        <w:rPr>
          <w:color w:val="222222"/>
          <w:shd w:val="clear" w:color="auto" w:fill="FFFFFF"/>
        </w:rPr>
        <w:t>a</w:t>
      </w:r>
      <w:r w:rsidR="00287837" w:rsidRPr="00287837">
        <w:rPr>
          <w:color w:val="222222"/>
          <w:shd w:val="clear" w:color="auto" w:fill="FFFFFF"/>
        </w:rPr>
        <w:t>), and appreciable sampling of extant lissamphibians. For these aforementioned reasons this dataset was chosen for testing the relationships of</w:t>
      </w:r>
      <w:r w:rsidR="00287837" w:rsidRPr="00287837">
        <w:rPr>
          <w:i/>
          <w:iCs/>
          <w:color w:val="222222"/>
          <w:shd w:val="clear" w:color="auto" w:fill="FFFFFF"/>
        </w:rPr>
        <w:t> F. gilmorei</w:t>
      </w:r>
      <w:r w:rsidR="00287837" w:rsidRPr="00287837">
        <w:rPr>
          <w:color w:val="222222"/>
          <w:shd w:val="clear" w:color="auto" w:fill="FFFFFF"/>
        </w:rPr>
        <w:t xml:space="preserve">, however, during our </w:t>
      </w:r>
      <w:r w:rsidR="00287837">
        <w:rPr>
          <w:color w:val="222222"/>
          <w:shd w:val="clear" w:color="auto" w:fill="FFFFFF"/>
        </w:rPr>
        <w:t>coding</w:t>
      </w:r>
      <w:r w:rsidR="00287837" w:rsidRPr="00287837">
        <w:rPr>
          <w:color w:val="222222"/>
          <w:shd w:val="clear" w:color="auto" w:fill="FFFFFF"/>
        </w:rPr>
        <w:t xml:space="preserve"> of </w:t>
      </w:r>
      <w:r w:rsidR="00287837" w:rsidRPr="00287837">
        <w:rPr>
          <w:i/>
          <w:iCs/>
          <w:color w:val="222222"/>
          <w:shd w:val="clear" w:color="auto" w:fill="FFFFFF"/>
        </w:rPr>
        <w:t>F. gilmorei </w:t>
      </w:r>
      <w:r w:rsidR="00287837" w:rsidRPr="00287837">
        <w:rPr>
          <w:color w:val="222222"/>
          <w:shd w:val="clear" w:color="auto" w:fill="FFFFFF"/>
        </w:rPr>
        <w:t xml:space="preserve">into the matrix of Schoch et al. (2020), we encountered a number of </w:t>
      </w:r>
      <w:proofErr w:type="spellStart"/>
      <w:r w:rsidR="00287837">
        <w:rPr>
          <w:color w:val="222222"/>
          <w:shd w:val="clear" w:color="auto" w:fill="FFFFFF"/>
        </w:rPr>
        <w:t>codings</w:t>
      </w:r>
      <w:proofErr w:type="spellEnd"/>
      <w:r w:rsidR="00287837" w:rsidRPr="00287837">
        <w:rPr>
          <w:color w:val="222222"/>
          <w:shd w:val="clear" w:color="auto" w:fill="FFFFFF"/>
        </w:rPr>
        <w:t xml:space="preserve"> that </w:t>
      </w:r>
      <w:r w:rsidR="00287837">
        <w:rPr>
          <w:color w:val="222222"/>
          <w:shd w:val="clear" w:color="auto" w:fill="FFFFFF"/>
        </w:rPr>
        <w:t>are in need of modification based on examination of published literature</w:t>
      </w:r>
      <w:r w:rsidR="00287837" w:rsidRPr="00287837">
        <w:rPr>
          <w:color w:val="222222"/>
          <w:shd w:val="clear" w:color="auto" w:fill="FFFFFF"/>
        </w:rPr>
        <w:t xml:space="preserve">. A number of these </w:t>
      </w:r>
      <w:proofErr w:type="spellStart"/>
      <w:r w:rsidR="00287837">
        <w:rPr>
          <w:color w:val="222222"/>
          <w:shd w:val="clear" w:color="auto" w:fill="FFFFFF"/>
        </w:rPr>
        <w:t>codings</w:t>
      </w:r>
      <w:proofErr w:type="spellEnd"/>
      <w:r w:rsidR="00287837" w:rsidRPr="00287837">
        <w:rPr>
          <w:color w:val="222222"/>
          <w:shd w:val="clear" w:color="auto" w:fill="FFFFFF"/>
        </w:rPr>
        <w:t xml:space="preserve"> were traced back to previous versions of the matrix and have the potential to greatly influence the results of the phylogenetic analysis, whether because they occur in focal taxa or in characters cited as important in the origin of lissamphibians. To avoid introducing asymmetry into the matrix by only modifying select </w:t>
      </w:r>
      <w:proofErr w:type="spellStart"/>
      <w:r w:rsidR="00287837">
        <w:rPr>
          <w:color w:val="222222"/>
          <w:shd w:val="clear" w:color="auto" w:fill="FFFFFF"/>
        </w:rPr>
        <w:t>codings</w:t>
      </w:r>
      <w:proofErr w:type="spellEnd"/>
      <w:r w:rsidR="00287837" w:rsidRPr="00287837">
        <w:rPr>
          <w:color w:val="222222"/>
          <w:shd w:val="clear" w:color="auto" w:fill="FFFFFF"/>
        </w:rPr>
        <w:t xml:space="preserve">, we undertook a systematic survey and revision of the character/taxon matrix of Schoch et al. (2020), leading to many changes to characters and character </w:t>
      </w:r>
      <w:proofErr w:type="spellStart"/>
      <w:r w:rsidR="00224789">
        <w:rPr>
          <w:color w:val="222222"/>
          <w:shd w:val="clear" w:color="auto" w:fill="FFFFFF"/>
        </w:rPr>
        <w:t>coding</w:t>
      </w:r>
      <w:r w:rsidR="00287837" w:rsidRPr="00287837">
        <w:rPr>
          <w:color w:val="222222"/>
          <w:shd w:val="clear" w:color="auto" w:fill="FFFFFF"/>
        </w:rPr>
        <w:t>s</w:t>
      </w:r>
      <w:proofErr w:type="spellEnd"/>
      <w:r w:rsidR="00287837" w:rsidRPr="00287837">
        <w:rPr>
          <w:color w:val="222222"/>
          <w:shd w:val="clear" w:color="auto" w:fill="FFFFFF"/>
        </w:rPr>
        <w:t xml:space="preserve"> which we document in detail below. As a result, our revision is now the most up-to-date version of the Schoch et al. (2020) dataset and could be used for both future temnospondyl and lissamphibian studies. Our phylogenetic results (see </w:t>
      </w:r>
      <w:r w:rsidR="00EB7BB6">
        <w:rPr>
          <w:color w:val="222222"/>
          <w:shd w:val="clear" w:color="auto" w:fill="FFFFFF"/>
        </w:rPr>
        <w:t>M</w:t>
      </w:r>
      <w:r w:rsidR="00287837" w:rsidRPr="00287837">
        <w:rPr>
          <w:color w:val="222222"/>
          <w:shd w:val="clear" w:color="auto" w:fill="FFFFFF"/>
        </w:rPr>
        <w:t xml:space="preserve">ethods) using this revised matrix are shown in Fig. 3 and Extended Data Figs. </w:t>
      </w:r>
      <w:r w:rsidR="00EB7BB6">
        <w:rPr>
          <w:color w:val="222222"/>
          <w:shd w:val="clear" w:color="auto" w:fill="FFFFFF"/>
        </w:rPr>
        <w:t>5</w:t>
      </w:r>
      <w:r w:rsidR="00287837" w:rsidRPr="00287837">
        <w:rPr>
          <w:color w:val="222222"/>
          <w:shd w:val="clear" w:color="auto" w:fill="FFFFFF"/>
        </w:rPr>
        <w:t>-</w:t>
      </w:r>
      <w:r w:rsidR="00EB7BB6">
        <w:rPr>
          <w:color w:val="222222"/>
          <w:shd w:val="clear" w:color="auto" w:fill="FFFFFF"/>
        </w:rPr>
        <w:t>7</w:t>
      </w:r>
      <w:r w:rsidR="00287837" w:rsidRPr="00287837">
        <w:rPr>
          <w:color w:val="222222"/>
          <w:shd w:val="clear" w:color="auto" w:fill="FFFFFF"/>
        </w:rPr>
        <w:t>.</w:t>
      </w:r>
    </w:p>
    <w:p w14:paraId="5101DB4A" w14:textId="77777777" w:rsidR="00AF59B6" w:rsidRPr="00B23F8D" w:rsidRDefault="00AF59B6" w:rsidP="009C1A18">
      <w:pPr>
        <w:tabs>
          <w:tab w:val="left" w:pos="2860"/>
        </w:tabs>
      </w:pPr>
    </w:p>
    <w:p w14:paraId="070745DE" w14:textId="77777777" w:rsidR="006B048C" w:rsidRDefault="009C1A18" w:rsidP="009C1A18">
      <w:pPr>
        <w:tabs>
          <w:tab w:val="left" w:pos="2860"/>
        </w:tabs>
      </w:pPr>
      <w:r w:rsidRPr="00662B68">
        <w:rPr>
          <w:b/>
          <w:bCs/>
        </w:rPr>
        <w:t>Matrix history</w:t>
      </w:r>
      <w:r w:rsidR="008757FF">
        <w:rPr>
          <w:b/>
          <w:bCs/>
        </w:rPr>
        <w:t xml:space="preserve">. </w:t>
      </w:r>
      <w:r>
        <w:t>The matrix of Schoch et al. (2020) represents a relatively minimally modified version of the matrix employed by Pardo et al. (2017</w:t>
      </w:r>
      <w:r w:rsidR="008A73A7">
        <w:t>a</w:t>
      </w:r>
      <w:r>
        <w:t xml:space="preserve">), who made substantive character modifications to the matrix of Schoch (2013), which was originally </w:t>
      </w:r>
      <w:r w:rsidR="004F07C8">
        <w:t xml:space="preserve">constructed </w:t>
      </w:r>
      <w:r>
        <w:t xml:space="preserve">to test the interrelationships of temnospondyls without consideration of lissamphibian origins. </w:t>
      </w:r>
      <w:r w:rsidR="000852E8">
        <w:t xml:space="preserve">The </w:t>
      </w:r>
      <w:r>
        <w:t>Schoch</w:t>
      </w:r>
      <w:r w:rsidR="002F034D">
        <w:t xml:space="preserve"> (201</w:t>
      </w:r>
      <w:r w:rsidR="004C69A4">
        <w:t xml:space="preserve">3) </w:t>
      </w:r>
      <w:r>
        <w:t>matrix in turn represents the collation of smaller-scale analyses of various temnospondyl clades and sampled 70 temnospondyls (although eight were excluded from the final analysis</w:t>
      </w:r>
      <w:r w:rsidR="004235E2">
        <w:t xml:space="preserve"> for which results are discussed and figured in detail</w:t>
      </w:r>
      <w:r>
        <w:t xml:space="preserve">). Pardo et al. </w:t>
      </w:r>
      <w:r w:rsidR="00EC5AE2">
        <w:t>(2017</w:t>
      </w:r>
      <w:r w:rsidR="006A6666">
        <w:t xml:space="preserve">a) </w:t>
      </w:r>
      <w:r>
        <w:t>excluded several other temnospondyls (</w:t>
      </w:r>
      <w:proofErr w:type="spellStart"/>
      <w:r>
        <w:rPr>
          <w:i/>
          <w:iCs/>
        </w:rPr>
        <w:t>Thabanachuia</w:t>
      </w:r>
      <w:proofErr w:type="spellEnd"/>
      <w:r>
        <w:rPr>
          <w:i/>
          <w:iCs/>
        </w:rPr>
        <w:t xml:space="preserve"> </w:t>
      </w:r>
      <w:proofErr w:type="spellStart"/>
      <w:r>
        <w:rPr>
          <w:i/>
          <w:iCs/>
        </w:rPr>
        <w:t>oomie</w:t>
      </w:r>
      <w:proofErr w:type="spellEnd"/>
      <w:r>
        <w:rPr>
          <w:i/>
          <w:iCs/>
        </w:rPr>
        <w:t xml:space="preserve">, </w:t>
      </w:r>
      <w:proofErr w:type="spellStart"/>
      <w:r>
        <w:rPr>
          <w:i/>
          <w:iCs/>
        </w:rPr>
        <w:t>Tupilakosaurus</w:t>
      </w:r>
      <w:proofErr w:type="spellEnd"/>
      <w:r>
        <w:rPr>
          <w:i/>
          <w:iCs/>
        </w:rPr>
        <w:t xml:space="preserve"> </w:t>
      </w:r>
      <w:proofErr w:type="spellStart"/>
      <w:r>
        <w:rPr>
          <w:i/>
          <w:iCs/>
        </w:rPr>
        <w:t>wetlugensis</w:t>
      </w:r>
      <w:proofErr w:type="spellEnd"/>
      <w:r>
        <w:rPr>
          <w:i/>
          <w:iCs/>
        </w:rPr>
        <w:t xml:space="preserve">, </w:t>
      </w:r>
      <w:proofErr w:type="spellStart"/>
      <w:r>
        <w:rPr>
          <w:i/>
          <w:iCs/>
        </w:rPr>
        <w:t>Branchierpeton</w:t>
      </w:r>
      <w:proofErr w:type="spellEnd"/>
      <w:r>
        <w:rPr>
          <w:i/>
          <w:iCs/>
        </w:rPr>
        <w:t xml:space="preserve"> </w:t>
      </w:r>
      <w:proofErr w:type="spellStart"/>
      <w:r>
        <w:rPr>
          <w:i/>
          <w:iCs/>
        </w:rPr>
        <w:t>amblystomum</w:t>
      </w:r>
      <w:proofErr w:type="spellEnd"/>
      <w:r>
        <w:rPr>
          <w:i/>
          <w:iCs/>
        </w:rPr>
        <w:t xml:space="preserve">, Branchiosaurus </w:t>
      </w:r>
      <w:proofErr w:type="spellStart"/>
      <w:r>
        <w:rPr>
          <w:i/>
          <w:iCs/>
        </w:rPr>
        <w:t>salamandroides</w:t>
      </w:r>
      <w:proofErr w:type="spellEnd"/>
      <w:r>
        <w:rPr>
          <w:i/>
          <w:iCs/>
        </w:rPr>
        <w:t xml:space="preserve">, </w:t>
      </w:r>
      <w:proofErr w:type="spellStart"/>
      <w:r>
        <w:rPr>
          <w:i/>
          <w:iCs/>
        </w:rPr>
        <w:t>Watsonisuchus</w:t>
      </w:r>
      <w:proofErr w:type="spellEnd"/>
      <w:r>
        <w:rPr>
          <w:i/>
          <w:iCs/>
        </w:rPr>
        <w:t xml:space="preserve"> </w:t>
      </w:r>
      <w:proofErr w:type="spellStart"/>
      <w:r>
        <w:rPr>
          <w:i/>
          <w:iCs/>
        </w:rPr>
        <w:t>gunganji</w:t>
      </w:r>
      <w:proofErr w:type="spellEnd"/>
      <w:r>
        <w:t xml:space="preserve">, </w:t>
      </w:r>
      <w:proofErr w:type="spellStart"/>
      <w:r>
        <w:rPr>
          <w:i/>
          <w:iCs/>
        </w:rPr>
        <w:t>Wetlugasaurus</w:t>
      </w:r>
      <w:proofErr w:type="spellEnd"/>
      <w:r>
        <w:rPr>
          <w:i/>
          <w:iCs/>
        </w:rPr>
        <w:t xml:space="preserve"> </w:t>
      </w:r>
      <w:proofErr w:type="spellStart"/>
      <w:r>
        <w:rPr>
          <w:i/>
          <w:iCs/>
        </w:rPr>
        <w:t>angustifrons</w:t>
      </w:r>
      <w:proofErr w:type="spellEnd"/>
      <w:r>
        <w:rPr>
          <w:i/>
          <w:iCs/>
        </w:rPr>
        <w:t xml:space="preserve">, </w:t>
      </w:r>
      <w:proofErr w:type="spellStart"/>
      <w:r>
        <w:rPr>
          <w:i/>
          <w:iCs/>
        </w:rPr>
        <w:t>Eryosuchus</w:t>
      </w:r>
      <w:proofErr w:type="spellEnd"/>
      <w:r>
        <w:rPr>
          <w:i/>
          <w:iCs/>
        </w:rPr>
        <w:t xml:space="preserve"> </w:t>
      </w:r>
      <w:proofErr w:type="spellStart"/>
      <w:r>
        <w:rPr>
          <w:i/>
          <w:iCs/>
        </w:rPr>
        <w:t>garjainovi</w:t>
      </w:r>
      <w:proofErr w:type="spellEnd"/>
      <w:r>
        <w:t xml:space="preserve">, </w:t>
      </w:r>
      <w:proofErr w:type="spellStart"/>
      <w:r>
        <w:rPr>
          <w:i/>
          <w:iCs/>
        </w:rPr>
        <w:t>Eocyclotosaurus</w:t>
      </w:r>
      <w:proofErr w:type="spellEnd"/>
      <w:r>
        <w:rPr>
          <w:i/>
          <w:iCs/>
        </w:rPr>
        <w:t xml:space="preserve"> </w:t>
      </w:r>
      <w:proofErr w:type="spellStart"/>
      <w:r>
        <w:rPr>
          <w:i/>
          <w:iCs/>
        </w:rPr>
        <w:t>wellesi</w:t>
      </w:r>
      <w:proofErr w:type="spellEnd"/>
      <w:r>
        <w:t>) but also sampled several of the taxa excluded by Schoch</w:t>
      </w:r>
      <w:r w:rsidR="007C7D72">
        <w:t xml:space="preserve"> </w:t>
      </w:r>
      <w:r>
        <w:t xml:space="preserve">(e.g., </w:t>
      </w:r>
      <w:r>
        <w:rPr>
          <w:i/>
          <w:iCs/>
        </w:rPr>
        <w:t>Lapillopsis nana</w:t>
      </w:r>
      <w:r>
        <w:t xml:space="preserve">, </w:t>
      </w:r>
      <w:r>
        <w:rPr>
          <w:i/>
          <w:iCs/>
        </w:rPr>
        <w:t>Peltobatrachus pustulatus</w:t>
      </w:r>
      <w:r>
        <w:t xml:space="preserve">) and added </w:t>
      </w:r>
      <w:r>
        <w:rPr>
          <w:i/>
          <w:iCs/>
        </w:rPr>
        <w:t xml:space="preserve">Chinlestegophis jenkinsi </w:t>
      </w:r>
      <w:r>
        <w:t xml:space="preserve">and </w:t>
      </w:r>
      <w:r>
        <w:rPr>
          <w:i/>
          <w:iCs/>
        </w:rPr>
        <w:t xml:space="preserve">Rileymillerus cosgriffi </w:t>
      </w:r>
      <w:r>
        <w:t>to produce a total of 65 temnospondyls.</w:t>
      </w:r>
    </w:p>
    <w:p w14:paraId="3937F852" w14:textId="5F91A67F" w:rsidR="009C1A18" w:rsidRPr="00662B68" w:rsidRDefault="006B048C" w:rsidP="009C1A18">
      <w:pPr>
        <w:tabs>
          <w:tab w:val="left" w:pos="2860"/>
        </w:tabs>
        <w:rPr>
          <w:b/>
          <w:bCs/>
        </w:rPr>
      </w:pPr>
      <w:r>
        <w:t xml:space="preserve">             </w:t>
      </w:r>
      <w:r w:rsidR="009C1A18">
        <w:rPr>
          <w:i/>
          <w:iCs/>
        </w:rPr>
        <w:t xml:space="preserve"> </w:t>
      </w:r>
      <w:r w:rsidR="009C1A18">
        <w:t xml:space="preserve">All temnospondyls other than </w:t>
      </w:r>
      <w:r w:rsidR="009C1A18">
        <w:rPr>
          <w:i/>
          <w:iCs/>
        </w:rPr>
        <w:t>C</w:t>
      </w:r>
      <w:r w:rsidR="008841B9">
        <w:rPr>
          <w:i/>
          <w:iCs/>
        </w:rPr>
        <w:t>hinlestego</w:t>
      </w:r>
      <w:r w:rsidR="00096251">
        <w:rPr>
          <w:i/>
          <w:iCs/>
        </w:rPr>
        <w:t>phis</w:t>
      </w:r>
      <w:r w:rsidR="009C1A18">
        <w:rPr>
          <w:i/>
          <w:iCs/>
        </w:rPr>
        <w:t xml:space="preserve"> jenkinsi </w:t>
      </w:r>
      <w:r w:rsidR="009C1A18">
        <w:t xml:space="preserve">and </w:t>
      </w:r>
      <w:r w:rsidR="009C1A18">
        <w:rPr>
          <w:i/>
          <w:iCs/>
        </w:rPr>
        <w:t>R</w:t>
      </w:r>
      <w:r w:rsidR="00096251">
        <w:rPr>
          <w:i/>
          <w:iCs/>
        </w:rPr>
        <w:t>ileym</w:t>
      </w:r>
      <w:r w:rsidR="007D3F8C">
        <w:rPr>
          <w:i/>
          <w:iCs/>
        </w:rPr>
        <w:t xml:space="preserve">illerus </w:t>
      </w:r>
      <w:r w:rsidR="009C1A18">
        <w:rPr>
          <w:i/>
          <w:iCs/>
        </w:rPr>
        <w:t xml:space="preserve">cosgriffi </w:t>
      </w:r>
      <w:r w:rsidR="009C1A18">
        <w:t xml:space="preserve">were originally </w:t>
      </w:r>
      <w:r w:rsidR="00224789">
        <w:t>coded</w:t>
      </w:r>
      <w:r w:rsidR="009C1A18">
        <w:t xml:space="preserve"> for characters 1–212 by Schoch (2013), for characters 213–345 by Pardo et al. (2017</w:t>
      </w:r>
      <w:r w:rsidR="000F3A90">
        <w:t>a</w:t>
      </w:r>
      <w:r w:rsidR="009C1A18">
        <w:t xml:space="preserve">), and for characters 346–360 by Schoch et al. (2020). </w:t>
      </w:r>
      <w:r w:rsidRPr="00A155FA">
        <w:t>It should be noted that although Pardo et al. did not mention or document any coding modifications, they incorporated most of the changes made by Dilkes (2015) to the original matrix of Schoch (2013), as noted by Marjanović &amp; Laurin (2019). The matrix of Pardo et al. (2017a) therefore is not a first-order derivate of Schoch (2013), with modification, but rather a second-order derivate via Dilkes (2015), with modification.</w:t>
      </w:r>
      <w:r>
        <w:t xml:space="preserve"> </w:t>
      </w:r>
      <w:r w:rsidR="009C1A18">
        <w:rPr>
          <w:i/>
          <w:iCs/>
        </w:rPr>
        <w:t xml:space="preserve">Chinlestegophis jenkinsi </w:t>
      </w:r>
      <w:r w:rsidR="009C1A18">
        <w:t xml:space="preserve">and </w:t>
      </w:r>
      <w:r w:rsidR="009C1A18">
        <w:rPr>
          <w:i/>
          <w:iCs/>
        </w:rPr>
        <w:t>R</w:t>
      </w:r>
      <w:r w:rsidR="007D3F8C">
        <w:rPr>
          <w:i/>
          <w:iCs/>
        </w:rPr>
        <w:t>iley</w:t>
      </w:r>
      <w:r w:rsidR="006238C3">
        <w:rPr>
          <w:i/>
          <w:iCs/>
        </w:rPr>
        <w:t>millerus</w:t>
      </w:r>
      <w:r w:rsidR="009C1A18">
        <w:rPr>
          <w:i/>
          <w:iCs/>
        </w:rPr>
        <w:t xml:space="preserve"> cosgriffi </w:t>
      </w:r>
      <w:r w:rsidR="009C1A18">
        <w:t xml:space="preserve">were </w:t>
      </w:r>
      <w:r w:rsidR="00224789">
        <w:t>coded</w:t>
      </w:r>
      <w:r w:rsidR="009C1A18">
        <w:t xml:space="preserve"> for characters 1–345 by Pardo et al. (2017</w:t>
      </w:r>
      <w:r w:rsidR="000F3A90">
        <w:t>a</w:t>
      </w:r>
      <w:r w:rsidR="009C1A18">
        <w:t xml:space="preserve">) and for characters 346–360 by Schoch et al. (2020). The </w:t>
      </w:r>
      <w:r w:rsidR="00807018">
        <w:lastRenderedPageBreak/>
        <w:t>‘</w:t>
      </w:r>
      <w:r w:rsidR="009C1A18">
        <w:t>lepospondyls</w:t>
      </w:r>
      <w:r w:rsidR="00807018">
        <w:t>’</w:t>
      </w:r>
      <w:r w:rsidR="009C1A18">
        <w:t xml:space="preserve"> </w:t>
      </w:r>
      <w:r w:rsidR="009C1A18">
        <w:rPr>
          <w:i/>
          <w:iCs/>
        </w:rPr>
        <w:t>Rhynchonkos stovalli</w:t>
      </w:r>
      <w:r w:rsidR="009C1A18">
        <w:t xml:space="preserve">, </w:t>
      </w:r>
      <w:r w:rsidR="009C1A18">
        <w:rPr>
          <w:i/>
          <w:iCs/>
        </w:rPr>
        <w:t>Batropetes fritschi</w:t>
      </w:r>
      <w:r w:rsidR="009C1A18">
        <w:t xml:space="preserve">, and </w:t>
      </w:r>
      <w:r w:rsidR="009C1A18">
        <w:rPr>
          <w:i/>
          <w:iCs/>
        </w:rPr>
        <w:t>Brachydectes elongatus</w:t>
      </w:r>
      <w:r w:rsidR="009C1A18">
        <w:t xml:space="preserve"> were </w:t>
      </w:r>
      <w:r w:rsidR="00224789">
        <w:t>coded</w:t>
      </w:r>
      <w:r w:rsidR="009C1A18">
        <w:t xml:space="preserve"> for characters 1–360 by Schoch et al. (2020). All </w:t>
      </w:r>
      <w:r w:rsidR="004235E2">
        <w:t xml:space="preserve">lissamphibians </w:t>
      </w:r>
      <w:r w:rsidR="009C1A18">
        <w:t xml:space="preserve">were </w:t>
      </w:r>
      <w:r w:rsidR="00224789">
        <w:t>coded</w:t>
      </w:r>
      <w:r w:rsidR="009C1A18">
        <w:t xml:space="preserve"> for characters 1–345 by Pardo et al. (2017</w:t>
      </w:r>
      <w:r w:rsidR="000F3A90">
        <w:t>a</w:t>
      </w:r>
      <w:r w:rsidR="009C1A18">
        <w:t xml:space="preserve">) and for characters 346–360 by Schoch et al. (2020). The albanerpetontid </w:t>
      </w:r>
      <w:r w:rsidR="009C1A18">
        <w:rPr>
          <w:i/>
          <w:iCs/>
        </w:rPr>
        <w:t xml:space="preserve">Celtedens ibericus </w:t>
      </w:r>
      <w:r w:rsidR="009C1A18">
        <w:t>(which was constructed as a chimeric operational taxonomic unit (O</w:t>
      </w:r>
      <w:r w:rsidR="00207791">
        <w:t>TU</w:t>
      </w:r>
      <w:r w:rsidR="009C1A18">
        <w:t xml:space="preserve">) per the supplementary information of Schoch et al., 2020) and the putative stem urodele </w:t>
      </w:r>
      <w:r w:rsidR="009C1A18">
        <w:rPr>
          <w:i/>
          <w:iCs/>
        </w:rPr>
        <w:t>Triassurus sixtelae</w:t>
      </w:r>
      <w:r w:rsidR="009C1A18">
        <w:t xml:space="preserve"> were </w:t>
      </w:r>
      <w:r w:rsidR="00224789">
        <w:t>coded</w:t>
      </w:r>
      <w:r w:rsidR="009C1A18">
        <w:t xml:space="preserve"> for characters 1–360 by Schoch et al. (2020). </w:t>
      </w:r>
      <w:r w:rsidR="00AE69BD" w:rsidRPr="00A155FA">
        <w:t xml:space="preserve">Changes to previous codes were noted by Schoch et al. (2020) in their supporting information. </w:t>
      </w:r>
      <w:r w:rsidR="009C1A18">
        <w:t>Note that there are 18 temnospondyls sampled by Schoch (2013) and Pardo et al. (2017</w:t>
      </w:r>
      <w:r w:rsidR="000F3A90">
        <w:t>a</w:t>
      </w:r>
      <w:r w:rsidR="009C1A18">
        <w:t xml:space="preserve">) that </w:t>
      </w:r>
      <w:r w:rsidR="00635BFE">
        <w:t>we</w:t>
      </w:r>
      <w:r w:rsidR="009C1A18">
        <w:t>re excluded from Schoch et al. (2020).</w:t>
      </w:r>
    </w:p>
    <w:p w14:paraId="58FCBC9C" w14:textId="77777777" w:rsidR="00A971B2" w:rsidRDefault="00A971B2" w:rsidP="009C1A18">
      <w:pPr>
        <w:tabs>
          <w:tab w:val="left" w:pos="2860"/>
        </w:tabs>
      </w:pPr>
    </w:p>
    <w:p w14:paraId="317149E7" w14:textId="114F019A" w:rsidR="00FA06B2" w:rsidRPr="00A155FA" w:rsidRDefault="00FA06B2" w:rsidP="009C1A18">
      <w:pPr>
        <w:tabs>
          <w:tab w:val="left" w:pos="2860"/>
        </w:tabs>
      </w:pPr>
      <w:r w:rsidRPr="00A155FA">
        <w:rPr>
          <w:b/>
          <w:bCs/>
        </w:rPr>
        <w:t xml:space="preserve">Recoding philosophy and methods. </w:t>
      </w:r>
      <w:r w:rsidRPr="00A155FA">
        <w:t xml:space="preserve">Codes of certain taxa in the matrix of Schoch et al. (2020) cannot be replicated from the literature alone (i.e., they are either unsubstantiated or are predicated entirely on personal observations). This typically applies to taxa with historical descriptions, such as </w:t>
      </w:r>
      <w:r w:rsidRPr="00A155FA">
        <w:rPr>
          <w:i/>
          <w:iCs/>
        </w:rPr>
        <w:t>Cyclotosaurus robustus, Metoposaurus diagnosticus</w:t>
      </w:r>
      <w:r w:rsidRPr="00A155FA">
        <w:t xml:space="preserve">, and </w:t>
      </w:r>
      <w:r w:rsidRPr="00A155FA">
        <w:rPr>
          <w:i/>
          <w:iCs/>
        </w:rPr>
        <w:t>Uranocentrodon senekalensis</w:t>
      </w:r>
      <w:r w:rsidRPr="00A155FA">
        <w:t xml:space="preserve">, for which more recent published data may consist only of photographs of select skeletal regions or only of reconstructions. We applied a conservative approach to modification of the matrix; besides </w:t>
      </w:r>
      <w:proofErr w:type="spellStart"/>
      <w:r w:rsidRPr="00A155FA">
        <w:t>codings</w:t>
      </w:r>
      <w:proofErr w:type="spellEnd"/>
      <w:r w:rsidRPr="00A155FA">
        <w:t xml:space="preserve"> expressly based on personal observations, we applied the highest evidentiary standard (“beyond a reasonable doubt”) in assessing codes. Codes were adjusted only if the literature expressly contradicted the previous score, either by documenting a different condition or by indicating that a given skeletal region is unknown in a given taxon. If a feature or condition was not clearly documented in the literature but was previously coded, we kept that coding provided that the literature established that the general region is known for the taxon. An example is given below.</w:t>
      </w:r>
    </w:p>
    <w:p w14:paraId="622D0200" w14:textId="2327FF95" w:rsidR="00FA06B2" w:rsidRPr="00A155FA" w:rsidRDefault="00FA06B2" w:rsidP="009C1A18">
      <w:pPr>
        <w:tabs>
          <w:tab w:val="left" w:pos="720"/>
        </w:tabs>
      </w:pPr>
      <w:r w:rsidRPr="00A155FA">
        <w:tab/>
        <w:t>The trematopid</w:t>
      </w:r>
      <w:r w:rsidRPr="00A155FA">
        <w:rPr>
          <w:i/>
          <w:iCs/>
        </w:rPr>
        <w:t xml:space="preserve"> Phonerpeton pricei </w:t>
      </w:r>
      <w:r w:rsidRPr="00A155FA">
        <w:t xml:space="preserve">was coded for five characters related to the ilium (198–202). The original (and only) descriptions of this taxon by Olson (1941:153–155) and Dilkes (1990:234–237) make no mention of the ilium, nor do they provide a description or a figure. This taxon is coded identically to other olsoniform dissorophoids in which the ilium is definitively known for these five characters, and it could be reasonably inferred (though not coded on this basis) that </w:t>
      </w:r>
      <w:r w:rsidRPr="00A155FA">
        <w:rPr>
          <w:i/>
          <w:iCs/>
        </w:rPr>
        <w:t xml:space="preserve">Phonerpeton pricei </w:t>
      </w:r>
      <w:r w:rsidRPr="00A155FA">
        <w:t xml:space="preserve">had the same apomorphic conditions of the olsoniform ilium. However, because Dilkes (1990:224) lists one specimen as consisting of “fragments of pectoral and pelvic girdles,” we did not change these codes because we are unable to conclude ‘beyond a reasonable doubt’ from the literature that the ilium is wholly unknown. This is not the most conservative approach from the perspective of </w:t>
      </w:r>
      <w:r w:rsidRPr="00A155FA">
        <w:rPr>
          <w:i/>
          <w:iCs/>
        </w:rPr>
        <w:t>coding</w:t>
      </w:r>
      <w:r w:rsidRPr="00A155FA">
        <w:t xml:space="preserve"> (which would be to code it as unknown for these characters), but it is the most conservative approach from the perspective of </w:t>
      </w:r>
      <w:r w:rsidRPr="00A155FA">
        <w:rPr>
          <w:i/>
          <w:iCs/>
        </w:rPr>
        <w:t>recoding</w:t>
      </w:r>
      <w:r w:rsidRPr="00A155FA">
        <w:t xml:space="preserve"> (which gives the benefit of the doubt to previous workers if the literature does not unequivocally contradict the codes). We opted for this approach to make our results as comparable as possible to previous iterations of this matrix, but there are a substantial number of unmodified codes that exist in this ‘gray area’ of being neither confidently substantiated nor invalidated by the literature, which will need to be addressed going forward. As a result of this standard, we were more likely to reexamine and to recode characters with distinct states (e.g., those with counts or presence/absence binaries) rather than those that are more ambiguous or undoubtedly subjective to a degree (e.g., ‘long’ vs. ‘short’). </w:t>
      </w:r>
    </w:p>
    <w:p w14:paraId="73B2A718" w14:textId="236DF7B6" w:rsidR="00FA06B2" w:rsidRPr="00A155FA" w:rsidRDefault="00FA06B2" w:rsidP="009C1A18">
      <w:pPr>
        <w:tabs>
          <w:tab w:val="left" w:pos="720"/>
        </w:tabs>
      </w:pPr>
      <w:r w:rsidRPr="00A155FA">
        <w:tab/>
        <w:t xml:space="preserve">The same burden of evidence was applied when considering whether to code previously uncoded cells. For example, the </w:t>
      </w:r>
      <w:proofErr w:type="spellStart"/>
      <w:r w:rsidRPr="00A155FA">
        <w:t>dendrerpetid</w:t>
      </w:r>
      <w:proofErr w:type="spellEnd"/>
      <w:r w:rsidRPr="00A155FA">
        <w:t xml:space="preserve"> </w:t>
      </w:r>
      <w:proofErr w:type="spellStart"/>
      <w:r w:rsidRPr="00A155FA">
        <w:rPr>
          <w:i/>
          <w:iCs/>
        </w:rPr>
        <w:t>Dendrerpeton</w:t>
      </w:r>
      <w:proofErr w:type="spellEnd"/>
      <w:r w:rsidRPr="00A155FA">
        <w:rPr>
          <w:i/>
          <w:iCs/>
        </w:rPr>
        <w:t xml:space="preserve"> </w:t>
      </w:r>
      <w:proofErr w:type="spellStart"/>
      <w:r w:rsidRPr="00A155FA">
        <w:rPr>
          <w:i/>
          <w:iCs/>
        </w:rPr>
        <w:t>helogenes</w:t>
      </w:r>
      <w:proofErr w:type="spellEnd"/>
      <w:r w:rsidRPr="00A155FA">
        <w:rPr>
          <w:i/>
          <w:iCs/>
        </w:rPr>
        <w:t xml:space="preserve"> </w:t>
      </w:r>
      <w:r w:rsidRPr="00A155FA">
        <w:t xml:space="preserve">(taxonomy following </w:t>
      </w:r>
      <w:proofErr w:type="spellStart"/>
      <w:r w:rsidRPr="00A155FA">
        <w:t>Arbez</w:t>
      </w:r>
      <w:proofErr w:type="spellEnd"/>
      <w:r w:rsidRPr="00A155FA">
        <w:t xml:space="preserve"> et al., 2022)</w:t>
      </w:r>
      <w:r w:rsidRPr="00A155FA">
        <w:rPr>
          <w:i/>
          <w:iCs/>
        </w:rPr>
        <w:t xml:space="preserve"> </w:t>
      </w:r>
      <w:r w:rsidRPr="00A155FA">
        <w:t xml:space="preserve">was coded as unknown for dentigerous palatal ossicles (character 139), but Godfrey et al. (1987:800, fig. 1D) identified numerous small plates between the mandibles. They </w:t>
      </w:r>
      <w:r w:rsidRPr="00A155FA">
        <w:lastRenderedPageBreak/>
        <w:t xml:space="preserve">called these ‘gular’ osteoderms (character 149) but compared them to similar features in the holotype of </w:t>
      </w:r>
      <w:r w:rsidRPr="00A155FA">
        <w:rPr>
          <w:i/>
          <w:iCs/>
        </w:rPr>
        <w:t xml:space="preserve">Platyrhinops lyelli </w:t>
      </w:r>
      <w:r w:rsidRPr="00A155FA">
        <w:t xml:space="preserve">that were identified as by Carroll (1964:231) as “denticulate skin covering” and as dentigerous ossicles by Clack &amp; Milner (2010:289), and the position is more in line with palatal plates rather than with gular osteoderms. On one hand, Godfrey et al. (1987) did not identify ornamentation on these plates that would provide positive evidence that they are osteoderms, but they also did not identify denticles that would provide positive evidence of a palatal or mandibular feature. Consequently, we did not code character 149 for this taxon, but other workers may consider a lower evidentiary standard (e.g., ‘more likely than not’) to be sufficient to code this. This approach applies also to entire characters that may require a high fidelity of preservational quality. For example, a narial flange is considered to be a dissorophoid synapomorphy and is coded as absent in all other sampled temnospondyls, even though most taxa do not appear to be preserved or prepared in a fashion that would actually permit assessment of this </w:t>
      </w:r>
      <w:proofErr w:type="spellStart"/>
      <w:r w:rsidRPr="00A155FA">
        <w:t>intranarial</w:t>
      </w:r>
      <w:proofErr w:type="spellEnd"/>
      <w:r w:rsidRPr="00A155FA">
        <w:t xml:space="preserve"> flange (e.g., in dorsoventrally compressed specimens). </w:t>
      </w:r>
    </w:p>
    <w:p w14:paraId="27C12F8B" w14:textId="77777777" w:rsidR="00FA06B2" w:rsidRPr="00A155FA" w:rsidRDefault="00FA06B2" w:rsidP="009C1A18">
      <w:pPr>
        <w:tabs>
          <w:tab w:val="left" w:pos="720"/>
        </w:tabs>
      </w:pPr>
      <w:r w:rsidRPr="00A155FA">
        <w:tab/>
        <w:t>We treated characters literally. For example, a number of characters actually capture multiple features, presumably because they frequently co-occur. An example is character 129 (palatine, ectopterygoid [width]). This is greatly reduced in many amphibamiforms (129–1), which is qualitatively cited as evidence for lissamphibian affinities. However, the prescription of the character clearly specifies both the palatine and the ectopterygoid, not one or the other. Therefore, any taxon without a palatine or an ectopterygoid (or both) cannot be coded for this character. Other examples include character 50 (postfrontal and postorbital either shorter than the supratemporal and the parietal or longer) and character 148 (anterior and middle coronoid dentition present or absent). This approach is superseded only by philosophical problems (e.g., non-homology, see ‘Terminology’ below).</w:t>
      </w:r>
    </w:p>
    <w:p w14:paraId="3949A9A9" w14:textId="213DAE50" w:rsidR="00FA06B2" w:rsidRPr="00A155FA" w:rsidRDefault="00FA06B2" w:rsidP="009C1A18">
      <w:pPr>
        <w:tabs>
          <w:tab w:val="left" w:pos="720"/>
        </w:tabs>
      </w:pPr>
      <w:r w:rsidRPr="00A155FA">
        <w:tab/>
        <w:t xml:space="preserve">In line with our conservative recoding approach, we also did not modify characters unless we felt that doing so was essential for avoiding redundancies or excessive dependencies or clearly failed to capture the full range of variation. For example, character 158 (presacral count) originally had three states: more than 28; 23–25; and fewer than 21. This character does not capture taxa with presacral counts of 21, 22, 26, 27, or 28 positions (which occur in some sampled taxa, e.g., </w:t>
      </w:r>
      <w:r w:rsidRPr="00A155FA">
        <w:rPr>
          <w:i/>
          <w:iCs/>
        </w:rPr>
        <w:t>Callistomordax kugleri</w:t>
      </w:r>
      <w:r w:rsidRPr="00A155FA">
        <w:t xml:space="preserve">, </w:t>
      </w:r>
      <w:r w:rsidRPr="00A155FA">
        <w:rPr>
          <w:i/>
          <w:iCs/>
        </w:rPr>
        <w:t>Paracyclotosaurus davidi</w:t>
      </w:r>
      <w:r w:rsidRPr="00A155FA">
        <w:t>; Watson, 1958; Schoch, 2008</w:t>
      </w:r>
      <w:r w:rsidR="002639C2">
        <w:t>b</w:t>
      </w:r>
      <w:r w:rsidRPr="00A155FA">
        <w:t xml:space="preserve">), and the addition of a fourth character state for the further reduction observed in batrachians by Schoch et al. (2020) does not resolve this. This character was thus modified here to fully encompass all possible presacral counts. However, we did not attempt to modify characters with ambiguous qualitative distinctions (e.g., character 307, femur ‘long’ vs. ‘short’) to minimize the number of necessary </w:t>
      </w:r>
      <w:proofErr w:type="spellStart"/>
      <w:r w:rsidRPr="00A155FA">
        <w:t>recodings</w:t>
      </w:r>
      <w:proofErr w:type="spellEnd"/>
      <w:r w:rsidRPr="00A155FA">
        <w:t>.</w:t>
      </w:r>
    </w:p>
    <w:p w14:paraId="59FE7AC8" w14:textId="77777777" w:rsidR="00FA06B2" w:rsidRPr="00A155FA" w:rsidRDefault="00FA06B2" w:rsidP="009C1A18">
      <w:pPr>
        <w:tabs>
          <w:tab w:val="left" w:pos="720"/>
        </w:tabs>
      </w:pPr>
      <w:r w:rsidRPr="00A155FA">
        <w:tab/>
        <w:t xml:space="preserve">With the exception of personal observations of </w:t>
      </w:r>
      <w:r w:rsidRPr="00A155FA">
        <w:rPr>
          <w:i/>
          <w:iCs/>
        </w:rPr>
        <w:t xml:space="preserve">Eocaecilia micropodia </w:t>
      </w:r>
      <w:r w:rsidRPr="00A155FA">
        <w:t xml:space="preserve">made by several of the authors, recoding is restricted to data available from the literature. </w:t>
      </w:r>
    </w:p>
    <w:p w14:paraId="12B921F3" w14:textId="77777777" w:rsidR="00FA06B2" w:rsidRPr="00A155FA" w:rsidRDefault="00FA06B2" w:rsidP="009C1A18">
      <w:pPr>
        <w:tabs>
          <w:tab w:val="left" w:pos="630"/>
        </w:tabs>
      </w:pPr>
    </w:p>
    <w:p w14:paraId="63583234" w14:textId="77777777" w:rsidR="00FA06B2" w:rsidRPr="00A155FA" w:rsidRDefault="00FA06B2" w:rsidP="003771A7">
      <w:pPr>
        <w:tabs>
          <w:tab w:val="left" w:pos="2860"/>
        </w:tabs>
      </w:pPr>
      <w:r w:rsidRPr="00A155FA">
        <w:rPr>
          <w:b/>
          <w:bCs/>
        </w:rPr>
        <w:t xml:space="preserve">Terminology. </w:t>
      </w:r>
      <w:r w:rsidRPr="00A155FA">
        <w:t xml:space="preserve">For brevity in the sections below and to remain consistent and transparent with respect to all of the changes we made to the matrix, we outline how specific terms are employed with respect to the coding changes that we made. The following terms are made with respect to the </w:t>
      </w:r>
      <w:r w:rsidRPr="00A155FA">
        <w:rPr>
          <w:b/>
          <w:bCs/>
        </w:rPr>
        <w:t>original state coded.</w:t>
      </w:r>
      <w:r w:rsidRPr="00A155FA">
        <w:t xml:space="preserve"> Character numbering in this section refers to the original numbering by Schoch et al. (2020) regardless of the omission of several from the dataset used in our analyses (Characters 14, 78, 81, 115, 232, 253, 352); the new numbering scheme is detailed below in Supplementary Information 8. </w:t>
      </w:r>
    </w:p>
    <w:p w14:paraId="498AE74E" w14:textId="77777777" w:rsidR="00FA06B2" w:rsidRPr="00A155FA" w:rsidRDefault="00FA06B2" w:rsidP="003771A7">
      <w:pPr>
        <w:tabs>
          <w:tab w:val="left" w:pos="2860"/>
        </w:tabs>
        <w:rPr>
          <w:b/>
          <w:bCs/>
        </w:rPr>
      </w:pPr>
    </w:p>
    <w:p w14:paraId="70D8832F" w14:textId="77777777" w:rsidR="00FA06B2" w:rsidRPr="00A155FA" w:rsidRDefault="00FA06B2" w:rsidP="005229E5">
      <w:pPr>
        <w:pStyle w:val="ListParagraph"/>
        <w:numPr>
          <w:ilvl w:val="0"/>
          <w:numId w:val="9"/>
        </w:numPr>
        <w:tabs>
          <w:tab w:val="left" w:pos="630"/>
        </w:tabs>
        <w:rPr>
          <w:rFonts w:ascii="Times New Roman" w:hAnsi="Times New Roman" w:cs="Times New Roman"/>
          <w:b/>
          <w:bCs/>
        </w:rPr>
      </w:pPr>
      <w:r w:rsidRPr="00A155FA">
        <w:rPr>
          <w:rFonts w:ascii="Times New Roman" w:hAnsi="Times New Roman" w:cs="Times New Roman"/>
        </w:rPr>
        <w:lastRenderedPageBreak/>
        <w:t xml:space="preserve">An </w:t>
      </w:r>
      <w:r w:rsidRPr="00A155FA">
        <w:rPr>
          <w:rFonts w:ascii="Times New Roman" w:hAnsi="Times New Roman" w:cs="Times New Roman"/>
          <w:b/>
          <w:bCs/>
        </w:rPr>
        <w:t>unsubstantiated code</w:t>
      </w:r>
      <w:r w:rsidRPr="00A155FA">
        <w:rPr>
          <w:rFonts w:ascii="Times New Roman" w:hAnsi="Times New Roman" w:cs="Times New Roman"/>
        </w:rPr>
        <w:t xml:space="preserve"> is classified as one where the original coding was for a specific state (i.e., not unknown or inapplicable) and is in need of modification; the following terms define the three primary types of unsubstantiated codes. </w:t>
      </w:r>
    </w:p>
    <w:p w14:paraId="3D2D98D6" w14:textId="77777777" w:rsidR="00FA06B2" w:rsidRPr="00A155FA" w:rsidRDefault="00FA06B2" w:rsidP="005229E5">
      <w:pPr>
        <w:pStyle w:val="ListParagraph"/>
        <w:numPr>
          <w:ilvl w:val="1"/>
          <w:numId w:val="9"/>
        </w:numPr>
        <w:tabs>
          <w:tab w:val="left" w:pos="630"/>
        </w:tabs>
        <w:rPr>
          <w:rFonts w:ascii="Times New Roman" w:hAnsi="Times New Roman" w:cs="Times New Roman"/>
          <w:b/>
          <w:bCs/>
        </w:rPr>
      </w:pPr>
      <w:r w:rsidRPr="00A155FA">
        <w:rPr>
          <w:rFonts w:ascii="Times New Roman" w:hAnsi="Times New Roman" w:cs="Times New Roman"/>
        </w:rPr>
        <w:t xml:space="preserve"> A </w:t>
      </w:r>
      <w:r w:rsidRPr="00A155FA">
        <w:rPr>
          <w:rFonts w:ascii="Times New Roman" w:hAnsi="Times New Roman" w:cs="Times New Roman"/>
          <w:b/>
          <w:bCs/>
        </w:rPr>
        <w:t xml:space="preserve">mischaracterized code </w:t>
      </w:r>
      <w:r w:rsidRPr="00A155FA">
        <w:rPr>
          <w:rFonts w:ascii="Times New Roman" w:hAnsi="Times New Roman" w:cs="Times New Roman"/>
        </w:rPr>
        <w:t xml:space="preserve">is when the taxon was coded for one state but should be coded for another character state. An example is the original coding of the zatracheids </w:t>
      </w:r>
      <w:r w:rsidRPr="00A155FA">
        <w:rPr>
          <w:rFonts w:ascii="Times New Roman" w:hAnsi="Times New Roman" w:cs="Times New Roman"/>
          <w:i/>
          <w:iCs/>
        </w:rPr>
        <w:t xml:space="preserve">Acanthostomatops vorax </w:t>
      </w:r>
      <w:r w:rsidRPr="00A155FA">
        <w:rPr>
          <w:rFonts w:ascii="Times New Roman" w:hAnsi="Times New Roman" w:cs="Times New Roman"/>
        </w:rPr>
        <w:t xml:space="preserve">and </w:t>
      </w:r>
      <w:r w:rsidRPr="00A155FA">
        <w:rPr>
          <w:rFonts w:ascii="Times New Roman" w:hAnsi="Times New Roman" w:cs="Times New Roman"/>
          <w:i/>
          <w:iCs/>
        </w:rPr>
        <w:t xml:space="preserve">Zatrachys serratus </w:t>
      </w:r>
      <w:r w:rsidRPr="00A155FA">
        <w:rPr>
          <w:rFonts w:ascii="Times New Roman" w:hAnsi="Times New Roman" w:cs="Times New Roman"/>
        </w:rPr>
        <w:t xml:space="preserve">as having a prefrontal and postfrontal separated by the frontal (42–1). In fact, these taxa have a wide prefrontal-postfrontal contact (42–0, the plesiomorphic condition; e.g., Langston, 1953; Schoch, 1997; Witzmann &amp; Schoch, 2006; Urban &amp; Berman, 2007). </w:t>
      </w:r>
    </w:p>
    <w:p w14:paraId="194D1FD6" w14:textId="77777777" w:rsidR="00FA06B2" w:rsidRPr="00A155FA" w:rsidRDefault="00FA06B2" w:rsidP="005229E5">
      <w:pPr>
        <w:pStyle w:val="ListParagraph"/>
        <w:numPr>
          <w:ilvl w:val="1"/>
          <w:numId w:val="9"/>
        </w:numPr>
        <w:tabs>
          <w:tab w:val="left" w:pos="630"/>
        </w:tabs>
        <w:rPr>
          <w:rFonts w:ascii="Times New Roman" w:hAnsi="Times New Roman" w:cs="Times New Roman"/>
          <w:b/>
          <w:bCs/>
        </w:rPr>
      </w:pPr>
      <w:r w:rsidRPr="00A155FA">
        <w:rPr>
          <w:rFonts w:ascii="Times New Roman" w:hAnsi="Times New Roman" w:cs="Times New Roman"/>
        </w:rPr>
        <w:t xml:space="preserve">An </w:t>
      </w:r>
      <w:r w:rsidRPr="00A155FA">
        <w:rPr>
          <w:rFonts w:ascii="Times New Roman" w:hAnsi="Times New Roman" w:cs="Times New Roman"/>
          <w:b/>
          <w:bCs/>
        </w:rPr>
        <w:t xml:space="preserve">overgeneralized code </w:t>
      </w:r>
      <w:r w:rsidRPr="00A155FA">
        <w:rPr>
          <w:rFonts w:ascii="Times New Roman" w:hAnsi="Times New Roman" w:cs="Times New Roman"/>
        </w:rPr>
        <w:t xml:space="preserve">is when the taxon was coded for one state but should be coded for two or more as part of a polymorphism. In the absence of any previously specified protocol regarding non-ontogenetic intraspecific variation in this matrix, polymorphisms were coded across all scales within a species (between populations, within populations, within individuals), and no consideration is given to the relative frequency of either a polymorphism or of a specific state. </w:t>
      </w:r>
    </w:p>
    <w:p w14:paraId="3ECB2344" w14:textId="46687DAC" w:rsidR="00FA06B2" w:rsidRPr="00A155FA" w:rsidRDefault="00FA06B2" w:rsidP="005229E5">
      <w:pPr>
        <w:pStyle w:val="ListParagraph"/>
        <w:numPr>
          <w:ilvl w:val="1"/>
          <w:numId w:val="9"/>
        </w:numPr>
        <w:tabs>
          <w:tab w:val="left" w:pos="630"/>
        </w:tabs>
        <w:rPr>
          <w:rFonts w:ascii="Times New Roman" w:hAnsi="Times New Roman" w:cs="Times New Roman"/>
          <w:b/>
          <w:bCs/>
        </w:rPr>
      </w:pPr>
      <w:r w:rsidRPr="00A155FA">
        <w:rPr>
          <w:rFonts w:ascii="Times New Roman" w:hAnsi="Times New Roman" w:cs="Times New Roman"/>
        </w:rPr>
        <w:t xml:space="preserve">An </w:t>
      </w:r>
      <w:r w:rsidRPr="00A155FA">
        <w:rPr>
          <w:rFonts w:ascii="Times New Roman" w:hAnsi="Times New Roman" w:cs="Times New Roman"/>
          <w:b/>
          <w:bCs/>
        </w:rPr>
        <w:t xml:space="preserve">untestable code </w:t>
      </w:r>
      <w:r w:rsidRPr="00A155FA">
        <w:rPr>
          <w:rFonts w:ascii="Times New Roman" w:hAnsi="Times New Roman" w:cs="Times New Roman"/>
        </w:rPr>
        <w:t xml:space="preserve">is when the taxon cannot be coded for the character because the characterized feature is unknown in that taxon. An example is the original coding of the rhytidosteid </w:t>
      </w:r>
      <w:r w:rsidRPr="00A155FA">
        <w:rPr>
          <w:rFonts w:ascii="Times New Roman" w:hAnsi="Times New Roman" w:cs="Times New Roman"/>
          <w:i/>
          <w:iCs/>
        </w:rPr>
        <w:t xml:space="preserve">Sangaia lavina </w:t>
      </w:r>
      <w:r w:rsidRPr="00A155FA">
        <w:rPr>
          <w:rFonts w:ascii="Times New Roman" w:hAnsi="Times New Roman" w:cs="Times New Roman"/>
        </w:rPr>
        <w:t xml:space="preserve">as having four manual digits (197–1). However, as noted in the original description by Dias-da-Silva et al. (2006:382), there are only two specimens, one of which is a left half of the skull and the other of which is a palatal fragment. Two specimens previously published as Rhytidosteidae indet. (Dias-da-Silva, 2005) and subsequently listed as referred material (Dias-da-Silva &amp; Marsicano, 2011) also do not consist of any postcranial material. No new material of this taxon has been published since then. Therefore, </w:t>
      </w:r>
      <w:r w:rsidRPr="00A155FA">
        <w:rPr>
          <w:rFonts w:ascii="Times New Roman" w:hAnsi="Times New Roman" w:cs="Times New Roman"/>
          <w:i/>
          <w:iCs/>
        </w:rPr>
        <w:t xml:space="preserve">S. lavina </w:t>
      </w:r>
      <w:r w:rsidRPr="00A155FA">
        <w:rPr>
          <w:rFonts w:ascii="Times New Roman" w:hAnsi="Times New Roman" w:cs="Times New Roman"/>
        </w:rPr>
        <w:t>cannot be coded for any postcranial features, let alone one that requires a high quality of preservation to assess like digit count. Untestable states are recoded as unknown (?) unless they are related to a dependency (see next point) and are termed as much because there is no way for the character to be reliably coded at present.</w:t>
      </w:r>
    </w:p>
    <w:p w14:paraId="1214CF55" w14:textId="77777777" w:rsidR="00FA06B2" w:rsidRPr="00A155FA" w:rsidRDefault="00FA06B2" w:rsidP="005229E5">
      <w:pPr>
        <w:pStyle w:val="ListParagraph"/>
        <w:numPr>
          <w:ilvl w:val="1"/>
          <w:numId w:val="9"/>
        </w:numPr>
        <w:tabs>
          <w:tab w:val="left" w:pos="630"/>
        </w:tabs>
        <w:rPr>
          <w:rFonts w:ascii="Times New Roman" w:hAnsi="Times New Roman" w:cs="Times New Roman"/>
          <w:b/>
          <w:bCs/>
        </w:rPr>
      </w:pPr>
      <w:r w:rsidRPr="00A155FA">
        <w:rPr>
          <w:rFonts w:ascii="Times New Roman" w:hAnsi="Times New Roman" w:cs="Times New Roman"/>
        </w:rPr>
        <w:t xml:space="preserve">An </w:t>
      </w:r>
      <w:r w:rsidRPr="00A155FA">
        <w:rPr>
          <w:rFonts w:ascii="Times New Roman" w:hAnsi="Times New Roman" w:cs="Times New Roman"/>
          <w:b/>
          <w:bCs/>
        </w:rPr>
        <w:t xml:space="preserve">inapplicable code </w:t>
      </w:r>
      <w:r w:rsidRPr="00A155FA">
        <w:rPr>
          <w:rFonts w:ascii="Times New Roman" w:hAnsi="Times New Roman" w:cs="Times New Roman"/>
        </w:rPr>
        <w:t>is when the taxon should not be coded for a character because it is dependent on the presence of a feature that is known to be absent. Dependencies are extensively discussed in the literature (e.g., Maddison’s 1993 example of two characters: presence/absence of a tail and tail color; see also Strong &amp; Lipscombe, 1993; Brazeau, 2011; Simões et al., 2017). There are two types of dependencies, although individual characters are not identified as such.</w:t>
      </w:r>
    </w:p>
    <w:p w14:paraId="4362AB5F" w14:textId="77777777" w:rsidR="00FA06B2" w:rsidRPr="00A155FA" w:rsidRDefault="00FA06B2" w:rsidP="005229E5">
      <w:pPr>
        <w:pStyle w:val="ListParagraph"/>
        <w:numPr>
          <w:ilvl w:val="2"/>
          <w:numId w:val="9"/>
        </w:numPr>
        <w:tabs>
          <w:tab w:val="left" w:pos="630"/>
        </w:tabs>
        <w:rPr>
          <w:rFonts w:ascii="Times New Roman" w:hAnsi="Times New Roman" w:cs="Times New Roman"/>
          <w:b/>
          <w:bCs/>
        </w:rPr>
      </w:pPr>
      <w:r w:rsidRPr="00A155FA">
        <w:rPr>
          <w:rFonts w:ascii="Times New Roman" w:hAnsi="Times New Roman" w:cs="Times New Roman"/>
        </w:rPr>
        <w:t>The first is a violation of two basic tenets of character sampling: independence and homology. For example, if the ectopterygoid is absent (346–1), it is technically true that ectopterygoid fangs are absent (88</w:t>
      </w:r>
      <w:r w:rsidRPr="00A155FA">
        <w:rPr>
          <w:rFonts w:ascii="Times New Roman" w:hAnsi="Times New Roman" w:cs="Times New Roman"/>
        </w:rPr>
        <w:softHyphen/>
        <w:t xml:space="preserve">–1); that the palatine ramus is only formed by the pterygoid (123–0) rather than by both the pterygoid and the ectopterygoid; and that a lateral exposure of the ectopterygoid is absent (132–0). Some of these binary characters are specifically stated in ‘presence/absence’ language, while others merely express it in a different fashion. For example, character 124, with states ‘pterygoid contacts only the palatine’ versus ‘pterygoid-contacts palatine </w:t>
      </w:r>
      <w:r w:rsidRPr="00A155FA">
        <w:rPr>
          <w:rFonts w:ascii="Times New Roman" w:hAnsi="Times New Roman" w:cs="Times New Roman"/>
        </w:rPr>
        <w:lastRenderedPageBreak/>
        <w:t xml:space="preserve">and ectopterygoid,’ could alternatively be expressed as ‘pterygoid-ectopterygoid contact absent’ versus ‘pterygoid-ectopterygoid contact present.’ They all correspond to the same primary character (ectopterygoid), and their secondary absences are all intrinsically linked to the same primary condition (absence of the ectopterygoid). These characters are therefore non-independent and coding secondary characters like these will overweight this absence. In the example here, </w:t>
      </w:r>
      <w:r w:rsidRPr="00A155FA">
        <w:rPr>
          <w:rFonts w:ascii="Times New Roman" w:hAnsi="Times New Roman" w:cs="Times New Roman"/>
          <w:i/>
          <w:iCs/>
        </w:rPr>
        <w:t xml:space="preserve">Doleserpeton </w:t>
      </w:r>
      <w:r w:rsidRPr="00A155FA">
        <w:rPr>
          <w:rFonts w:ascii="Times New Roman" w:hAnsi="Times New Roman" w:cs="Times New Roman"/>
        </w:rPr>
        <w:t>has traditionally been coded as lacking an ectopterygoid (although this is equivocal at best based on the literature, see below), a feature shared with lissamphibians that is not found in any other temnospondyl. Considering that there are 10 secondary characters related to the ectopterygoid, it should be considered that this absence has overweighted this inferred homology in the debate over lissamphibian origins under the presumption that it lies within Temnospondyli. While the ‘intent’ of employing these secondary characters is not expressly stated, presumably it is intended as a means of differentiating between the subset of taxa that all have an ectopterygoid. Therefore, coding taxa without an ectopterygoid for these secondary presence/absence characters will obfuscate differentiation of taxa because there is a false equivalency between absence due to absence of ectopterygoid (a consequence) and absence in the presence of ectopterygoid (a condition).</w:t>
      </w:r>
    </w:p>
    <w:p w14:paraId="3B553DE5" w14:textId="77777777" w:rsidR="00FA06B2" w:rsidRPr="00A155FA" w:rsidRDefault="00FA06B2" w:rsidP="005229E5">
      <w:pPr>
        <w:pStyle w:val="ListParagraph"/>
        <w:numPr>
          <w:ilvl w:val="2"/>
          <w:numId w:val="9"/>
        </w:numPr>
        <w:tabs>
          <w:tab w:val="left" w:pos="630"/>
        </w:tabs>
        <w:rPr>
          <w:rFonts w:ascii="Times New Roman" w:hAnsi="Times New Roman" w:cs="Times New Roman"/>
          <w:b/>
          <w:bCs/>
        </w:rPr>
      </w:pPr>
      <w:r w:rsidRPr="00A155FA">
        <w:rPr>
          <w:rFonts w:ascii="Times New Roman" w:hAnsi="Times New Roman" w:cs="Times New Roman"/>
        </w:rPr>
        <w:t>The second type of dependency is when a dependent secondary character cannot be coded under any interpretation because it does not express presence/absence but rather characterizes a feature assumed to be present. Presence/absence may be explicitly defined in another character but does not need to be for a dependency to exist. An example in this matrix is character 211 (osteoderms, width), which has two states: ‘narrow median osteoderms’ or ‘transversely extended plates.’ Any taxon without any osteoderms (209–0), as is the condition of most temnospondyls, cannot be coded for character 211, as osteoderms do not exist. However, most taxa without osteoderms were consistently and originally coded for 211–0 (‘narrow’).</w:t>
      </w:r>
    </w:p>
    <w:p w14:paraId="503440A0" w14:textId="0BADCAF8" w:rsidR="00FA06B2" w:rsidRPr="00A155FA" w:rsidRDefault="00FA06B2" w:rsidP="005229E5">
      <w:pPr>
        <w:pStyle w:val="ListParagraph"/>
        <w:numPr>
          <w:ilvl w:val="0"/>
          <w:numId w:val="9"/>
        </w:numPr>
        <w:tabs>
          <w:tab w:val="left" w:pos="630"/>
        </w:tabs>
        <w:rPr>
          <w:rFonts w:ascii="Times New Roman" w:hAnsi="Times New Roman" w:cs="Times New Roman"/>
        </w:rPr>
      </w:pPr>
      <w:r w:rsidRPr="00A155FA">
        <w:rPr>
          <w:rFonts w:ascii="Times New Roman" w:hAnsi="Times New Roman" w:cs="Times New Roman"/>
        </w:rPr>
        <w:t xml:space="preserve">An </w:t>
      </w:r>
      <w:r w:rsidRPr="00A155FA">
        <w:rPr>
          <w:rFonts w:ascii="Times New Roman" w:hAnsi="Times New Roman" w:cs="Times New Roman"/>
          <w:b/>
          <w:bCs/>
        </w:rPr>
        <w:t xml:space="preserve">omission </w:t>
      </w:r>
      <w:r w:rsidRPr="00A155FA">
        <w:rPr>
          <w:rFonts w:ascii="Times New Roman" w:hAnsi="Times New Roman" w:cs="Times New Roman"/>
        </w:rPr>
        <w:t xml:space="preserve">occurs when the original coding was listed as unknown (?), but available published literature allows for coding of the character. An example is the original coding of the trematopids </w:t>
      </w:r>
      <w:r w:rsidRPr="00A155FA">
        <w:rPr>
          <w:rFonts w:ascii="Times New Roman" w:hAnsi="Times New Roman" w:cs="Times New Roman"/>
          <w:i/>
          <w:iCs/>
        </w:rPr>
        <w:t xml:space="preserve">Acheloma cumminsi </w:t>
      </w:r>
      <w:r w:rsidRPr="00A155FA">
        <w:rPr>
          <w:rFonts w:ascii="Times New Roman" w:hAnsi="Times New Roman" w:cs="Times New Roman"/>
        </w:rPr>
        <w:t xml:space="preserve">and </w:t>
      </w:r>
      <w:r w:rsidRPr="00A155FA">
        <w:rPr>
          <w:rFonts w:ascii="Times New Roman" w:hAnsi="Times New Roman" w:cs="Times New Roman"/>
          <w:i/>
          <w:iCs/>
        </w:rPr>
        <w:t xml:space="preserve">Phonerpeton pricei </w:t>
      </w:r>
      <w:r w:rsidRPr="00A155FA">
        <w:rPr>
          <w:rFonts w:ascii="Times New Roman" w:hAnsi="Times New Roman" w:cs="Times New Roman"/>
        </w:rPr>
        <w:t xml:space="preserve">as being unknown for lacrimal-orbit contact (220). However, the lacrimal enters the orbit in these taxa (220–1), as in most dissorophoids and is well-documented (e.g., Olson, 1941; Dilkes &amp; Reisz, 1987; Dilkes, 1990, 1993; Polley &amp; Reisz, 2011). In the specific context of this study, we only coded these characters if the literature is sufficient to confidently do so; there may therefore be some missing data that other workers would be able to rectify through personal observation, access to relatively inaccessible publications (e.g., obscure journals, print-only materials). </w:t>
      </w:r>
    </w:p>
    <w:p w14:paraId="7FA00A12" w14:textId="77777777" w:rsidR="00FA06B2" w:rsidRPr="00A155FA" w:rsidRDefault="00FA06B2" w:rsidP="008554C4">
      <w:pPr>
        <w:tabs>
          <w:tab w:val="left" w:pos="630"/>
        </w:tabs>
      </w:pPr>
    </w:p>
    <w:p w14:paraId="39AF4D79" w14:textId="77777777" w:rsidR="00FA06B2" w:rsidRPr="00A155FA" w:rsidRDefault="00FA06B2" w:rsidP="008554C4">
      <w:pPr>
        <w:tabs>
          <w:tab w:val="left" w:pos="630"/>
        </w:tabs>
      </w:pPr>
      <w:r w:rsidRPr="00A155FA">
        <w:t>The following terms are made with respect to the changes implemented by us to the original code:</w:t>
      </w:r>
    </w:p>
    <w:p w14:paraId="153BFB65" w14:textId="77777777" w:rsidR="00FA06B2" w:rsidRPr="00A155FA" w:rsidRDefault="00FA06B2" w:rsidP="005229E5">
      <w:pPr>
        <w:pStyle w:val="ListParagraph"/>
        <w:numPr>
          <w:ilvl w:val="0"/>
          <w:numId w:val="10"/>
        </w:numPr>
        <w:tabs>
          <w:tab w:val="left" w:pos="630"/>
        </w:tabs>
        <w:rPr>
          <w:rFonts w:ascii="Times New Roman" w:hAnsi="Times New Roman" w:cs="Times New Roman"/>
        </w:rPr>
      </w:pPr>
      <w:r w:rsidRPr="00A155FA">
        <w:rPr>
          <w:rFonts w:ascii="Times New Roman" w:hAnsi="Times New Roman" w:cs="Times New Roman"/>
        </w:rPr>
        <w:lastRenderedPageBreak/>
        <w:t xml:space="preserve">A </w:t>
      </w:r>
      <w:r w:rsidRPr="00A155FA">
        <w:rPr>
          <w:rFonts w:ascii="Times New Roman" w:hAnsi="Times New Roman" w:cs="Times New Roman"/>
          <w:b/>
          <w:bCs/>
        </w:rPr>
        <w:t xml:space="preserve">correction </w:t>
      </w:r>
      <w:r w:rsidRPr="00A155FA">
        <w:rPr>
          <w:rFonts w:ascii="Times New Roman" w:hAnsi="Times New Roman" w:cs="Times New Roman"/>
        </w:rPr>
        <w:t>is a coding change made based on the identification of an unsubstantiated code. All types of unsubstantiated codes are considered to be in need of correction.</w:t>
      </w:r>
    </w:p>
    <w:p w14:paraId="3927FC67" w14:textId="77777777" w:rsidR="00FA06B2" w:rsidRPr="00A155FA" w:rsidRDefault="00FA06B2" w:rsidP="005229E5">
      <w:pPr>
        <w:pStyle w:val="ListParagraph"/>
        <w:numPr>
          <w:ilvl w:val="1"/>
          <w:numId w:val="10"/>
        </w:numPr>
        <w:tabs>
          <w:tab w:val="left" w:pos="630"/>
        </w:tabs>
        <w:rPr>
          <w:rFonts w:ascii="Times New Roman" w:hAnsi="Times New Roman" w:cs="Times New Roman"/>
        </w:rPr>
      </w:pPr>
      <w:r w:rsidRPr="00A155FA">
        <w:rPr>
          <w:rFonts w:ascii="Times New Roman" w:hAnsi="Times New Roman" w:cs="Times New Roman"/>
        </w:rPr>
        <w:t xml:space="preserve">A </w:t>
      </w:r>
      <w:r w:rsidRPr="00A155FA">
        <w:rPr>
          <w:rFonts w:ascii="Times New Roman" w:hAnsi="Times New Roman" w:cs="Times New Roman"/>
          <w:b/>
          <w:bCs/>
        </w:rPr>
        <w:t>correction to unknown</w:t>
      </w:r>
      <w:r w:rsidRPr="00A155FA">
        <w:rPr>
          <w:rFonts w:ascii="Times New Roman" w:hAnsi="Times New Roman" w:cs="Times New Roman"/>
        </w:rPr>
        <w:t xml:space="preserve"> is a specific kind of correction where a previously coded cell is changed to unknown (?).</w:t>
      </w:r>
    </w:p>
    <w:p w14:paraId="4E0AC36C" w14:textId="77777777" w:rsidR="00FA06B2" w:rsidRPr="00A155FA" w:rsidRDefault="00FA06B2" w:rsidP="005229E5">
      <w:pPr>
        <w:pStyle w:val="ListParagraph"/>
        <w:numPr>
          <w:ilvl w:val="0"/>
          <w:numId w:val="10"/>
        </w:numPr>
        <w:tabs>
          <w:tab w:val="left" w:pos="630"/>
        </w:tabs>
        <w:rPr>
          <w:rFonts w:ascii="Times New Roman" w:hAnsi="Times New Roman" w:cs="Times New Roman"/>
        </w:rPr>
      </w:pPr>
      <w:r w:rsidRPr="00A155FA">
        <w:rPr>
          <w:rFonts w:ascii="Times New Roman" w:hAnsi="Times New Roman" w:cs="Times New Roman"/>
        </w:rPr>
        <w:t xml:space="preserve">A </w:t>
      </w:r>
      <w:r w:rsidRPr="00A155FA">
        <w:rPr>
          <w:rFonts w:ascii="Times New Roman" w:hAnsi="Times New Roman" w:cs="Times New Roman"/>
          <w:b/>
          <w:bCs/>
        </w:rPr>
        <w:t xml:space="preserve">recoding </w:t>
      </w:r>
      <w:r w:rsidRPr="00A155FA">
        <w:rPr>
          <w:rFonts w:ascii="Times New Roman" w:hAnsi="Times New Roman" w:cs="Times New Roman"/>
        </w:rPr>
        <w:t xml:space="preserve">is a coding change made based on a modification to a character, such as the addition of a new character state, or a coding change made based on a modification to a </w:t>
      </w:r>
      <w:proofErr w:type="spellStart"/>
      <w:r w:rsidRPr="00A155FA">
        <w:rPr>
          <w:rFonts w:ascii="Times New Roman" w:hAnsi="Times New Roman" w:cs="Times New Roman"/>
        </w:rPr>
        <w:t>taxon</w:t>
      </w:r>
      <w:proofErr w:type="spellEnd"/>
      <w:r w:rsidRPr="00A155FA">
        <w:rPr>
          <w:rFonts w:ascii="Times New Roman" w:hAnsi="Times New Roman" w:cs="Times New Roman"/>
        </w:rPr>
        <w:t xml:space="preserve">, such as the restriction of the former composite OTU of </w:t>
      </w:r>
      <w:r w:rsidRPr="00A155FA">
        <w:rPr>
          <w:rFonts w:ascii="Times New Roman" w:hAnsi="Times New Roman" w:cs="Times New Roman"/>
          <w:i/>
          <w:iCs/>
        </w:rPr>
        <w:t xml:space="preserve">Cacops aspidephorus </w:t>
      </w:r>
      <w:r w:rsidRPr="00A155FA">
        <w:rPr>
          <w:rFonts w:ascii="Times New Roman" w:hAnsi="Times New Roman" w:cs="Times New Roman"/>
        </w:rPr>
        <w:t xml:space="preserve">+ </w:t>
      </w:r>
      <w:r w:rsidRPr="00A155FA">
        <w:rPr>
          <w:rFonts w:ascii="Times New Roman" w:hAnsi="Times New Roman" w:cs="Times New Roman"/>
          <w:i/>
          <w:iCs/>
        </w:rPr>
        <w:t>Cacops morrisi</w:t>
      </w:r>
      <w:r w:rsidRPr="00A155FA">
        <w:rPr>
          <w:rFonts w:ascii="Times New Roman" w:hAnsi="Times New Roman" w:cs="Times New Roman"/>
        </w:rPr>
        <w:t xml:space="preserve"> to strictly </w:t>
      </w:r>
      <w:r w:rsidRPr="00A155FA">
        <w:rPr>
          <w:rFonts w:ascii="Times New Roman" w:hAnsi="Times New Roman" w:cs="Times New Roman"/>
          <w:i/>
          <w:iCs/>
        </w:rPr>
        <w:t>Cacops aspidephorus</w:t>
      </w:r>
      <w:r w:rsidRPr="00A155FA">
        <w:rPr>
          <w:rFonts w:ascii="Times New Roman" w:hAnsi="Times New Roman" w:cs="Times New Roman"/>
        </w:rPr>
        <w:t xml:space="preserve">. </w:t>
      </w:r>
    </w:p>
    <w:p w14:paraId="0DF7F56E" w14:textId="77777777" w:rsidR="00FA06B2" w:rsidRPr="00A155FA" w:rsidRDefault="00FA06B2" w:rsidP="005229E5">
      <w:pPr>
        <w:pStyle w:val="ListParagraph"/>
        <w:numPr>
          <w:ilvl w:val="0"/>
          <w:numId w:val="10"/>
        </w:numPr>
        <w:tabs>
          <w:tab w:val="left" w:pos="630"/>
        </w:tabs>
        <w:rPr>
          <w:rFonts w:ascii="Times New Roman" w:hAnsi="Times New Roman" w:cs="Times New Roman"/>
        </w:rPr>
      </w:pPr>
      <w:r w:rsidRPr="00A155FA">
        <w:rPr>
          <w:rFonts w:ascii="Times New Roman" w:hAnsi="Times New Roman" w:cs="Times New Roman"/>
        </w:rPr>
        <w:t xml:space="preserve">A </w:t>
      </w:r>
      <w:r w:rsidRPr="00A155FA">
        <w:rPr>
          <w:rFonts w:ascii="Times New Roman" w:hAnsi="Times New Roman" w:cs="Times New Roman"/>
          <w:b/>
          <w:bCs/>
        </w:rPr>
        <w:t>change to inapplicable</w:t>
      </w:r>
      <w:r w:rsidRPr="00A155FA">
        <w:rPr>
          <w:rFonts w:ascii="Times New Roman" w:hAnsi="Times New Roman" w:cs="Times New Roman"/>
        </w:rPr>
        <w:t xml:space="preserve"> refers specifically a change from ‘?’ to ‘-‘. This has no significance from an algorithmic perspective, as inapplicable cells are treated as missing data, but as with Pardo et al. (2017a), we prefer to explicitly express inapplicable cells as such. Our motivation here is for future use of this matrix; when inapplicable cells are left as unknown, the presence of this code cannot differentiate between a cell that was accidentally missed (an omission), a cell that was intentionally left as ‘?’ because the feature is unknown (missing data), and a cell that was intentionally left as ‘?’ because the character is inapplicable to the taxon (‘coded’). </w:t>
      </w:r>
    </w:p>
    <w:p w14:paraId="7C8F45B7" w14:textId="77777777" w:rsidR="00FA06B2" w:rsidRPr="00A155FA" w:rsidRDefault="00FA06B2" w:rsidP="009C1A18">
      <w:pPr>
        <w:tabs>
          <w:tab w:val="left" w:pos="2860"/>
        </w:tabs>
        <w:rPr>
          <w:b/>
          <w:bCs/>
        </w:rPr>
      </w:pPr>
    </w:p>
    <w:p w14:paraId="1F7265A2" w14:textId="77777777" w:rsidR="00FA06B2" w:rsidRPr="00A155FA" w:rsidRDefault="00FA06B2" w:rsidP="003771A7">
      <w:pPr>
        <w:tabs>
          <w:tab w:val="left" w:pos="2860"/>
        </w:tabs>
        <w:rPr>
          <w:b/>
          <w:bCs/>
        </w:rPr>
      </w:pPr>
      <w:r w:rsidRPr="00A155FA">
        <w:rPr>
          <w:b/>
          <w:bCs/>
        </w:rPr>
        <w:t xml:space="preserve">Comments on taxa. </w:t>
      </w:r>
      <w:r w:rsidRPr="00A155FA">
        <w:t>The following section details relevant comments on the treatment of certain taxa sampled in our analysis. Character numbering in this section refers to the original numbering of Schoch et al. (2020) regardless of the omission of several characters from the dataset used in our analyses (Characters 14, 78, 81, 115, 232, 253, 352); the new numbering scheme is detailed below in Supplementary Information 8.</w:t>
      </w:r>
    </w:p>
    <w:p w14:paraId="02B1BDEA" w14:textId="77777777" w:rsidR="00FA06B2" w:rsidRPr="00A155FA" w:rsidRDefault="00FA06B2" w:rsidP="009C1A18">
      <w:pPr>
        <w:tabs>
          <w:tab w:val="left" w:pos="2860"/>
        </w:tabs>
      </w:pPr>
    </w:p>
    <w:p w14:paraId="77CF671D" w14:textId="77777777" w:rsidR="00FA06B2" w:rsidRPr="00A155FA" w:rsidRDefault="00FA06B2" w:rsidP="005229E5">
      <w:pPr>
        <w:pStyle w:val="ListParagraph"/>
        <w:numPr>
          <w:ilvl w:val="0"/>
          <w:numId w:val="4"/>
        </w:numPr>
        <w:tabs>
          <w:tab w:val="left" w:pos="2860"/>
        </w:tabs>
        <w:rPr>
          <w:rFonts w:ascii="Times New Roman" w:hAnsi="Times New Roman" w:cs="Times New Roman"/>
        </w:rPr>
      </w:pPr>
      <w:r w:rsidRPr="00A155FA">
        <w:rPr>
          <w:rFonts w:ascii="Times New Roman" w:hAnsi="Times New Roman" w:cs="Times New Roman"/>
          <w:b/>
          <w:bCs/>
          <w:i/>
          <w:iCs/>
        </w:rPr>
        <w:t xml:space="preserve">Brachydectes elongatus: </w:t>
      </w:r>
      <w:r w:rsidRPr="00A155FA">
        <w:rPr>
          <w:rFonts w:ascii="Times New Roman" w:hAnsi="Times New Roman" w:cs="Times New Roman"/>
        </w:rPr>
        <w:t xml:space="preserve">This taxon has been considered to be a junior synonym of </w:t>
      </w:r>
      <w:r w:rsidRPr="00A155FA">
        <w:rPr>
          <w:rFonts w:ascii="Times New Roman" w:hAnsi="Times New Roman" w:cs="Times New Roman"/>
          <w:i/>
          <w:iCs/>
        </w:rPr>
        <w:t xml:space="preserve">Brachydectes newberryi </w:t>
      </w:r>
      <w:r w:rsidRPr="00A155FA">
        <w:rPr>
          <w:rFonts w:ascii="Times New Roman" w:hAnsi="Times New Roman" w:cs="Times New Roman"/>
        </w:rPr>
        <w:t xml:space="preserve">by more recent ‘lepospondyl’ workers (Pardo &amp; Anderson, 2016; Mann, 2018), a revision of its assignment by </w:t>
      </w:r>
      <w:proofErr w:type="spellStart"/>
      <w:r w:rsidRPr="00A155FA">
        <w:rPr>
          <w:rFonts w:ascii="Times New Roman" w:hAnsi="Times New Roman" w:cs="Times New Roman"/>
        </w:rPr>
        <w:t>Wellstead</w:t>
      </w:r>
      <w:proofErr w:type="spellEnd"/>
      <w:r w:rsidRPr="00A155FA">
        <w:rPr>
          <w:rFonts w:ascii="Times New Roman" w:hAnsi="Times New Roman" w:cs="Times New Roman"/>
        </w:rPr>
        <w:t xml:space="preserve"> (1991; the single source used by Schoch et al., 2020 to code this OTU). This more inclusive concept has little impact on existing </w:t>
      </w:r>
      <w:proofErr w:type="spellStart"/>
      <w:r w:rsidRPr="00A155FA">
        <w:rPr>
          <w:rFonts w:ascii="Times New Roman" w:hAnsi="Times New Roman" w:cs="Times New Roman"/>
        </w:rPr>
        <w:t>codings</w:t>
      </w:r>
      <w:proofErr w:type="spellEnd"/>
      <w:r w:rsidRPr="00A155FA">
        <w:rPr>
          <w:rFonts w:ascii="Times New Roman" w:hAnsi="Times New Roman" w:cs="Times New Roman"/>
        </w:rPr>
        <w:t xml:space="preserve"> of this OTU. </w:t>
      </w:r>
    </w:p>
    <w:p w14:paraId="6AB3AAB6" w14:textId="77777777" w:rsidR="00FA06B2" w:rsidRPr="00A155FA" w:rsidRDefault="00FA06B2" w:rsidP="005229E5">
      <w:pPr>
        <w:pStyle w:val="ListParagraph"/>
        <w:numPr>
          <w:ilvl w:val="1"/>
          <w:numId w:val="4"/>
        </w:numPr>
        <w:tabs>
          <w:tab w:val="left" w:pos="2860"/>
        </w:tabs>
        <w:rPr>
          <w:rFonts w:ascii="Times New Roman" w:hAnsi="Times New Roman" w:cs="Times New Roman"/>
        </w:rPr>
      </w:pPr>
      <w:r w:rsidRPr="00A155FA">
        <w:rPr>
          <w:rFonts w:ascii="Times New Roman" w:hAnsi="Times New Roman" w:cs="Times New Roman"/>
        </w:rPr>
        <w:t>The following characters were newly coded based on Pardo &amp; Anderson (2016): 39 (0), 46 (0), 60 (1), 76 (0), 222 (1), 247 (0), 255 (0), 256 (1), 264 (2), 271 (2), 272 (1), 273 (-), 290 (1), 291 (1), 293 (0), 336 (0), 338 (0), 339 (0), 340 (0).</w:t>
      </w:r>
    </w:p>
    <w:p w14:paraId="09A8FD89" w14:textId="77777777" w:rsidR="00FA06B2" w:rsidRPr="00A155FA" w:rsidRDefault="00FA06B2" w:rsidP="005229E5">
      <w:pPr>
        <w:pStyle w:val="ListParagraph"/>
        <w:numPr>
          <w:ilvl w:val="1"/>
          <w:numId w:val="4"/>
        </w:numPr>
        <w:tabs>
          <w:tab w:val="left" w:pos="2860"/>
        </w:tabs>
        <w:rPr>
          <w:rFonts w:ascii="Times New Roman" w:hAnsi="Times New Roman" w:cs="Times New Roman"/>
        </w:rPr>
      </w:pPr>
      <w:r w:rsidRPr="00A155FA">
        <w:rPr>
          <w:rFonts w:ascii="Times New Roman" w:hAnsi="Times New Roman" w:cs="Times New Roman"/>
        </w:rPr>
        <w:t>Other changes are listed in the taxon-specific section and represent mischaracterized codes or omissions that need to be coded regardless of which species is sampled (e.g., coding an otic notch as present in this OTU; 51–0).</w:t>
      </w:r>
    </w:p>
    <w:p w14:paraId="33131616" w14:textId="3CE53AA7" w:rsidR="00FA06B2" w:rsidRPr="00A155FA" w:rsidRDefault="00FA06B2" w:rsidP="005229E5">
      <w:pPr>
        <w:pStyle w:val="ListParagraph"/>
        <w:numPr>
          <w:ilvl w:val="0"/>
          <w:numId w:val="4"/>
        </w:numPr>
        <w:tabs>
          <w:tab w:val="left" w:pos="2860"/>
        </w:tabs>
        <w:rPr>
          <w:rFonts w:ascii="Times New Roman" w:hAnsi="Times New Roman" w:cs="Times New Roman"/>
        </w:rPr>
      </w:pPr>
      <w:r w:rsidRPr="00A155FA">
        <w:rPr>
          <w:rFonts w:ascii="Times New Roman" w:hAnsi="Times New Roman" w:cs="Times New Roman"/>
          <w:b/>
          <w:bCs/>
          <w:i/>
          <w:iCs/>
        </w:rPr>
        <w:t xml:space="preserve">Batropetes fritschi: </w:t>
      </w:r>
      <w:r w:rsidRPr="00A155FA">
        <w:rPr>
          <w:rFonts w:ascii="Times New Roman" w:hAnsi="Times New Roman" w:cs="Times New Roman"/>
        </w:rPr>
        <w:t xml:space="preserve">The skull roof, palate, and braincase of </w:t>
      </w:r>
      <w:r w:rsidRPr="00A155FA">
        <w:rPr>
          <w:rFonts w:ascii="Times New Roman" w:hAnsi="Times New Roman" w:cs="Times New Roman"/>
          <w:i/>
          <w:iCs/>
        </w:rPr>
        <w:t xml:space="preserve">Batropetes fritschi </w:t>
      </w:r>
      <w:r w:rsidRPr="00A155FA">
        <w:rPr>
          <w:rFonts w:ascii="Times New Roman" w:hAnsi="Times New Roman" w:cs="Times New Roman"/>
        </w:rPr>
        <w:t xml:space="preserve">is poorly known, and therefore we elected to exchange </w:t>
      </w:r>
      <w:r w:rsidRPr="00A155FA">
        <w:rPr>
          <w:rFonts w:ascii="Times New Roman" w:hAnsi="Times New Roman" w:cs="Times New Roman"/>
          <w:i/>
          <w:iCs/>
        </w:rPr>
        <w:t xml:space="preserve">Batropetes fritschi </w:t>
      </w:r>
      <w:r w:rsidRPr="00A155FA">
        <w:rPr>
          <w:rFonts w:ascii="Times New Roman" w:hAnsi="Times New Roman" w:cs="Times New Roman"/>
        </w:rPr>
        <w:t xml:space="preserve">for a better-known member of the same genus, </w:t>
      </w:r>
      <w:r w:rsidRPr="00A155FA">
        <w:rPr>
          <w:rFonts w:ascii="Times New Roman" w:hAnsi="Times New Roman" w:cs="Times New Roman"/>
          <w:i/>
          <w:iCs/>
        </w:rPr>
        <w:t>Batropetes palatinus</w:t>
      </w:r>
      <w:r w:rsidRPr="00A155FA">
        <w:rPr>
          <w:rFonts w:ascii="Times New Roman" w:hAnsi="Times New Roman" w:cs="Times New Roman"/>
        </w:rPr>
        <w:t xml:space="preserve"> (Carroll, 1991; Glienke, 2015), in order to maximize the scorable characters. </w:t>
      </w:r>
    </w:p>
    <w:p w14:paraId="7E430EFF" w14:textId="01BF8053" w:rsidR="00FA06B2" w:rsidRPr="00A155FA" w:rsidRDefault="00FA06B2" w:rsidP="005229E5">
      <w:pPr>
        <w:pStyle w:val="ListParagraph"/>
        <w:numPr>
          <w:ilvl w:val="1"/>
          <w:numId w:val="4"/>
        </w:numPr>
        <w:tabs>
          <w:tab w:val="left" w:pos="2860"/>
        </w:tabs>
        <w:rPr>
          <w:rFonts w:ascii="Times New Roman" w:hAnsi="Times New Roman" w:cs="Times New Roman"/>
          <w:b/>
          <w:bCs/>
        </w:rPr>
      </w:pPr>
      <w:r w:rsidRPr="00A155FA">
        <w:rPr>
          <w:rFonts w:ascii="Times New Roman" w:hAnsi="Times New Roman" w:cs="Times New Roman"/>
        </w:rPr>
        <w:t>The following characters were newly coded based on the taxonomic shift for this OTU: 81 (-),  178 (1), 181 (-), 182 (1), 256 (1), 264 (1), 265 (0), 266 (2), 267 (-), 271 (3), 272 (-), 273 (-), 290 (1), 294 (0), 295 (0), 297 (0), 298 (0), 299 (1), 300 (2), 309 (1), 310 (-), 339 (0), 351 (0).</w:t>
      </w:r>
    </w:p>
    <w:p w14:paraId="6DA35800" w14:textId="60CEE748" w:rsidR="00FA06B2" w:rsidRPr="00A155FA" w:rsidRDefault="00FA06B2" w:rsidP="005229E5">
      <w:pPr>
        <w:pStyle w:val="ListParagraph"/>
        <w:numPr>
          <w:ilvl w:val="1"/>
          <w:numId w:val="4"/>
        </w:numPr>
        <w:tabs>
          <w:tab w:val="left" w:pos="2860"/>
        </w:tabs>
        <w:rPr>
          <w:rFonts w:ascii="Times New Roman" w:hAnsi="Times New Roman" w:cs="Times New Roman"/>
          <w:b/>
          <w:bCs/>
        </w:rPr>
      </w:pPr>
      <w:r w:rsidRPr="00A155FA">
        <w:rPr>
          <w:rFonts w:ascii="Times New Roman" w:hAnsi="Times New Roman" w:cs="Times New Roman"/>
        </w:rPr>
        <w:t xml:space="preserve">The following characters were recoded based on this taxonomic shift: 87 (1 </w:t>
      </w:r>
      <w:r w:rsidRPr="00A155FA">
        <w:rPr>
          <w:rFonts w:ascii="Times New Roman" w:hAnsi="Times New Roman" w:cs="Times New Roman"/>
        </w:rPr>
        <w:sym w:font="Wingdings" w:char="F0E0"/>
      </w:r>
      <w:r w:rsidRPr="00A155FA">
        <w:rPr>
          <w:rFonts w:ascii="Times New Roman" w:hAnsi="Times New Roman" w:cs="Times New Roman"/>
        </w:rPr>
        <w:t xml:space="preserve"> 0), 91 (0 </w:t>
      </w:r>
      <w:r w:rsidRPr="00A155FA">
        <w:rPr>
          <w:rFonts w:ascii="Times New Roman" w:hAnsi="Times New Roman" w:cs="Times New Roman"/>
        </w:rPr>
        <w:sym w:font="Wingdings" w:char="F0E0"/>
      </w:r>
      <w:r w:rsidRPr="00A155FA">
        <w:rPr>
          <w:rFonts w:ascii="Times New Roman" w:hAnsi="Times New Roman" w:cs="Times New Roman"/>
        </w:rPr>
        <w:t xml:space="preserve"> -), 92 (0 </w:t>
      </w:r>
      <w:r w:rsidRPr="00A155FA">
        <w:rPr>
          <w:rFonts w:ascii="Times New Roman" w:hAnsi="Times New Roman" w:cs="Times New Roman"/>
        </w:rPr>
        <w:sym w:font="Wingdings" w:char="F0E0"/>
      </w:r>
      <w:r w:rsidRPr="00A155FA">
        <w:rPr>
          <w:rFonts w:ascii="Times New Roman" w:hAnsi="Times New Roman" w:cs="Times New Roman"/>
        </w:rPr>
        <w:t xml:space="preserve"> -), 99 (0 </w:t>
      </w:r>
      <w:r w:rsidRPr="00A155FA">
        <w:rPr>
          <w:rFonts w:ascii="Times New Roman" w:hAnsi="Times New Roman" w:cs="Times New Roman"/>
        </w:rPr>
        <w:sym w:font="Wingdings" w:char="F0E0"/>
      </w:r>
      <w:r w:rsidRPr="00A155FA">
        <w:rPr>
          <w:rFonts w:ascii="Times New Roman" w:hAnsi="Times New Roman" w:cs="Times New Roman"/>
        </w:rPr>
        <w:t xml:space="preserve"> ?), 101 (0 </w:t>
      </w:r>
      <w:r w:rsidRPr="00A155FA">
        <w:rPr>
          <w:rFonts w:ascii="Times New Roman" w:hAnsi="Times New Roman" w:cs="Times New Roman"/>
        </w:rPr>
        <w:sym w:font="Wingdings" w:char="F0E0"/>
      </w:r>
      <w:r w:rsidRPr="00A155FA">
        <w:rPr>
          <w:rFonts w:ascii="Times New Roman" w:hAnsi="Times New Roman" w:cs="Times New Roman"/>
        </w:rPr>
        <w:t xml:space="preserve"> ?), 103 (0 </w:t>
      </w:r>
      <w:r w:rsidRPr="00A155FA">
        <w:rPr>
          <w:rFonts w:ascii="Times New Roman" w:hAnsi="Times New Roman" w:cs="Times New Roman"/>
        </w:rPr>
        <w:sym w:font="Wingdings" w:char="F0E0"/>
      </w:r>
      <w:r w:rsidRPr="00A155FA">
        <w:rPr>
          <w:rFonts w:ascii="Times New Roman" w:hAnsi="Times New Roman" w:cs="Times New Roman"/>
        </w:rPr>
        <w:t xml:space="preserve"> 1), 105 (0 </w:t>
      </w:r>
      <w:r w:rsidRPr="00A155FA">
        <w:rPr>
          <w:rFonts w:ascii="Times New Roman" w:hAnsi="Times New Roman" w:cs="Times New Roman"/>
        </w:rPr>
        <w:sym w:font="Wingdings" w:char="F0E0"/>
      </w:r>
      <w:r w:rsidRPr="00A155FA">
        <w:rPr>
          <w:rFonts w:ascii="Times New Roman" w:hAnsi="Times New Roman" w:cs="Times New Roman"/>
        </w:rPr>
        <w:t xml:space="preserve"> ?), 110 (0 </w:t>
      </w:r>
      <w:r w:rsidRPr="00A155FA">
        <w:rPr>
          <w:rFonts w:ascii="Times New Roman" w:hAnsi="Times New Roman" w:cs="Times New Roman"/>
        </w:rPr>
        <w:sym w:font="Wingdings" w:char="F0E0"/>
      </w:r>
      <w:r w:rsidRPr="00A155FA">
        <w:rPr>
          <w:rFonts w:ascii="Times New Roman" w:hAnsi="Times New Roman" w:cs="Times New Roman"/>
        </w:rPr>
        <w:t xml:space="preserve"> 2), 138 (0 </w:t>
      </w:r>
      <w:r w:rsidRPr="00A155FA">
        <w:rPr>
          <w:rFonts w:ascii="Times New Roman" w:hAnsi="Times New Roman" w:cs="Times New Roman"/>
        </w:rPr>
        <w:sym w:font="Wingdings" w:char="F0E0"/>
      </w:r>
      <w:r w:rsidRPr="00A155FA">
        <w:rPr>
          <w:rFonts w:ascii="Times New Roman" w:hAnsi="Times New Roman" w:cs="Times New Roman"/>
        </w:rPr>
        <w:t xml:space="preserve"> ?), 145 (0 </w:t>
      </w:r>
      <w:r w:rsidRPr="00A155FA">
        <w:rPr>
          <w:rFonts w:ascii="Times New Roman" w:hAnsi="Times New Roman" w:cs="Times New Roman"/>
        </w:rPr>
        <w:sym w:font="Wingdings" w:char="F0E0"/>
      </w:r>
      <w:r w:rsidRPr="00A155FA">
        <w:rPr>
          <w:rFonts w:ascii="Times New Roman" w:hAnsi="Times New Roman" w:cs="Times New Roman"/>
        </w:rPr>
        <w:t xml:space="preserve"> -), 147 (0 </w:t>
      </w:r>
      <w:r w:rsidRPr="00A155FA">
        <w:rPr>
          <w:rFonts w:ascii="Times New Roman" w:hAnsi="Times New Roman" w:cs="Times New Roman"/>
        </w:rPr>
        <w:sym w:font="Wingdings" w:char="F0E0"/>
      </w:r>
      <w:r w:rsidRPr="00A155FA">
        <w:rPr>
          <w:rFonts w:ascii="Times New Roman" w:hAnsi="Times New Roman" w:cs="Times New Roman"/>
        </w:rPr>
        <w:t xml:space="preserve"> -), 148 (0 </w:t>
      </w:r>
      <w:r w:rsidRPr="00A155FA">
        <w:rPr>
          <w:rFonts w:ascii="Times New Roman" w:hAnsi="Times New Roman" w:cs="Times New Roman"/>
        </w:rPr>
        <w:sym w:font="Wingdings" w:char="F0E0"/>
      </w:r>
      <w:r w:rsidRPr="00A155FA">
        <w:rPr>
          <w:rFonts w:ascii="Times New Roman" w:hAnsi="Times New Roman" w:cs="Times New Roman"/>
        </w:rPr>
        <w:t xml:space="preserve"> -), 222 (0 </w:t>
      </w:r>
      <w:r w:rsidRPr="00A155FA">
        <w:rPr>
          <w:rFonts w:ascii="Times New Roman" w:hAnsi="Times New Roman" w:cs="Times New Roman"/>
        </w:rPr>
        <w:sym w:font="Wingdings" w:char="F0E0"/>
      </w:r>
      <w:r w:rsidRPr="00A155FA">
        <w:rPr>
          <w:rFonts w:ascii="Times New Roman" w:hAnsi="Times New Roman" w:cs="Times New Roman"/>
        </w:rPr>
        <w:t xml:space="preserve"> 1), 226 (0 </w:t>
      </w:r>
      <w:r w:rsidRPr="00A155FA">
        <w:rPr>
          <w:rFonts w:ascii="Times New Roman" w:hAnsi="Times New Roman" w:cs="Times New Roman"/>
        </w:rPr>
        <w:sym w:font="Wingdings" w:char="F0E0"/>
      </w:r>
      <w:r w:rsidRPr="00A155FA">
        <w:rPr>
          <w:rFonts w:ascii="Times New Roman" w:hAnsi="Times New Roman" w:cs="Times New Roman"/>
        </w:rPr>
        <w:t xml:space="preserve"> 1), 252 (0 </w:t>
      </w:r>
      <w:r w:rsidRPr="00A155FA">
        <w:rPr>
          <w:rFonts w:ascii="Times New Roman" w:hAnsi="Times New Roman" w:cs="Times New Roman"/>
        </w:rPr>
        <w:sym w:font="Wingdings" w:char="F0E0"/>
      </w:r>
      <w:r w:rsidRPr="00A155FA">
        <w:rPr>
          <w:rFonts w:ascii="Times New Roman" w:hAnsi="Times New Roman" w:cs="Times New Roman"/>
        </w:rPr>
        <w:t xml:space="preserve"> ?), 259 (0 </w:t>
      </w:r>
      <w:r w:rsidRPr="00A155FA">
        <w:rPr>
          <w:rFonts w:ascii="Times New Roman" w:hAnsi="Times New Roman" w:cs="Times New Roman"/>
        </w:rPr>
        <w:sym w:font="Wingdings" w:char="F0E0"/>
      </w:r>
      <w:r w:rsidRPr="00A155FA">
        <w:rPr>
          <w:rFonts w:ascii="Times New Roman" w:hAnsi="Times New Roman" w:cs="Times New Roman"/>
        </w:rPr>
        <w:t xml:space="preserve"> ?), 274 (0 </w:t>
      </w:r>
      <w:r w:rsidRPr="00A155FA">
        <w:rPr>
          <w:rFonts w:ascii="Times New Roman" w:hAnsi="Times New Roman" w:cs="Times New Roman"/>
        </w:rPr>
        <w:sym w:font="Wingdings" w:char="F0E0"/>
      </w:r>
      <w:r w:rsidRPr="00A155FA">
        <w:rPr>
          <w:rFonts w:ascii="Times New Roman" w:hAnsi="Times New Roman" w:cs="Times New Roman"/>
        </w:rPr>
        <w:t xml:space="preserve"> ?), 325 (1 </w:t>
      </w:r>
      <w:r w:rsidRPr="00A155FA">
        <w:rPr>
          <w:rFonts w:ascii="Times New Roman" w:hAnsi="Times New Roman" w:cs="Times New Roman"/>
        </w:rPr>
        <w:sym w:font="Wingdings" w:char="F0E0"/>
      </w:r>
      <w:r w:rsidRPr="00A155FA">
        <w:rPr>
          <w:rFonts w:ascii="Times New Roman" w:hAnsi="Times New Roman" w:cs="Times New Roman"/>
        </w:rPr>
        <w:t xml:space="preserve"> ?), 349 (0 </w:t>
      </w:r>
      <w:r w:rsidRPr="00A155FA">
        <w:rPr>
          <w:rFonts w:ascii="Times New Roman" w:hAnsi="Times New Roman" w:cs="Times New Roman"/>
        </w:rPr>
        <w:sym w:font="Wingdings" w:char="F0E0"/>
      </w:r>
      <w:r w:rsidRPr="00A155FA">
        <w:rPr>
          <w:rFonts w:ascii="Times New Roman" w:hAnsi="Times New Roman" w:cs="Times New Roman"/>
        </w:rPr>
        <w:t xml:space="preserve"> ?), 353 (0 </w:t>
      </w:r>
      <w:r w:rsidRPr="00A155FA">
        <w:rPr>
          <w:rFonts w:ascii="Times New Roman" w:hAnsi="Times New Roman" w:cs="Times New Roman"/>
        </w:rPr>
        <w:sym w:font="Wingdings" w:char="F0E0"/>
      </w:r>
      <w:r w:rsidRPr="00A155FA">
        <w:rPr>
          <w:rFonts w:ascii="Times New Roman" w:hAnsi="Times New Roman" w:cs="Times New Roman"/>
        </w:rPr>
        <w:t xml:space="preserve"> </w:t>
      </w:r>
      <w:r w:rsidRPr="00A155FA">
        <w:rPr>
          <w:rFonts w:ascii="Times New Roman" w:hAnsi="Times New Roman" w:cs="Times New Roman"/>
        </w:rPr>
        <w:lastRenderedPageBreak/>
        <w:t xml:space="preserve">?). Note that most of these probably represent unsubstantiated codes in the original coding of </w:t>
      </w:r>
      <w:r w:rsidRPr="00A155FA">
        <w:rPr>
          <w:rFonts w:ascii="Times New Roman" w:hAnsi="Times New Roman" w:cs="Times New Roman"/>
          <w:i/>
          <w:iCs/>
        </w:rPr>
        <w:t>Batropetes fritschi</w:t>
      </w:r>
      <w:r w:rsidRPr="00A155FA">
        <w:rPr>
          <w:rFonts w:ascii="Times New Roman" w:hAnsi="Times New Roman" w:cs="Times New Roman"/>
        </w:rPr>
        <w:t xml:space="preserve">, as they relate to palatal features that are not described, figured, or reconstructed by Glienke (2013), such as </w:t>
      </w:r>
      <w:proofErr w:type="spellStart"/>
      <w:r w:rsidRPr="00A155FA">
        <w:rPr>
          <w:rFonts w:ascii="Times New Roman" w:hAnsi="Times New Roman" w:cs="Times New Roman"/>
        </w:rPr>
        <w:t>parasphenoidal</w:t>
      </w:r>
      <w:proofErr w:type="spellEnd"/>
      <w:r w:rsidRPr="00A155FA">
        <w:rPr>
          <w:rFonts w:ascii="Times New Roman" w:hAnsi="Times New Roman" w:cs="Times New Roman"/>
        </w:rPr>
        <w:t xml:space="preserve"> dentition or choanal morphology, and that are unknown in this taxon based on the literature. Many of these codes may have been taken from </w:t>
      </w:r>
      <w:proofErr w:type="spellStart"/>
      <w:r w:rsidRPr="00A155FA">
        <w:rPr>
          <w:rFonts w:ascii="Times New Roman" w:hAnsi="Times New Roman" w:cs="Times New Roman"/>
          <w:i/>
          <w:iCs/>
        </w:rPr>
        <w:t>Batropetes</w:t>
      </w:r>
      <w:proofErr w:type="spellEnd"/>
      <w:r w:rsidRPr="00A155FA">
        <w:rPr>
          <w:rFonts w:ascii="Times New Roman" w:hAnsi="Times New Roman" w:cs="Times New Roman"/>
          <w:i/>
          <w:iCs/>
        </w:rPr>
        <w:t xml:space="preserve"> </w:t>
      </w:r>
      <w:proofErr w:type="spellStart"/>
      <w:r w:rsidRPr="00A155FA">
        <w:rPr>
          <w:rFonts w:ascii="Times New Roman" w:hAnsi="Times New Roman" w:cs="Times New Roman"/>
          <w:i/>
          <w:iCs/>
        </w:rPr>
        <w:t>niederkirchensis</w:t>
      </w:r>
      <w:proofErr w:type="spellEnd"/>
      <w:r w:rsidRPr="00A155FA">
        <w:rPr>
          <w:rFonts w:ascii="Times New Roman" w:hAnsi="Times New Roman" w:cs="Times New Roman"/>
        </w:rPr>
        <w:t>, also described by Glienke (2013).</w:t>
      </w:r>
    </w:p>
    <w:p w14:paraId="2E73F282" w14:textId="77777777" w:rsidR="00FA06B2" w:rsidRPr="00A155FA" w:rsidRDefault="00FA06B2" w:rsidP="005229E5">
      <w:pPr>
        <w:pStyle w:val="ListParagraph"/>
        <w:numPr>
          <w:ilvl w:val="1"/>
          <w:numId w:val="4"/>
        </w:numPr>
        <w:tabs>
          <w:tab w:val="left" w:pos="2860"/>
        </w:tabs>
        <w:rPr>
          <w:rFonts w:ascii="Times New Roman" w:hAnsi="Times New Roman" w:cs="Times New Roman"/>
        </w:rPr>
      </w:pPr>
      <w:r w:rsidRPr="00A155FA">
        <w:rPr>
          <w:rFonts w:ascii="Times New Roman" w:hAnsi="Times New Roman" w:cs="Times New Roman"/>
        </w:rPr>
        <w:t>Other changes are listed in the taxon-specific section and represent mischaracterized codes or omissions that should have been coded previously regardless of which species is sampled (e.g., coding an otic notch as present in this OTU; 51–0).</w:t>
      </w:r>
    </w:p>
    <w:p w14:paraId="312B3E78" w14:textId="77777777" w:rsidR="00FA06B2" w:rsidRPr="00A155FA" w:rsidRDefault="00FA06B2" w:rsidP="005229E5">
      <w:pPr>
        <w:pStyle w:val="ListParagraph"/>
        <w:numPr>
          <w:ilvl w:val="0"/>
          <w:numId w:val="4"/>
        </w:numPr>
        <w:tabs>
          <w:tab w:val="left" w:pos="2860"/>
        </w:tabs>
        <w:rPr>
          <w:rFonts w:ascii="Times New Roman" w:hAnsi="Times New Roman" w:cs="Times New Roman"/>
        </w:rPr>
      </w:pPr>
      <w:r w:rsidRPr="00A155FA">
        <w:rPr>
          <w:rFonts w:ascii="Times New Roman" w:hAnsi="Times New Roman" w:cs="Times New Roman"/>
          <w:b/>
          <w:bCs/>
          <w:i/>
          <w:iCs/>
        </w:rPr>
        <w:t>Rhynchonkos stovalli</w:t>
      </w:r>
      <w:r w:rsidRPr="00A155FA">
        <w:rPr>
          <w:rFonts w:ascii="Times New Roman" w:hAnsi="Times New Roman" w:cs="Times New Roman"/>
          <w:b/>
          <w:bCs/>
        </w:rPr>
        <w:t xml:space="preserve">: </w:t>
      </w:r>
      <w:r w:rsidRPr="00A155FA">
        <w:rPr>
          <w:rFonts w:ascii="Times New Roman" w:hAnsi="Times New Roman" w:cs="Times New Roman"/>
        </w:rPr>
        <w:t xml:space="preserve">Szostakiwskyj et al. (2015) demonstrated that the suite of material referred to this taxon by Carroll &amp; Gaskill (1978), the source of </w:t>
      </w:r>
      <w:proofErr w:type="spellStart"/>
      <w:r w:rsidRPr="00A155FA">
        <w:rPr>
          <w:rFonts w:ascii="Times New Roman" w:hAnsi="Times New Roman" w:cs="Times New Roman"/>
        </w:rPr>
        <w:t>codings</w:t>
      </w:r>
      <w:proofErr w:type="spellEnd"/>
      <w:r w:rsidRPr="00A155FA">
        <w:rPr>
          <w:rFonts w:ascii="Times New Roman" w:hAnsi="Times New Roman" w:cs="Times New Roman"/>
        </w:rPr>
        <w:t xml:space="preserve"> by Schoch et al. (2020), represents a chimera of at least three taxa. Most of the original characterization by Carroll &amp; Gaskill (1978) is based on a composite of specimens without skeletal overlap, which as Szostakiwskyj et al. (2015:3) noted, requires an assumption that this is not “an amalgam of caecilian-like characteristics drawn from several distinct taxa into an artificially caecilian-like form.” The </w:t>
      </w:r>
      <w:proofErr w:type="spellStart"/>
      <w:r w:rsidRPr="00A155FA">
        <w:rPr>
          <w:rFonts w:ascii="Times New Roman" w:hAnsi="Times New Roman" w:cs="Times New Roman"/>
        </w:rPr>
        <w:t>codings</w:t>
      </w:r>
      <w:proofErr w:type="spellEnd"/>
      <w:r w:rsidRPr="00A155FA">
        <w:rPr>
          <w:rFonts w:ascii="Times New Roman" w:hAnsi="Times New Roman" w:cs="Times New Roman"/>
        </w:rPr>
        <w:t xml:space="preserve"> are restricted to the holotype (a skull with lower jaws), which was redescribed by Szostakiwskyj et al. on the basis of new CT data. </w:t>
      </w:r>
    </w:p>
    <w:p w14:paraId="630841E1" w14:textId="77777777" w:rsidR="00FA06B2" w:rsidRPr="00A155FA" w:rsidRDefault="00FA06B2" w:rsidP="005229E5">
      <w:pPr>
        <w:pStyle w:val="ListParagraph"/>
        <w:numPr>
          <w:ilvl w:val="1"/>
          <w:numId w:val="4"/>
        </w:numPr>
        <w:tabs>
          <w:tab w:val="left" w:pos="2860"/>
        </w:tabs>
        <w:rPr>
          <w:rFonts w:ascii="Times New Roman" w:hAnsi="Times New Roman" w:cs="Times New Roman"/>
        </w:rPr>
      </w:pPr>
      <w:r w:rsidRPr="00A155FA">
        <w:rPr>
          <w:rFonts w:ascii="Times New Roman" w:hAnsi="Times New Roman" w:cs="Times New Roman"/>
        </w:rPr>
        <w:t>The following characters were automatically recoded as unknown based on restriction to the holotype: 69, 99, 158</w:t>
      </w:r>
      <w:r w:rsidRPr="00A155FA">
        <w:rPr>
          <w:rFonts w:ascii="Times New Roman" w:hAnsi="Times New Roman" w:cs="Times New Roman"/>
        </w:rPr>
        <w:softHyphen/>
        <w:t>–162, 167–177, 179, 183–212, 214, 222, 278–284, 286, 288–289, 291–292, 296, 301–308, 325, 345, 347, 348.</w:t>
      </w:r>
    </w:p>
    <w:p w14:paraId="4ED44F18" w14:textId="77777777" w:rsidR="00FA06B2" w:rsidRPr="00A155FA" w:rsidRDefault="00FA06B2" w:rsidP="005229E5">
      <w:pPr>
        <w:pStyle w:val="ListParagraph"/>
        <w:numPr>
          <w:ilvl w:val="1"/>
          <w:numId w:val="4"/>
        </w:numPr>
        <w:tabs>
          <w:tab w:val="left" w:pos="2860"/>
        </w:tabs>
        <w:rPr>
          <w:rFonts w:ascii="Times New Roman" w:hAnsi="Times New Roman" w:cs="Times New Roman"/>
        </w:rPr>
      </w:pPr>
      <w:r w:rsidRPr="00A155FA">
        <w:rPr>
          <w:rFonts w:ascii="Times New Roman" w:hAnsi="Times New Roman" w:cs="Times New Roman"/>
        </w:rPr>
        <w:t>The following characters were newly coded based on Szostakiwskyj et al. (2015): 19 (0), 76 (0), 247 (0), 256 (1), 264 (2), 266 (1), 267 (1), 271 (1), 272 (0), 273 (2), 336 (0), 338 (0), 339 (0), 340 (0).</w:t>
      </w:r>
    </w:p>
    <w:p w14:paraId="41EB3D4F" w14:textId="590CAF72" w:rsidR="00FA06B2" w:rsidRPr="00A155FA" w:rsidRDefault="00FA06B2" w:rsidP="005229E5">
      <w:pPr>
        <w:pStyle w:val="ListParagraph"/>
        <w:numPr>
          <w:ilvl w:val="0"/>
          <w:numId w:val="4"/>
        </w:numPr>
        <w:tabs>
          <w:tab w:val="left" w:pos="2860"/>
        </w:tabs>
        <w:rPr>
          <w:rFonts w:ascii="Times New Roman" w:hAnsi="Times New Roman" w:cs="Times New Roman"/>
        </w:rPr>
      </w:pPr>
      <w:r w:rsidRPr="00A155FA">
        <w:rPr>
          <w:rFonts w:ascii="Times New Roman" w:hAnsi="Times New Roman" w:cs="Times New Roman"/>
          <w:b/>
          <w:bCs/>
          <w:i/>
          <w:iCs/>
        </w:rPr>
        <w:t xml:space="preserve">Dendrerpeton helogenes: </w:t>
      </w:r>
      <w:r w:rsidRPr="00A155FA">
        <w:rPr>
          <w:rFonts w:ascii="Times New Roman" w:hAnsi="Times New Roman" w:cs="Times New Roman"/>
        </w:rPr>
        <w:t>The OTU long called ‘</w:t>
      </w:r>
      <w:r w:rsidRPr="00A155FA">
        <w:rPr>
          <w:rFonts w:ascii="Times New Roman" w:hAnsi="Times New Roman" w:cs="Times New Roman"/>
          <w:i/>
          <w:iCs/>
        </w:rPr>
        <w:t>Dendrerpeton acadianum</w:t>
      </w:r>
      <w:r w:rsidRPr="00A155FA">
        <w:rPr>
          <w:rFonts w:ascii="Times New Roman" w:hAnsi="Times New Roman" w:cs="Times New Roman"/>
        </w:rPr>
        <w:t xml:space="preserve">’ in temnospondyl analyses that derives from material described by Godfrey et al. (1987) and Holmes et al. (1998) is in fact </w:t>
      </w:r>
      <w:r w:rsidRPr="00A155FA">
        <w:rPr>
          <w:rFonts w:ascii="Times New Roman" w:hAnsi="Times New Roman" w:cs="Times New Roman"/>
          <w:i/>
          <w:iCs/>
        </w:rPr>
        <w:t>Dendrysekos helogenes</w:t>
      </w:r>
      <w:r w:rsidRPr="00A155FA">
        <w:rPr>
          <w:rFonts w:ascii="Times New Roman" w:hAnsi="Times New Roman" w:cs="Times New Roman"/>
        </w:rPr>
        <w:t xml:space="preserve"> sensu Schoch &amp; Milner (2014:25), which means that it is </w:t>
      </w:r>
      <w:proofErr w:type="spellStart"/>
      <w:r w:rsidRPr="00A155FA">
        <w:rPr>
          <w:rFonts w:ascii="Times New Roman" w:hAnsi="Times New Roman" w:cs="Times New Roman"/>
          <w:i/>
          <w:iCs/>
        </w:rPr>
        <w:t>Dendry</w:t>
      </w:r>
      <w:proofErr w:type="spellEnd"/>
      <w:r w:rsidRPr="00A155FA">
        <w:rPr>
          <w:rFonts w:ascii="Times New Roman" w:hAnsi="Times New Roman" w:cs="Times New Roman"/>
          <w:i/>
          <w:iCs/>
        </w:rPr>
        <w:t xml:space="preserve">. </w:t>
      </w:r>
      <w:proofErr w:type="spellStart"/>
      <w:r w:rsidRPr="00A155FA">
        <w:rPr>
          <w:rFonts w:ascii="Times New Roman" w:hAnsi="Times New Roman" w:cs="Times New Roman"/>
          <w:i/>
          <w:iCs/>
        </w:rPr>
        <w:t>helogenes</w:t>
      </w:r>
      <w:proofErr w:type="spellEnd"/>
      <w:r w:rsidRPr="00A155FA">
        <w:rPr>
          <w:rFonts w:ascii="Times New Roman" w:hAnsi="Times New Roman" w:cs="Times New Roman"/>
          <w:i/>
          <w:iCs/>
        </w:rPr>
        <w:t xml:space="preserve"> </w:t>
      </w:r>
      <w:r w:rsidRPr="00A155FA">
        <w:rPr>
          <w:rFonts w:ascii="Times New Roman" w:hAnsi="Times New Roman" w:cs="Times New Roman"/>
        </w:rPr>
        <w:t xml:space="preserve">and not </w:t>
      </w:r>
      <w:proofErr w:type="spellStart"/>
      <w:r w:rsidRPr="00A155FA">
        <w:rPr>
          <w:rFonts w:ascii="Times New Roman" w:hAnsi="Times New Roman" w:cs="Times New Roman"/>
          <w:i/>
          <w:iCs/>
        </w:rPr>
        <w:t>Dendre</w:t>
      </w:r>
      <w:proofErr w:type="spellEnd"/>
      <w:r w:rsidRPr="00A155FA">
        <w:rPr>
          <w:rFonts w:ascii="Times New Roman" w:hAnsi="Times New Roman" w:cs="Times New Roman"/>
          <w:i/>
          <w:iCs/>
        </w:rPr>
        <w:t xml:space="preserve">. acadianum </w:t>
      </w:r>
      <w:r w:rsidRPr="00A155FA">
        <w:rPr>
          <w:rFonts w:ascii="Times New Roman" w:hAnsi="Times New Roman" w:cs="Times New Roman"/>
        </w:rPr>
        <w:t xml:space="preserve">that has served as a common outgroup in temnospondyl analyses. </w:t>
      </w:r>
      <w:proofErr w:type="spellStart"/>
      <w:r w:rsidRPr="00A155FA">
        <w:rPr>
          <w:rFonts w:ascii="Times New Roman" w:hAnsi="Times New Roman" w:cs="Times New Roman"/>
        </w:rPr>
        <w:t>Codings</w:t>
      </w:r>
      <w:proofErr w:type="spellEnd"/>
      <w:r w:rsidRPr="00A155FA">
        <w:rPr>
          <w:rFonts w:ascii="Times New Roman" w:hAnsi="Times New Roman" w:cs="Times New Roman"/>
        </w:rPr>
        <w:t xml:space="preserve"> are restricted to the holotype (NHMUK 4149, a partial skull roof exposed ventrally; Steen, 1934) and to the two specimens described by Godfrey et al. (1987) and Holmes et al. (1998). A species concept restricted to these three specimens aligns with the </w:t>
      </w:r>
      <w:proofErr w:type="spellStart"/>
      <w:r w:rsidRPr="00A155FA">
        <w:rPr>
          <w:rFonts w:ascii="Times New Roman" w:hAnsi="Times New Roman" w:cs="Times New Roman"/>
          <w:i/>
          <w:iCs/>
        </w:rPr>
        <w:t>Dendrerpeton</w:t>
      </w:r>
      <w:proofErr w:type="spellEnd"/>
      <w:r w:rsidRPr="00A155FA">
        <w:rPr>
          <w:rFonts w:ascii="Times New Roman" w:hAnsi="Times New Roman" w:cs="Times New Roman"/>
          <w:i/>
          <w:iCs/>
        </w:rPr>
        <w:t xml:space="preserve"> </w:t>
      </w:r>
      <w:proofErr w:type="spellStart"/>
      <w:r w:rsidRPr="00A155FA">
        <w:rPr>
          <w:rFonts w:ascii="Times New Roman" w:hAnsi="Times New Roman" w:cs="Times New Roman"/>
          <w:i/>
          <w:iCs/>
        </w:rPr>
        <w:t>helogenes</w:t>
      </w:r>
      <w:proofErr w:type="spellEnd"/>
      <w:r w:rsidRPr="00A155FA">
        <w:rPr>
          <w:rFonts w:ascii="Times New Roman" w:hAnsi="Times New Roman" w:cs="Times New Roman"/>
          <w:i/>
          <w:iCs/>
        </w:rPr>
        <w:t xml:space="preserve"> </w:t>
      </w:r>
      <w:r w:rsidRPr="00A155FA">
        <w:rPr>
          <w:rFonts w:ascii="Times New Roman" w:hAnsi="Times New Roman" w:cs="Times New Roman"/>
        </w:rPr>
        <w:t xml:space="preserve">of </w:t>
      </w:r>
      <w:proofErr w:type="spellStart"/>
      <w:r w:rsidRPr="00A155FA">
        <w:rPr>
          <w:rFonts w:ascii="Times New Roman" w:hAnsi="Times New Roman" w:cs="Times New Roman"/>
        </w:rPr>
        <w:t>Arbez</w:t>
      </w:r>
      <w:proofErr w:type="spellEnd"/>
      <w:r w:rsidRPr="00A155FA">
        <w:rPr>
          <w:rFonts w:ascii="Times New Roman" w:hAnsi="Times New Roman" w:cs="Times New Roman"/>
        </w:rPr>
        <w:t xml:space="preserve"> et al. (2022), who recently synonymized </w:t>
      </w:r>
      <w:r w:rsidRPr="00A155FA">
        <w:rPr>
          <w:rFonts w:ascii="Times New Roman" w:hAnsi="Times New Roman" w:cs="Times New Roman"/>
          <w:i/>
          <w:iCs/>
        </w:rPr>
        <w:t xml:space="preserve">Dendrerpeton </w:t>
      </w:r>
      <w:r w:rsidRPr="00A155FA">
        <w:rPr>
          <w:rFonts w:ascii="Times New Roman" w:hAnsi="Times New Roman" w:cs="Times New Roman"/>
        </w:rPr>
        <w:t xml:space="preserve">and </w:t>
      </w:r>
      <w:r w:rsidRPr="00A155FA">
        <w:rPr>
          <w:rFonts w:ascii="Times New Roman" w:hAnsi="Times New Roman" w:cs="Times New Roman"/>
          <w:i/>
          <w:iCs/>
        </w:rPr>
        <w:t xml:space="preserve">Dendrysekos. </w:t>
      </w:r>
      <w:r w:rsidRPr="00A155FA">
        <w:rPr>
          <w:rFonts w:ascii="Times New Roman" w:hAnsi="Times New Roman" w:cs="Times New Roman"/>
        </w:rPr>
        <w:t>Neither of these recent taxonomic acts would</w:t>
      </w:r>
      <w:r w:rsidRPr="00A155FA" w:rsidDel="00005B98">
        <w:rPr>
          <w:rFonts w:ascii="Times New Roman" w:hAnsi="Times New Roman" w:cs="Times New Roman"/>
        </w:rPr>
        <w:t xml:space="preserve"> </w:t>
      </w:r>
      <w:r w:rsidRPr="00A155FA">
        <w:rPr>
          <w:rFonts w:ascii="Times New Roman" w:hAnsi="Times New Roman" w:cs="Times New Roman"/>
        </w:rPr>
        <w:t>lead to any coding changes, although it should be questioned whether occipital features can be coded from these specimens (it is unclear from the literature) or if these could only be coded from what is now a taxonomically ambiguous specimen like the occiput described by Robinson et al. (2005) on the basis of CT data (the occiput does not contain any differential characters sensu Schoch &amp; Milner, 2014).</w:t>
      </w:r>
    </w:p>
    <w:p w14:paraId="789BE79F" w14:textId="2777E805" w:rsidR="00FA06B2" w:rsidRPr="00A155FA" w:rsidRDefault="00FA06B2" w:rsidP="005229E5">
      <w:pPr>
        <w:pStyle w:val="ListParagraph"/>
        <w:numPr>
          <w:ilvl w:val="0"/>
          <w:numId w:val="4"/>
        </w:numPr>
        <w:tabs>
          <w:tab w:val="left" w:pos="2860"/>
        </w:tabs>
        <w:rPr>
          <w:rFonts w:ascii="Times New Roman" w:hAnsi="Times New Roman" w:cs="Times New Roman"/>
        </w:rPr>
      </w:pPr>
      <w:r w:rsidRPr="00A155FA">
        <w:rPr>
          <w:rFonts w:ascii="Times New Roman" w:hAnsi="Times New Roman" w:cs="Times New Roman"/>
          <w:b/>
          <w:bCs/>
          <w:i/>
          <w:iCs/>
        </w:rPr>
        <w:t xml:space="preserve">Cacops aspidephorus: </w:t>
      </w:r>
      <w:r w:rsidRPr="00A155FA">
        <w:rPr>
          <w:rFonts w:ascii="Times New Roman" w:hAnsi="Times New Roman" w:cs="Times New Roman"/>
        </w:rPr>
        <w:t xml:space="preserve">This has always been a chimeric OTU representing a combination of </w:t>
      </w:r>
      <w:r w:rsidRPr="00A155FA">
        <w:rPr>
          <w:rFonts w:ascii="Times New Roman" w:hAnsi="Times New Roman" w:cs="Times New Roman"/>
          <w:i/>
          <w:iCs/>
        </w:rPr>
        <w:t xml:space="preserve">Cacops aspidephorus </w:t>
      </w:r>
      <w:r w:rsidRPr="00A155FA">
        <w:rPr>
          <w:rFonts w:ascii="Times New Roman" w:hAnsi="Times New Roman" w:cs="Times New Roman"/>
        </w:rPr>
        <w:t xml:space="preserve">and </w:t>
      </w:r>
      <w:r w:rsidRPr="00A155FA">
        <w:rPr>
          <w:rFonts w:ascii="Times New Roman" w:hAnsi="Times New Roman" w:cs="Times New Roman"/>
          <w:i/>
          <w:iCs/>
        </w:rPr>
        <w:t xml:space="preserve">Cacops morrisi </w:t>
      </w:r>
      <w:r w:rsidRPr="00A155FA">
        <w:rPr>
          <w:rFonts w:ascii="Times New Roman" w:hAnsi="Times New Roman" w:cs="Times New Roman"/>
        </w:rPr>
        <w:t xml:space="preserve">(but not </w:t>
      </w:r>
      <w:r w:rsidRPr="00A155FA">
        <w:rPr>
          <w:rFonts w:ascii="Times New Roman" w:hAnsi="Times New Roman" w:cs="Times New Roman"/>
          <w:i/>
          <w:iCs/>
        </w:rPr>
        <w:t>Cacops woehri</w:t>
      </w:r>
      <w:r w:rsidRPr="00A155FA">
        <w:rPr>
          <w:rFonts w:ascii="Times New Roman" w:hAnsi="Times New Roman" w:cs="Times New Roman"/>
        </w:rPr>
        <w:t xml:space="preserve">), as noted by Schoch (2013:table 1). The inferred rationale is that the cranial osteology of </w:t>
      </w:r>
      <w:r w:rsidRPr="00A155FA">
        <w:rPr>
          <w:rFonts w:ascii="Times New Roman" w:hAnsi="Times New Roman" w:cs="Times New Roman"/>
          <w:i/>
          <w:iCs/>
        </w:rPr>
        <w:t xml:space="preserve">Cacops aspidephorus </w:t>
      </w:r>
      <w:r w:rsidRPr="00A155FA">
        <w:rPr>
          <w:rFonts w:ascii="Times New Roman" w:hAnsi="Times New Roman" w:cs="Times New Roman"/>
        </w:rPr>
        <w:t xml:space="preserve">was essentially unknown until recently (Anderson et al., 2020), but the postcranial skeleton was entirely known (Williston, 1910; Dilkes &amp; Brown, 2007; Dilkes, 2009, 2015), whereas the cranial osteology of </w:t>
      </w:r>
      <w:r w:rsidRPr="00A155FA">
        <w:rPr>
          <w:rFonts w:ascii="Times New Roman" w:hAnsi="Times New Roman" w:cs="Times New Roman"/>
          <w:i/>
          <w:iCs/>
        </w:rPr>
        <w:t xml:space="preserve">Cacops morrisi </w:t>
      </w:r>
      <w:r w:rsidRPr="00A155FA">
        <w:rPr>
          <w:rFonts w:ascii="Times New Roman" w:hAnsi="Times New Roman" w:cs="Times New Roman"/>
        </w:rPr>
        <w:t xml:space="preserve">was entirely known (Reisz et al., 2009), but the postcranial skeleton was almost entirely unknown until recently (Gee </w:t>
      </w:r>
      <w:r w:rsidRPr="00A155FA">
        <w:rPr>
          <w:rFonts w:ascii="Times New Roman" w:hAnsi="Times New Roman" w:cs="Times New Roman"/>
        </w:rPr>
        <w:lastRenderedPageBreak/>
        <w:t>&amp; Reisz, 2018). For this reason, the OTU has sometimes been</w:t>
      </w:r>
      <w:r w:rsidRPr="00A155FA">
        <w:rPr>
          <w:rFonts w:ascii="Times New Roman" w:hAnsi="Times New Roman" w:cs="Times New Roman"/>
          <w:i/>
          <w:iCs/>
        </w:rPr>
        <w:t xml:space="preserve"> </w:t>
      </w:r>
      <w:r w:rsidRPr="00A155FA">
        <w:rPr>
          <w:rFonts w:ascii="Times New Roman" w:hAnsi="Times New Roman" w:cs="Times New Roman"/>
        </w:rPr>
        <w:t>displayed as ‘</w:t>
      </w:r>
      <w:r w:rsidRPr="00A155FA">
        <w:rPr>
          <w:rFonts w:ascii="Times New Roman" w:hAnsi="Times New Roman" w:cs="Times New Roman"/>
          <w:i/>
          <w:iCs/>
        </w:rPr>
        <w:t>Cacops aspidephorus morrisi</w:t>
      </w:r>
      <w:r w:rsidRPr="00A155FA">
        <w:rPr>
          <w:rFonts w:ascii="Times New Roman" w:hAnsi="Times New Roman" w:cs="Times New Roman"/>
        </w:rPr>
        <w:t>’</w:t>
      </w:r>
      <w:r w:rsidRPr="00A155FA">
        <w:rPr>
          <w:rFonts w:ascii="Times New Roman" w:hAnsi="Times New Roman" w:cs="Times New Roman"/>
          <w:i/>
          <w:iCs/>
        </w:rPr>
        <w:t xml:space="preserve"> </w:t>
      </w:r>
      <w:r w:rsidRPr="00A155FA">
        <w:rPr>
          <w:rFonts w:ascii="Times New Roman" w:hAnsi="Times New Roman" w:cs="Times New Roman"/>
        </w:rPr>
        <w:t xml:space="preserve">(e.g., Pardo et al., 2017a). No other taxon was coded from two or more species or as a terminal of a higher order clade, and now that </w:t>
      </w:r>
      <w:r w:rsidRPr="00A155FA">
        <w:rPr>
          <w:rFonts w:ascii="Times New Roman" w:hAnsi="Times New Roman" w:cs="Times New Roman"/>
          <w:i/>
          <w:iCs/>
        </w:rPr>
        <w:t xml:space="preserve">Cacops aspidephorus </w:t>
      </w:r>
      <w:r w:rsidRPr="00A155FA">
        <w:rPr>
          <w:rFonts w:ascii="Times New Roman" w:hAnsi="Times New Roman" w:cs="Times New Roman"/>
        </w:rPr>
        <w:t>can be more completely coded, we prefer to restrict the OTU to this single species, as there are differences between them that would be captured in phylogenetic codes (Anderson et al., 2020; Gee, 2021). Corrections are listed in the taxon-specific section and represent changes made to codes that were mischaracterized regardless of which species is sampled (e.g., coding the absence of orbital rims in this OTU; 27–0).</w:t>
      </w:r>
    </w:p>
    <w:p w14:paraId="1011BC7F" w14:textId="77777777" w:rsidR="00FA06B2" w:rsidRPr="00A155FA" w:rsidRDefault="00FA06B2" w:rsidP="005229E5">
      <w:pPr>
        <w:pStyle w:val="ListParagraph"/>
        <w:numPr>
          <w:ilvl w:val="1"/>
          <w:numId w:val="4"/>
        </w:numPr>
        <w:tabs>
          <w:tab w:val="left" w:pos="2860"/>
        </w:tabs>
        <w:rPr>
          <w:rFonts w:ascii="Times New Roman" w:hAnsi="Times New Roman" w:cs="Times New Roman"/>
        </w:rPr>
      </w:pPr>
      <w:r w:rsidRPr="00A155FA">
        <w:rPr>
          <w:rFonts w:ascii="Times New Roman" w:hAnsi="Times New Roman" w:cs="Times New Roman"/>
        </w:rPr>
        <w:t xml:space="preserve">The following characters were recoded from one state to another: 87 (1 </w:t>
      </w:r>
      <w:r w:rsidRPr="00A155FA">
        <w:rPr>
          <w:rFonts w:ascii="Times New Roman" w:hAnsi="Times New Roman" w:cs="Times New Roman"/>
        </w:rPr>
        <w:sym w:font="Wingdings" w:char="F0E0"/>
      </w:r>
      <w:r w:rsidRPr="00A155FA">
        <w:rPr>
          <w:rFonts w:ascii="Times New Roman" w:hAnsi="Times New Roman" w:cs="Times New Roman"/>
        </w:rPr>
        <w:t xml:space="preserve"> 0). </w:t>
      </w:r>
    </w:p>
    <w:p w14:paraId="1378FFD3" w14:textId="77777777" w:rsidR="00FA06B2" w:rsidRPr="00A155FA" w:rsidRDefault="00FA06B2" w:rsidP="005229E5">
      <w:pPr>
        <w:pStyle w:val="ListParagraph"/>
        <w:numPr>
          <w:ilvl w:val="1"/>
          <w:numId w:val="4"/>
        </w:numPr>
        <w:tabs>
          <w:tab w:val="left" w:pos="2860"/>
        </w:tabs>
        <w:rPr>
          <w:rFonts w:ascii="Times New Roman" w:hAnsi="Times New Roman" w:cs="Times New Roman"/>
        </w:rPr>
      </w:pPr>
      <w:r w:rsidRPr="00A155FA">
        <w:rPr>
          <w:rFonts w:ascii="Times New Roman" w:hAnsi="Times New Roman" w:cs="Times New Roman"/>
        </w:rPr>
        <w:t>The following characters were recoded from one state to unknown (?): 102, 104, 126.</w:t>
      </w:r>
    </w:p>
    <w:p w14:paraId="23FAF129" w14:textId="77777777" w:rsidR="00FA06B2" w:rsidRPr="00A155FA" w:rsidRDefault="00FA06B2" w:rsidP="005229E5">
      <w:pPr>
        <w:pStyle w:val="ListParagraph"/>
        <w:numPr>
          <w:ilvl w:val="1"/>
          <w:numId w:val="4"/>
        </w:numPr>
        <w:tabs>
          <w:tab w:val="left" w:pos="2860"/>
        </w:tabs>
        <w:rPr>
          <w:rFonts w:ascii="Times New Roman" w:hAnsi="Times New Roman" w:cs="Times New Roman"/>
        </w:rPr>
      </w:pPr>
      <w:r w:rsidRPr="00A155FA">
        <w:rPr>
          <w:rFonts w:ascii="Times New Roman" w:hAnsi="Times New Roman" w:cs="Times New Roman"/>
        </w:rPr>
        <w:t>The following characters were newly coded: 270 (0), 271 (0), 275 (1), 310 (1), 311 (1), 312 (0), 313 (0), 319 (-), 321 (0), 322 (1), 323 (0), 324 (0), 326 (1).</w:t>
      </w:r>
    </w:p>
    <w:p w14:paraId="6D026B83" w14:textId="77777777" w:rsidR="00FA06B2" w:rsidRPr="00A155FA" w:rsidRDefault="00FA06B2" w:rsidP="005229E5">
      <w:pPr>
        <w:pStyle w:val="ListParagraph"/>
        <w:numPr>
          <w:ilvl w:val="0"/>
          <w:numId w:val="4"/>
        </w:numPr>
        <w:tabs>
          <w:tab w:val="left" w:pos="2860"/>
        </w:tabs>
        <w:rPr>
          <w:rFonts w:ascii="Times New Roman" w:hAnsi="Times New Roman" w:cs="Times New Roman"/>
        </w:rPr>
      </w:pPr>
      <w:r w:rsidRPr="00A155FA">
        <w:rPr>
          <w:rFonts w:ascii="Times New Roman" w:hAnsi="Times New Roman" w:cs="Times New Roman"/>
          <w:b/>
          <w:bCs/>
          <w:i/>
          <w:iCs/>
        </w:rPr>
        <w:t xml:space="preserve">Phonerpeton pricei: </w:t>
      </w:r>
      <w:r w:rsidRPr="00A155FA">
        <w:rPr>
          <w:rFonts w:ascii="Times New Roman" w:hAnsi="Times New Roman" w:cs="Times New Roman"/>
          <w:i/>
          <w:iCs/>
        </w:rPr>
        <w:t>Phonerpeton pricei</w:t>
      </w:r>
      <w:r w:rsidRPr="00A155FA">
        <w:rPr>
          <w:rFonts w:ascii="Times New Roman" w:hAnsi="Times New Roman" w:cs="Times New Roman"/>
        </w:rPr>
        <w:t xml:space="preserve">, as coded by Schoch (2013), was characterized following the concept of this taxon of Dilkes (1990) and not that of Schoch &amp; Milner (2014) in which some of this material was considered to belong to a separate species of </w:t>
      </w:r>
      <w:r w:rsidRPr="00A155FA">
        <w:rPr>
          <w:rFonts w:ascii="Times New Roman" w:hAnsi="Times New Roman" w:cs="Times New Roman"/>
          <w:i/>
          <w:iCs/>
        </w:rPr>
        <w:t>Phonerpeton</w:t>
      </w:r>
      <w:r w:rsidRPr="00A155FA">
        <w:rPr>
          <w:rFonts w:ascii="Times New Roman" w:hAnsi="Times New Roman" w:cs="Times New Roman"/>
        </w:rPr>
        <w:t xml:space="preserve">, </w:t>
      </w:r>
      <w:r w:rsidRPr="00A155FA">
        <w:rPr>
          <w:rFonts w:ascii="Times New Roman" w:hAnsi="Times New Roman" w:cs="Times New Roman"/>
          <w:i/>
          <w:iCs/>
        </w:rPr>
        <w:t>Phonerpeton whitei</w:t>
      </w:r>
      <w:r w:rsidRPr="00A155FA">
        <w:rPr>
          <w:rFonts w:ascii="Times New Roman" w:hAnsi="Times New Roman" w:cs="Times New Roman"/>
        </w:rPr>
        <w:t>. Dilkes’ concept is followed here.</w:t>
      </w:r>
    </w:p>
    <w:p w14:paraId="10E37495" w14:textId="0C3787C1" w:rsidR="00FA06B2" w:rsidRPr="00A155FA" w:rsidRDefault="00FA06B2" w:rsidP="005229E5">
      <w:pPr>
        <w:pStyle w:val="ListParagraph"/>
        <w:numPr>
          <w:ilvl w:val="0"/>
          <w:numId w:val="4"/>
        </w:numPr>
        <w:tabs>
          <w:tab w:val="left" w:pos="2860"/>
        </w:tabs>
        <w:rPr>
          <w:rFonts w:ascii="Times New Roman" w:hAnsi="Times New Roman" w:cs="Times New Roman"/>
        </w:rPr>
      </w:pPr>
      <w:r w:rsidRPr="00A155FA">
        <w:rPr>
          <w:rFonts w:ascii="Times New Roman" w:hAnsi="Times New Roman" w:cs="Times New Roman"/>
          <w:b/>
          <w:bCs/>
          <w:i/>
          <w:iCs/>
        </w:rPr>
        <w:t xml:space="preserve">Acheloma cumminsi: </w:t>
      </w:r>
      <w:r w:rsidRPr="00A155FA">
        <w:rPr>
          <w:rFonts w:ascii="Times New Roman" w:hAnsi="Times New Roman" w:cs="Times New Roman"/>
        </w:rPr>
        <w:t>This taxon follows the concept of Gee (2020), in which material of ‘</w:t>
      </w:r>
      <w:r w:rsidRPr="00A155FA">
        <w:rPr>
          <w:rFonts w:ascii="Times New Roman" w:hAnsi="Times New Roman" w:cs="Times New Roman"/>
          <w:i/>
          <w:iCs/>
        </w:rPr>
        <w:t>Acheloma dunni</w:t>
      </w:r>
      <w:r w:rsidRPr="00A155FA">
        <w:rPr>
          <w:rFonts w:ascii="Times New Roman" w:hAnsi="Times New Roman" w:cs="Times New Roman"/>
        </w:rPr>
        <w:t xml:space="preserve">’ from the Richards Spur locality is considered to be synonymous with </w:t>
      </w:r>
      <w:r w:rsidRPr="00A155FA">
        <w:rPr>
          <w:rFonts w:ascii="Times New Roman" w:hAnsi="Times New Roman" w:cs="Times New Roman"/>
          <w:i/>
          <w:iCs/>
        </w:rPr>
        <w:t>Acheloma cumminsi</w:t>
      </w:r>
      <w:r w:rsidRPr="00A155FA">
        <w:rPr>
          <w:rFonts w:ascii="Times New Roman" w:hAnsi="Times New Roman" w:cs="Times New Roman"/>
        </w:rPr>
        <w:t xml:space="preserve">. Schoch (2013:table 1) noted personal observation of material from the AMNH (where only material of </w:t>
      </w:r>
      <w:r w:rsidRPr="00A155FA">
        <w:rPr>
          <w:rFonts w:ascii="Times New Roman" w:hAnsi="Times New Roman" w:cs="Times New Roman"/>
          <w:i/>
          <w:iCs/>
        </w:rPr>
        <w:t>Acheloma cumminsi</w:t>
      </w:r>
      <w:r w:rsidRPr="00A155FA">
        <w:rPr>
          <w:rFonts w:ascii="Times New Roman" w:hAnsi="Times New Roman" w:cs="Times New Roman"/>
        </w:rPr>
        <w:t xml:space="preserve"> sensu Polley &amp; Reisz, 2011, is held), but Schoch only cited Polley &amp; Reisz (2011), who described material of ‘</w:t>
      </w:r>
      <w:r w:rsidRPr="00A155FA">
        <w:rPr>
          <w:rFonts w:ascii="Times New Roman" w:hAnsi="Times New Roman" w:cs="Times New Roman"/>
          <w:i/>
          <w:iCs/>
        </w:rPr>
        <w:t>Acheloma dunni</w:t>
      </w:r>
      <w:r w:rsidRPr="00A155FA">
        <w:rPr>
          <w:rFonts w:ascii="Times New Roman" w:hAnsi="Times New Roman" w:cs="Times New Roman"/>
        </w:rPr>
        <w:t xml:space="preserve">’ reposited at the BMRP and OMNH, as the literary source. The only difference between these two species was the purported absence of a LEP in </w:t>
      </w:r>
      <w:r w:rsidRPr="00A155FA">
        <w:rPr>
          <w:rFonts w:ascii="Times New Roman" w:hAnsi="Times New Roman" w:cs="Times New Roman"/>
          <w:i/>
          <w:iCs/>
        </w:rPr>
        <w:t xml:space="preserve">A. cumminsi </w:t>
      </w:r>
      <w:r w:rsidRPr="00A155FA">
        <w:rPr>
          <w:rFonts w:ascii="Times New Roman" w:hAnsi="Times New Roman" w:cs="Times New Roman"/>
        </w:rPr>
        <w:t xml:space="preserve">(e.g., Dilkes &amp; Reisz, 1987; Polley &amp; Reisz, 2011), which was subsequently identified in the holotype of this taxon (Gee et al., 2019). This OTU was originally coded as having a LEP. It is thus unclear whether this OTU may have originally been a chimeric OTU of two species like with </w:t>
      </w:r>
      <w:r w:rsidRPr="00A155FA">
        <w:rPr>
          <w:rFonts w:ascii="Times New Roman" w:hAnsi="Times New Roman" w:cs="Times New Roman"/>
          <w:i/>
          <w:iCs/>
        </w:rPr>
        <w:t>Cacops</w:t>
      </w:r>
      <w:r w:rsidRPr="00A155FA">
        <w:rPr>
          <w:rFonts w:ascii="Times New Roman" w:hAnsi="Times New Roman" w:cs="Times New Roman"/>
        </w:rPr>
        <w:t>.</w:t>
      </w:r>
    </w:p>
    <w:p w14:paraId="00FC3281" w14:textId="5642872B" w:rsidR="00FA06B2" w:rsidRPr="00A155FA" w:rsidRDefault="00FA06B2" w:rsidP="005229E5">
      <w:pPr>
        <w:pStyle w:val="ListParagraph"/>
        <w:numPr>
          <w:ilvl w:val="0"/>
          <w:numId w:val="4"/>
        </w:numPr>
        <w:tabs>
          <w:tab w:val="left" w:pos="2860"/>
        </w:tabs>
        <w:rPr>
          <w:rFonts w:ascii="Times New Roman" w:hAnsi="Times New Roman" w:cs="Times New Roman"/>
        </w:rPr>
      </w:pPr>
      <w:r w:rsidRPr="00A155FA">
        <w:rPr>
          <w:rFonts w:ascii="Times New Roman" w:hAnsi="Times New Roman" w:cs="Times New Roman"/>
          <w:b/>
          <w:bCs/>
          <w:i/>
          <w:iCs/>
        </w:rPr>
        <w:t>Sclerocephalus haeuseri</w:t>
      </w:r>
      <w:r w:rsidRPr="00A155FA">
        <w:rPr>
          <w:rFonts w:ascii="Times New Roman" w:hAnsi="Times New Roman" w:cs="Times New Roman"/>
          <w:b/>
          <w:bCs/>
        </w:rPr>
        <w:t xml:space="preserve">: </w:t>
      </w:r>
      <w:r w:rsidRPr="00A155FA">
        <w:rPr>
          <w:rFonts w:ascii="Times New Roman" w:hAnsi="Times New Roman" w:cs="Times New Roman"/>
        </w:rPr>
        <w:t xml:space="preserve">This taxon is complicated by the noted intraspecific variation within and between different stratigraphically separated lake populations (Schoch &amp; Witzmann, 2009a). This variation reflects ecological differences, with some populations remaining aquatic and retaining features like a lateral line system, whereas others were terrestrial and have correspondingly robust postcrania (Schoch, 2009). Some of these differences are captured in phylogenetic characters (e.g., lateral line sulci). Schoch (2013:table 1) listed Schoch &amp; Witzmann (2009a) as the only literary source of data for this taxon, and the latter specifically focused on characterizing the Lake </w:t>
      </w:r>
      <w:proofErr w:type="spellStart"/>
      <w:r w:rsidRPr="00A155FA">
        <w:rPr>
          <w:rFonts w:ascii="Times New Roman" w:hAnsi="Times New Roman" w:cs="Times New Roman"/>
        </w:rPr>
        <w:t>Jeckenbach</w:t>
      </w:r>
      <w:proofErr w:type="spellEnd"/>
      <w:r w:rsidRPr="00A155FA">
        <w:rPr>
          <w:rFonts w:ascii="Times New Roman" w:hAnsi="Times New Roman" w:cs="Times New Roman"/>
        </w:rPr>
        <w:t xml:space="preserve"> population (L–O 6; see p. 137, 145 therein), from which the largest sample of adults is known. We therefore interpret the existing states for this taxon to be exclusively for this population and do not expand the coding here as part of our conservative approach to minimizing coding changes.</w:t>
      </w:r>
    </w:p>
    <w:p w14:paraId="662A1F15" w14:textId="7F935F71" w:rsidR="00FA06B2" w:rsidRPr="00A155FA" w:rsidRDefault="00FA06B2" w:rsidP="005229E5">
      <w:pPr>
        <w:pStyle w:val="ListParagraph"/>
        <w:numPr>
          <w:ilvl w:val="0"/>
          <w:numId w:val="4"/>
        </w:numPr>
        <w:tabs>
          <w:tab w:val="left" w:pos="2860"/>
        </w:tabs>
        <w:rPr>
          <w:rFonts w:ascii="Times New Roman" w:hAnsi="Times New Roman" w:cs="Times New Roman"/>
        </w:rPr>
      </w:pPr>
      <w:r w:rsidRPr="00A155FA">
        <w:rPr>
          <w:rFonts w:ascii="Times New Roman" w:hAnsi="Times New Roman" w:cs="Times New Roman"/>
          <w:b/>
          <w:bCs/>
          <w:i/>
          <w:iCs/>
        </w:rPr>
        <w:t>Batrachosuchus browni</w:t>
      </w:r>
      <w:r w:rsidRPr="00A155FA">
        <w:rPr>
          <w:rFonts w:ascii="Times New Roman" w:hAnsi="Times New Roman" w:cs="Times New Roman"/>
        </w:rPr>
        <w:t>:</w:t>
      </w:r>
      <w:r w:rsidRPr="00A155FA">
        <w:rPr>
          <w:rFonts w:ascii="Times New Roman" w:hAnsi="Times New Roman" w:cs="Times New Roman"/>
          <w:b/>
          <w:bCs/>
          <w:i/>
          <w:iCs/>
        </w:rPr>
        <w:t xml:space="preserve"> </w:t>
      </w:r>
      <w:r w:rsidRPr="00A155FA">
        <w:rPr>
          <w:rFonts w:ascii="Times New Roman" w:hAnsi="Times New Roman" w:cs="Times New Roman"/>
        </w:rPr>
        <w:t xml:space="preserve">The single brachyopid sampled by Schoch (2013:table 1) was listed as </w:t>
      </w:r>
      <w:r w:rsidRPr="00A155FA">
        <w:rPr>
          <w:rFonts w:ascii="Times New Roman" w:hAnsi="Times New Roman" w:cs="Times New Roman"/>
          <w:i/>
          <w:iCs/>
        </w:rPr>
        <w:t>Batrachosuchus browni</w:t>
      </w:r>
      <w:r w:rsidRPr="00A155FA">
        <w:rPr>
          <w:rFonts w:ascii="Times New Roman" w:hAnsi="Times New Roman" w:cs="Times New Roman"/>
        </w:rPr>
        <w:t xml:space="preserve">, but the examined material refers to specimen(s) in the Natural History Museum London (NHMUK); there is only one specimen of </w:t>
      </w:r>
      <w:r w:rsidRPr="00A155FA">
        <w:rPr>
          <w:rFonts w:ascii="Times New Roman" w:hAnsi="Times New Roman" w:cs="Times New Roman"/>
          <w:i/>
          <w:iCs/>
        </w:rPr>
        <w:t>Batrachosuchus browni</w:t>
      </w:r>
      <w:r w:rsidRPr="00A155FA">
        <w:rPr>
          <w:rFonts w:ascii="Times New Roman" w:hAnsi="Times New Roman" w:cs="Times New Roman"/>
        </w:rPr>
        <w:t xml:space="preserve">, and it is reposited in the South African Museum (SAM). Conversely, </w:t>
      </w:r>
      <w:r w:rsidRPr="00A155FA">
        <w:rPr>
          <w:rFonts w:ascii="Times New Roman" w:hAnsi="Times New Roman" w:cs="Times New Roman"/>
          <w:i/>
          <w:iCs/>
        </w:rPr>
        <w:t>Bathignathus watsoni</w:t>
      </w:r>
      <w:r w:rsidRPr="00A155FA">
        <w:rPr>
          <w:rFonts w:ascii="Times New Roman" w:hAnsi="Times New Roman" w:cs="Times New Roman"/>
        </w:rPr>
        <w:t xml:space="preserve">, originally placed in </w:t>
      </w:r>
      <w:r w:rsidRPr="00A155FA">
        <w:rPr>
          <w:rFonts w:ascii="Times New Roman" w:hAnsi="Times New Roman" w:cs="Times New Roman"/>
          <w:i/>
          <w:iCs/>
        </w:rPr>
        <w:t xml:space="preserve">Batrachosuchus </w:t>
      </w:r>
      <w:r w:rsidRPr="00A155FA">
        <w:rPr>
          <w:rFonts w:ascii="Times New Roman" w:hAnsi="Times New Roman" w:cs="Times New Roman"/>
        </w:rPr>
        <w:t xml:space="preserve">until Damiani &amp; Jeannot (2002), is known from one specimen reposited at the NHMUK, and the OTU was </w:t>
      </w:r>
      <w:r w:rsidRPr="00A155FA">
        <w:rPr>
          <w:rFonts w:ascii="Times New Roman" w:hAnsi="Times New Roman" w:cs="Times New Roman"/>
        </w:rPr>
        <w:lastRenderedPageBreak/>
        <w:t>listed in the matrix as ‘</w:t>
      </w:r>
      <w:r w:rsidRPr="00A155FA">
        <w:rPr>
          <w:rFonts w:ascii="Times New Roman" w:hAnsi="Times New Roman" w:cs="Times New Roman"/>
          <w:i/>
          <w:iCs/>
        </w:rPr>
        <w:t>Batrachosuchus watsoni</w:t>
      </w:r>
      <w:r w:rsidRPr="00A155FA">
        <w:rPr>
          <w:rFonts w:ascii="Times New Roman" w:hAnsi="Times New Roman" w:cs="Times New Roman"/>
        </w:rPr>
        <w:t xml:space="preserve">’. The listed reference, Watson (1956), does not resolve this issue, as both species were redescribed in that work (though </w:t>
      </w:r>
      <w:proofErr w:type="spellStart"/>
      <w:r w:rsidRPr="00A155FA">
        <w:rPr>
          <w:rFonts w:ascii="Times New Roman" w:hAnsi="Times New Roman" w:cs="Times New Roman"/>
          <w:i/>
          <w:iCs/>
        </w:rPr>
        <w:t>Batr</w:t>
      </w:r>
      <w:proofErr w:type="spellEnd"/>
      <w:r w:rsidRPr="00A155FA">
        <w:rPr>
          <w:rFonts w:ascii="Times New Roman" w:hAnsi="Times New Roman" w:cs="Times New Roman"/>
          <w:i/>
          <w:iCs/>
        </w:rPr>
        <w:t xml:space="preserve">. browni </w:t>
      </w:r>
      <w:r w:rsidRPr="00A155FA">
        <w:rPr>
          <w:rFonts w:ascii="Times New Roman" w:hAnsi="Times New Roman" w:cs="Times New Roman"/>
        </w:rPr>
        <w:t xml:space="preserve">in much less detail). Both historic and recent diagnoses of these taxa (e.g., Welles &amp; Estes, 1969:22–23; Damiani &amp; Jeannot, 2002:61; Schoch &amp; Milner, 2014:98) encompass differences that are not captured by the character sample (e.g., the presence of an </w:t>
      </w:r>
      <w:proofErr w:type="spellStart"/>
      <w:r w:rsidRPr="00A155FA">
        <w:rPr>
          <w:rFonts w:ascii="Times New Roman" w:hAnsi="Times New Roman" w:cs="Times New Roman"/>
        </w:rPr>
        <w:t>interfrontal</w:t>
      </w:r>
      <w:proofErr w:type="spellEnd"/>
      <w:r w:rsidRPr="00A155FA">
        <w:rPr>
          <w:rFonts w:ascii="Times New Roman" w:hAnsi="Times New Roman" w:cs="Times New Roman"/>
        </w:rPr>
        <w:t xml:space="preserve"> in </w:t>
      </w:r>
      <w:proofErr w:type="spellStart"/>
      <w:r w:rsidRPr="00A155FA">
        <w:rPr>
          <w:rFonts w:ascii="Times New Roman" w:hAnsi="Times New Roman" w:cs="Times New Roman"/>
          <w:i/>
          <w:iCs/>
        </w:rPr>
        <w:t>Batr</w:t>
      </w:r>
      <w:proofErr w:type="spellEnd"/>
      <w:r w:rsidRPr="00A155FA">
        <w:rPr>
          <w:rFonts w:ascii="Times New Roman" w:hAnsi="Times New Roman" w:cs="Times New Roman"/>
          <w:i/>
          <w:iCs/>
        </w:rPr>
        <w:t>. browni</w:t>
      </w:r>
      <w:r w:rsidRPr="00A155FA">
        <w:rPr>
          <w:rFonts w:ascii="Times New Roman" w:hAnsi="Times New Roman" w:cs="Times New Roman"/>
        </w:rPr>
        <w:t xml:space="preserve">). Because </w:t>
      </w:r>
      <w:proofErr w:type="spellStart"/>
      <w:r w:rsidRPr="00A155FA">
        <w:rPr>
          <w:rFonts w:ascii="Times New Roman" w:hAnsi="Times New Roman" w:cs="Times New Roman"/>
          <w:i/>
          <w:iCs/>
        </w:rPr>
        <w:t>Batr</w:t>
      </w:r>
      <w:proofErr w:type="spellEnd"/>
      <w:r w:rsidRPr="00A155FA">
        <w:rPr>
          <w:rFonts w:ascii="Times New Roman" w:hAnsi="Times New Roman" w:cs="Times New Roman"/>
          <w:i/>
          <w:iCs/>
        </w:rPr>
        <w:t xml:space="preserve">. browni </w:t>
      </w:r>
      <w:r w:rsidRPr="00A155FA">
        <w:rPr>
          <w:rFonts w:ascii="Times New Roman" w:hAnsi="Times New Roman" w:cs="Times New Roman"/>
        </w:rPr>
        <w:t xml:space="preserve">was more recently described and figured (Chernin, 1977) than </w:t>
      </w:r>
      <w:r w:rsidRPr="00A155FA">
        <w:rPr>
          <w:rFonts w:ascii="Times New Roman" w:hAnsi="Times New Roman" w:cs="Times New Roman"/>
          <w:i/>
          <w:iCs/>
        </w:rPr>
        <w:t xml:space="preserve">Bath. watsoni </w:t>
      </w:r>
      <w:r w:rsidRPr="00A155FA">
        <w:rPr>
          <w:rFonts w:ascii="Times New Roman" w:hAnsi="Times New Roman" w:cs="Times New Roman"/>
        </w:rPr>
        <w:t xml:space="preserve">(reassigned but not redescribed by Damiani &amp; Jeannot, and last redescribed by Watson, 1956), we opted to use </w:t>
      </w:r>
      <w:proofErr w:type="spellStart"/>
      <w:r w:rsidRPr="00A155FA">
        <w:rPr>
          <w:rFonts w:ascii="Times New Roman" w:hAnsi="Times New Roman" w:cs="Times New Roman"/>
          <w:i/>
          <w:iCs/>
        </w:rPr>
        <w:t>Batr</w:t>
      </w:r>
      <w:proofErr w:type="spellEnd"/>
      <w:r w:rsidRPr="00A155FA">
        <w:rPr>
          <w:rFonts w:ascii="Times New Roman" w:hAnsi="Times New Roman" w:cs="Times New Roman"/>
          <w:i/>
          <w:iCs/>
        </w:rPr>
        <w:t>. browni</w:t>
      </w:r>
      <w:r w:rsidRPr="00A155FA">
        <w:rPr>
          <w:rFonts w:ascii="Times New Roman" w:hAnsi="Times New Roman" w:cs="Times New Roman"/>
        </w:rPr>
        <w:t xml:space="preserve"> (which is also represented by slightly more complete material). </w:t>
      </w:r>
    </w:p>
    <w:p w14:paraId="78F74683" w14:textId="77777777" w:rsidR="00FA06B2" w:rsidRPr="00A155FA" w:rsidRDefault="00FA06B2" w:rsidP="005229E5">
      <w:pPr>
        <w:pStyle w:val="ListParagraph"/>
        <w:numPr>
          <w:ilvl w:val="0"/>
          <w:numId w:val="4"/>
        </w:numPr>
        <w:tabs>
          <w:tab w:val="left" w:pos="2860"/>
        </w:tabs>
        <w:rPr>
          <w:rFonts w:ascii="Times New Roman" w:hAnsi="Times New Roman" w:cs="Times New Roman"/>
        </w:rPr>
      </w:pPr>
      <w:r w:rsidRPr="00A155FA">
        <w:rPr>
          <w:rFonts w:ascii="Times New Roman" w:hAnsi="Times New Roman" w:cs="Times New Roman"/>
          <w:b/>
          <w:bCs/>
          <w:i/>
          <w:iCs/>
        </w:rPr>
        <w:t xml:space="preserve">Siderops kehli: </w:t>
      </w:r>
      <w:r w:rsidRPr="00A155FA">
        <w:rPr>
          <w:rFonts w:ascii="Times New Roman" w:hAnsi="Times New Roman" w:cs="Times New Roman"/>
        </w:rPr>
        <w:t xml:space="preserve">The skull of </w:t>
      </w:r>
      <w:r w:rsidRPr="00A155FA">
        <w:rPr>
          <w:rFonts w:ascii="Times New Roman" w:hAnsi="Times New Roman" w:cs="Times New Roman"/>
          <w:i/>
          <w:iCs/>
        </w:rPr>
        <w:t>Siderops kehli</w:t>
      </w:r>
      <w:r w:rsidRPr="00A155FA">
        <w:rPr>
          <w:rFonts w:ascii="Times New Roman" w:hAnsi="Times New Roman" w:cs="Times New Roman"/>
        </w:rPr>
        <w:t xml:space="preserve">, despite being largely complete, is poorly known with respect to the skull roof. Virtually all of the cranial roof sutures are reconstructed (Warren &amp; Hutchinson, 1983:fig. 2), and there is only one known specimen. The poor understanding of its cranial osteology is evidenced by diagnoses that rely primarily on qualitative cranial or postcranial features and an absence of propagated reconstructions compared to less reconstructed taxa (e.g., Schoch &amp; Milner, 2000; Warren &amp; Marsicano, 2000). A reconstruction might be acceptable for coding if it were formed as a composite from multiple specimens. However, because there is only one specimen, the reconstruction of sutures is not really that of </w:t>
      </w:r>
      <w:r w:rsidRPr="00A155FA">
        <w:rPr>
          <w:rFonts w:ascii="Times New Roman" w:hAnsi="Times New Roman" w:cs="Times New Roman"/>
          <w:i/>
          <w:iCs/>
        </w:rPr>
        <w:t>S. kehli</w:t>
      </w:r>
      <w:r w:rsidRPr="00A155FA">
        <w:rPr>
          <w:rFonts w:ascii="Times New Roman" w:hAnsi="Times New Roman" w:cs="Times New Roman"/>
        </w:rPr>
        <w:t xml:space="preserve"> but rather of the concept of a generalized chigutisaurid skull roof in the 1980s; what sutures are known (e.g., paired frontals) are predominantly temnospondyl plesiomorphies. This means that there is no justifiable basis for coding based on the reconstruction compared to other taxa for which a composite from multiple specimens can be made.</w:t>
      </w:r>
    </w:p>
    <w:p w14:paraId="41590BBF" w14:textId="2DDF0886" w:rsidR="00FA06B2" w:rsidRPr="00A155FA" w:rsidRDefault="00FA06B2" w:rsidP="005229E5">
      <w:pPr>
        <w:pStyle w:val="ListParagraph"/>
        <w:numPr>
          <w:ilvl w:val="0"/>
          <w:numId w:val="4"/>
        </w:numPr>
        <w:tabs>
          <w:tab w:val="left" w:pos="2860"/>
        </w:tabs>
        <w:rPr>
          <w:rFonts w:ascii="Times New Roman" w:hAnsi="Times New Roman" w:cs="Times New Roman"/>
        </w:rPr>
      </w:pPr>
      <w:r w:rsidRPr="00A155FA">
        <w:rPr>
          <w:rFonts w:ascii="Times New Roman" w:hAnsi="Times New Roman" w:cs="Times New Roman"/>
          <w:b/>
          <w:bCs/>
          <w:i/>
          <w:iCs/>
        </w:rPr>
        <w:t>Gerrothorax pulcherrimus, Plagiosuchus pustuliferus</w:t>
      </w:r>
      <w:r w:rsidRPr="00A155FA">
        <w:rPr>
          <w:rFonts w:ascii="Times New Roman" w:hAnsi="Times New Roman" w:cs="Times New Roman"/>
          <w:b/>
          <w:bCs/>
        </w:rPr>
        <w:t xml:space="preserve">: </w:t>
      </w:r>
      <w:r w:rsidRPr="00A155FA">
        <w:rPr>
          <w:rFonts w:ascii="Times New Roman" w:hAnsi="Times New Roman" w:cs="Times New Roman"/>
        </w:rPr>
        <w:t xml:space="preserve">Among the notable features of plagiosaurids is the single centrum, with intersegmental neural arches. Compared to other taxa sampled in this family of matrices, the homology of the centrum is the most uncertain. Whether this centrum represents co-ossification of the pleurocentra and the intercentrum (Shishkin, 1987, 1989); an enlarged pleurocentrum and the loss of the intercentrum (Panchen, 1959); or an enlarged intercentrum with loss or fusion of the pleurocentra with the neural arch (Warren &amp; Snell, 1991; Hellrung, 2003) remains unresolved (e.g., Witzmann et al., 2014; Danto et al., 2016, 2017). The first two conditions would be apomorphic among temnospondyls, whereas metoposaurids and perhaps </w:t>
      </w:r>
      <w:r w:rsidRPr="00A155FA">
        <w:rPr>
          <w:rFonts w:ascii="Times New Roman" w:hAnsi="Times New Roman" w:cs="Times New Roman"/>
          <w:i/>
          <w:iCs/>
        </w:rPr>
        <w:t xml:space="preserve">Laidleria gracilis </w:t>
      </w:r>
      <w:r w:rsidRPr="00A155FA">
        <w:rPr>
          <w:rFonts w:ascii="Times New Roman" w:hAnsi="Times New Roman" w:cs="Times New Roman"/>
        </w:rPr>
        <w:t xml:space="preserve">share large, dorsally closed intercentra in the absence of pleurocentra. There is further variability within the clade (e.g., Konietzko-Meier et al., 2014, suggested different development between </w:t>
      </w:r>
      <w:r w:rsidRPr="00A155FA">
        <w:rPr>
          <w:rFonts w:ascii="Times New Roman" w:hAnsi="Times New Roman" w:cs="Times New Roman"/>
          <w:i/>
          <w:iCs/>
        </w:rPr>
        <w:t xml:space="preserve">Gerrothorax </w:t>
      </w:r>
      <w:r w:rsidRPr="00A155FA">
        <w:rPr>
          <w:rFonts w:ascii="Times New Roman" w:hAnsi="Times New Roman" w:cs="Times New Roman"/>
        </w:rPr>
        <w:t xml:space="preserve">and </w:t>
      </w:r>
      <w:r w:rsidRPr="00A155FA">
        <w:rPr>
          <w:rFonts w:ascii="Times New Roman" w:hAnsi="Times New Roman" w:cs="Times New Roman"/>
          <w:i/>
          <w:iCs/>
        </w:rPr>
        <w:t>Plagiosuchus</w:t>
      </w:r>
      <w:r w:rsidRPr="00A155FA">
        <w:rPr>
          <w:rFonts w:ascii="Times New Roman" w:hAnsi="Times New Roman" w:cs="Times New Roman"/>
        </w:rPr>
        <w:t>). Original codes by Schoch (2013) for characters 163–170 are based on the hypothesis that the centra are strictly intercentra (i.e., the pleurocentra are coded as absent), but because the homology remains an open question, all characters related to specifically intercentra or pleurocentra (versus a generic ‘centra’) should not be coded.</w:t>
      </w:r>
    </w:p>
    <w:p w14:paraId="1024777B" w14:textId="77777777" w:rsidR="00FA06B2" w:rsidRPr="00A155FA" w:rsidRDefault="00FA06B2" w:rsidP="005229E5">
      <w:pPr>
        <w:pStyle w:val="ListParagraph"/>
        <w:numPr>
          <w:ilvl w:val="1"/>
          <w:numId w:val="4"/>
        </w:numPr>
        <w:tabs>
          <w:tab w:val="left" w:pos="2860"/>
        </w:tabs>
        <w:rPr>
          <w:rFonts w:ascii="Times New Roman" w:hAnsi="Times New Roman" w:cs="Times New Roman"/>
        </w:rPr>
      </w:pPr>
      <w:r w:rsidRPr="00A155FA">
        <w:rPr>
          <w:rFonts w:ascii="Times New Roman" w:hAnsi="Times New Roman" w:cs="Times New Roman"/>
        </w:rPr>
        <w:t>Characters 163–168 and 170 were coded as unknown (?) for both taxa.</w:t>
      </w:r>
    </w:p>
    <w:p w14:paraId="62085C09" w14:textId="77777777" w:rsidR="00FA06B2" w:rsidRPr="00A155FA" w:rsidRDefault="00FA06B2" w:rsidP="005229E5">
      <w:pPr>
        <w:pStyle w:val="ListParagraph"/>
        <w:numPr>
          <w:ilvl w:val="1"/>
          <w:numId w:val="4"/>
        </w:numPr>
        <w:tabs>
          <w:tab w:val="left" w:pos="2860"/>
        </w:tabs>
        <w:rPr>
          <w:rFonts w:ascii="Times New Roman" w:hAnsi="Times New Roman" w:cs="Times New Roman"/>
        </w:rPr>
      </w:pPr>
      <w:r w:rsidRPr="00A155FA">
        <w:rPr>
          <w:rFonts w:ascii="Times New Roman" w:hAnsi="Times New Roman" w:cs="Times New Roman"/>
        </w:rPr>
        <w:t xml:space="preserve">Characters 278, 287 were coded as unknown (?) for </w:t>
      </w:r>
      <w:r w:rsidRPr="00A155FA">
        <w:rPr>
          <w:rFonts w:ascii="Times New Roman" w:hAnsi="Times New Roman" w:cs="Times New Roman"/>
          <w:i/>
          <w:iCs/>
        </w:rPr>
        <w:t>Gerrothorax</w:t>
      </w:r>
      <w:r w:rsidRPr="00A155FA">
        <w:rPr>
          <w:rFonts w:ascii="Times New Roman" w:hAnsi="Times New Roman" w:cs="Times New Roman"/>
        </w:rPr>
        <w:t>.</w:t>
      </w:r>
    </w:p>
    <w:p w14:paraId="75BFA181" w14:textId="77777777" w:rsidR="00FA06B2" w:rsidRPr="00A155FA" w:rsidRDefault="00FA06B2" w:rsidP="005229E5">
      <w:pPr>
        <w:pStyle w:val="ListParagraph"/>
        <w:numPr>
          <w:ilvl w:val="0"/>
          <w:numId w:val="4"/>
        </w:numPr>
        <w:tabs>
          <w:tab w:val="left" w:pos="2860"/>
        </w:tabs>
        <w:rPr>
          <w:rFonts w:ascii="Times New Roman" w:hAnsi="Times New Roman" w:cs="Times New Roman"/>
        </w:rPr>
      </w:pPr>
      <w:r w:rsidRPr="00A155FA">
        <w:rPr>
          <w:rFonts w:ascii="Times New Roman" w:hAnsi="Times New Roman" w:cs="Times New Roman"/>
          <w:b/>
          <w:bCs/>
          <w:i/>
          <w:iCs/>
        </w:rPr>
        <w:t xml:space="preserve">Trematosaurus brauni: </w:t>
      </w:r>
      <w:r w:rsidRPr="00A155FA">
        <w:rPr>
          <w:rFonts w:ascii="Times New Roman" w:hAnsi="Times New Roman" w:cs="Times New Roman"/>
        </w:rPr>
        <w:t xml:space="preserve">The osteology of </w:t>
      </w:r>
      <w:r w:rsidRPr="00A155FA">
        <w:rPr>
          <w:rFonts w:ascii="Times New Roman" w:hAnsi="Times New Roman" w:cs="Times New Roman"/>
          <w:i/>
          <w:iCs/>
        </w:rPr>
        <w:t xml:space="preserve">Trematosaurus brauni </w:t>
      </w:r>
      <w:r w:rsidRPr="00A155FA">
        <w:rPr>
          <w:rFonts w:ascii="Times New Roman" w:hAnsi="Times New Roman" w:cs="Times New Roman"/>
        </w:rPr>
        <w:t>was outdated prior to Schoch’s (2019) revised study, so most characters added by Pardo et al. (2017a) were probably not coded for this taxon because the existing literature at the time was insufficient to do so. Following Schoch’s publication, many of these can now be coded.</w:t>
      </w:r>
    </w:p>
    <w:p w14:paraId="53A3C2B4" w14:textId="0117DEB6" w:rsidR="00FA06B2" w:rsidRPr="00A155FA" w:rsidRDefault="00FA06B2" w:rsidP="005229E5">
      <w:pPr>
        <w:pStyle w:val="ListParagraph"/>
        <w:numPr>
          <w:ilvl w:val="1"/>
          <w:numId w:val="4"/>
        </w:numPr>
        <w:tabs>
          <w:tab w:val="left" w:pos="2860"/>
        </w:tabs>
        <w:rPr>
          <w:rFonts w:ascii="Times New Roman" w:hAnsi="Times New Roman" w:cs="Times New Roman"/>
        </w:rPr>
      </w:pPr>
      <w:r w:rsidRPr="00A155FA">
        <w:rPr>
          <w:rFonts w:ascii="Times New Roman" w:hAnsi="Times New Roman" w:cs="Times New Roman"/>
        </w:rPr>
        <w:t xml:space="preserve">The following characters were newly coded: 216 (0), 217 (0), 218 (0), 219 (1), 220 (0), 222 (0), 223 (0), 224 (0), 225 (1), 226 (0), 227 (0), 228 (0), 229 (0), 230 </w:t>
      </w:r>
      <w:r w:rsidRPr="00A155FA">
        <w:rPr>
          <w:rFonts w:ascii="Times New Roman" w:hAnsi="Times New Roman" w:cs="Times New Roman"/>
        </w:rPr>
        <w:lastRenderedPageBreak/>
        <w:t>(0), 231 (0), 233 (0), 234 (0), 235 (0), 236 (0), 237 (0), 238 (0), 239 (0), 240 (0), 244 (0), 245 (0), 246 (0), 248 (0), 250 (0), 251 (1), 252 (1), 254 (0), 255 (1), 256 (0), 257 (1), 258 (1), 259 (0), 260 (0), 262 (0), 264 (0), 265 (0), 268 (0).</w:t>
      </w:r>
    </w:p>
    <w:p w14:paraId="4C716282" w14:textId="77777777" w:rsidR="00FA06B2" w:rsidRPr="00A155FA" w:rsidRDefault="00FA06B2" w:rsidP="005229E5">
      <w:pPr>
        <w:pStyle w:val="ListParagraph"/>
        <w:numPr>
          <w:ilvl w:val="0"/>
          <w:numId w:val="4"/>
        </w:numPr>
        <w:tabs>
          <w:tab w:val="left" w:pos="2860"/>
        </w:tabs>
        <w:rPr>
          <w:rFonts w:ascii="Times New Roman" w:hAnsi="Times New Roman" w:cs="Times New Roman"/>
        </w:rPr>
      </w:pPr>
      <w:r w:rsidRPr="00A155FA">
        <w:rPr>
          <w:rFonts w:ascii="Times New Roman" w:hAnsi="Times New Roman" w:cs="Times New Roman"/>
          <w:b/>
          <w:bCs/>
          <w:i/>
          <w:iCs/>
        </w:rPr>
        <w:t xml:space="preserve">Metoposaurus diagnosticus: </w:t>
      </w:r>
      <w:r w:rsidRPr="00A155FA">
        <w:rPr>
          <w:rFonts w:ascii="Times New Roman" w:hAnsi="Times New Roman" w:cs="Times New Roman"/>
          <w:i/>
          <w:iCs/>
        </w:rPr>
        <w:t xml:space="preserve">Metoposaurus diagnosticus </w:t>
      </w:r>
      <w:r w:rsidRPr="00A155FA">
        <w:rPr>
          <w:rFonts w:ascii="Times New Roman" w:hAnsi="Times New Roman" w:cs="Times New Roman"/>
        </w:rPr>
        <w:t xml:space="preserve">originally comprised two subspecies, </w:t>
      </w:r>
      <w:proofErr w:type="spellStart"/>
      <w:r w:rsidRPr="00A155FA">
        <w:rPr>
          <w:rFonts w:ascii="Times New Roman" w:hAnsi="Times New Roman" w:cs="Times New Roman"/>
          <w:i/>
          <w:iCs/>
        </w:rPr>
        <w:t>Metoposaurus</w:t>
      </w:r>
      <w:proofErr w:type="spellEnd"/>
      <w:r w:rsidRPr="00A155FA">
        <w:rPr>
          <w:rFonts w:ascii="Times New Roman" w:hAnsi="Times New Roman" w:cs="Times New Roman"/>
          <w:i/>
          <w:iCs/>
        </w:rPr>
        <w:t xml:space="preserve"> </w:t>
      </w:r>
      <w:proofErr w:type="spellStart"/>
      <w:r w:rsidRPr="00A155FA">
        <w:rPr>
          <w:rFonts w:ascii="Times New Roman" w:hAnsi="Times New Roman" w:cs="Times New Roman"/>
          <w:i/>
          <w:iCs/>
        </w:rPr>
        <w:t>diagnosticus</w:t>
      </w:r>
      <w:proofErr w:type="spellEnd"/>
      <w:r w:rsidRPr="00A155FA">
        <w:rPr>
          <w:rFonts w:ascii="Times New Roman" w:hAnsi="Times New Roman" w:cs="Times New Roman"/>
          <w:i/>
          <w:iCs/>
        </w:rPr>
        <w:t xml:space="preserve"> </w:t>
      </w:r>
      <w:proofErr w:type="spellStart"/>
      <w:r w:rsidRPr="00A155FA">
        <w:rPr>
          <w:rFonts w:ascii="Times New Roman" w:hAnsi="Times New Roman" w:cs="Times New Roman"/>
          <w:i/>
          <w:iCs/>
        </w:rPr>
        <w:t>diagnosticus</w:t>
      </w:r>
      <w:proofErr w:type="spellEnd"/>
      <w:r w:rsidRPr="00A155FA">
        <w:rPr>
          <w:rFonts w:ascii="Times New Roman" w:hAnsi="Times New Roman" w:cs="Times New Roman"/>
          <w:i/>
          <w:iCs/>
        </w:rPr>
        <w:t xml:space="preserve"> </w:t>
      </w:r>
      <w:r w:rsidRPr="00A155FA">
        <w:rPr>
          <w:rFonts w:ascii="Times New Roman" w:hAnsi="Times New Roman" w:cs="Times New Roman"/>
        </w:rPr>
        <w:t xml:space="preserve">and </w:t>
      </w:r>
      <w:proofErr w:type="spellStart"/>
      <w:r w:rsidRPr="00A155FA">
        <w:rPr>
          <w:rFonts w:ascii="Times New Roman" w:hAnsi="Times New Roman" w:cs="Times New Roman"/>
          <w:i/>
          <w:iCs/>
        </w:rPr>
        <w:t>Metoposaurus</w:t>
      </w:r>
      <w:proofErr w:type="spellEnd"/>
      <w:r w:rsidRPr="00A155FA">
        <w:rPr>
          <w:rFonts w:ascii="Times New Roman" w:hAnsi="Times New Roman" w:cs="Times New Roman"/>
          <w:i/>
          <w:iCs/>
        </w:rPr>
        <w:t xml:space="preserve"> </w:t>
      </w:r>
      <w:proofErr w:type="spellStart"/>
      <w:r w:rsidRPr="00A155FA">
        <w:rPr>
          <w:rFonts w:ascii="Times New Roman" w:hAnsi="Times New Roman" w:cs="Times New Roman"/>
          <w:i/>
          <w:iCs/>
        </w:rPr>
        <w:t>diagnosticus</w:t>
      </w:r>
      <w:proofErr w:type="spellEnd"/>
      <w:r w:rsidRPr="00A155FA">
        <w:rPr>
          <w:rFonts w:ascii="Times New Roman" w:hAnsi="Times New Roman" w:cs="Times New Roman"/>
          <w:i/>
          <w:iCs/>
        </w:rPr>
        <w:t xml:space="preserve"> </w:t>
      </w:r>
      <w:proofErr w:type="spellStart"/>
      <w:r w:rsidRPr="00A155FA">
        <w:rPr>
          <w:rFonts w:ascii="Times New Roman" w:hAnsi="Times New Roman" w:cs="Times New Roman"/>
          <w:i/>
          <w:iCs/>
        </w:rPr>
        <w:t>krasiejowensis</w:t>
      </w:r>
      <w:proofErr w:type="spellEnd"/>
      <w:r w:rsidRPr="00A155FA">
        <w:rPr>
          <w:rFonts w:ascii="Times New Roman" w:hAnsi="Times New Roman" w:cs="Times New Roman"/>
          <w:i/>
          <w:iCs/>
        </w:rPr>
        <w:t xml:space="preserve"> </w:t>
      </w:r>
      <w:r w:rsidRPr="00A155FA">
        <w:rPr>
          <w:rFonts w:ascii="Times New Roman" w:hAnsi="Times New Roman" w:cs="Times New Roman"/>
        </w:rPr>
        <w:t>(</w:t>
      </w:r>
      <w:proofErr w:type="spellStart"/>
      <w:r w:rsidRPr="00A155FA">
        <w:rPr>
          <w:rFonts w:ascii="Times New Roman" w:hAnsi="Times New Roman" w:cs="Times New Roman"/>
        </w:rPr>
        <w:t>Sulej</w:t>
      </w:r>
      <w:proofErr w:type="spellEnd"/>
      <w:r w:rsidRPr="00A155FA">
        <w:rPr>
          <w:rFonts w:ascii="Times New Roman" w:hAnsi="Times New Roman" w:cs="Times New Roman"/>
        </w:rPr>
        <w:t>, 2002). This taxonomic framework was utilized until Brusatte et al. (2015) elevated the latter to species rank (</w:t>
      </w:r>
      <w:r w:rsidRPr="00A155FA">
        <w:rPr>
          <w:rFonts w:ascii="Times New Roman" w:hAnsi="Times New Roman" w:cs="Times New Roman"/>
          <w:i/>
          <w:iCs/>
        </w:rPr>
        <w:t>Metoposaurus krasiejowensis</w:t>
      </w:r>
      <w:r w:rsidRPr="00A155FA">
        <w:rPr>
          <w:rFonts w:ascii="Times New Roman" w:hAnsi="Times New Roman" w:cs="Times New Roman"/>
        </w:rPr>
        <w:t xml:space="preserve">) on the basis of their opinion that subspecies are not appropriate for extinct vertebrates, a framework subsequently adopted by other workers. Schoch (2013:table 1) indicated that the osteology of </w:t>
      </w:r>
      <w:r w:rsidRPr="00A155FA">
        <w:rPr>
          <w:rFonts w:ascii="Times New Roman" w:hAnsi="Times New Roman" w:cs="Times New Roman"/>
          <w:i/>
          <w:iCs/>
        </w:rPr>
        <w:t xml:space="preserve">Metoposaurus diagnosticus </w:t>
      </w:r>
      <w:r w:rsidRPr="00A155FA">
        <w:rPr>
          <w:rFonts w:ascii="Times New Roman" w:hAnsi="Times New Roman" w:cs="Times New Roman"/>
        </w:rPr>
        <w:t>was based solely on a combination of older literature (</w:t>
      </w:r>
      <w:proofErr w:type="spellStart"/>
      <w:r w:rsidRPr="00A155FA">
        <w:rPr>
          <w:rFonts w:ascii="Times New Roman" w:hAnsi="Times New Roman" w:cs="Times New Roman"/>
        </w:rPr>
        <w:t>Fraas</w:t>
      </w:r>
      <w:proofErr w:type="spellEnd"/>
      <w:r w:rsidRPr="00A155FA">
        <w:rPr>
          <w:rFonts w:ascii="Times New Roman" w:hAnsi="Times New Roman" w:cs="Times New Roman"/>
        </w:rPr>
        <w:t xml:space="preserve">, 1889, which described only </w:t>
      </w:r>
      <w:r w:rsidRPr="00A155FA">
        <w:rPr>
          <w:rFonts w:ascii="Times New Roman" w:hAnsi="Times New Roman" w:cs="Times New Roman"/>
          <w:i/>
          <w:iCs/>
        </w:rPr>
        <w:t xml:space="preserve">M. </w:t>
      </w:r>
      <w:proofErr w:type="spellStart"/>
      <w:r w:rsidRPr="00A155FA">
        <w:rPr>
          <w:rFonts w:ascii="Times New Roman" w:hAnsi="Times New Roman" w:cs="Times New Roman"/>
          <w:i/>
          <w:iCs/>
        </w:rPr>
        <w:t>diagnosticus</w:t>
      </w:r>
      <w:proofErr w:type="spellEnd"/>
      <w:r w:rsidRPr="00A155FA">
        <w:rPr>
          <w:rFonts w:ascii="Times New Roman" w:hAnsi="Times New Roman" w:cs="Times New Roman"/>
          <w:i/>
          <w:iCs/>
        </w:rPr>
        <w:t xml:space="preserve"> </w:t>
      </w:r>
      <w:proofErr w:type="spellStart"/>
      <w:r w:rsidRPr="00A155FA">
        <w:rPr>
          <w:rFonts w:ascii="Times New Roman" w:hAnsi="Times New Roman" w:cs="Times New Roman"/>
          <w:i/>
          <w:iCs/>
        </w:rPr>
        <w:t>diagnosticus</w:t>
      </w:r>
      <w:proofErr w:type="spellEnd"/>
      <w:r w:rsidRPr="00A155FA">
        <w:rPr>
          <w:rFonts w:ascii="Times New Roman" w:hAnsi="Times New Roman" w:cs="Times New Roman"/>
          <w:i/>
          <w:iCs/>
        </w:rPr>
        <w:t xml:space="preserve"> </w:t>
      </w:r>
      <w:r w:rsidRPr="00A155FA">
        <w:rPr>
          <w:rFonts w:ascii="Times New Roman" w:hAnsi="Times New Roman" w:cs="Times New Roman"/>
        </w:rPr>
        <w:t xml:space="preserve">in </w:t>
      </w:r>
      <w:proofErr w:type="spellStart"/>
      <w:r w:rsidRPr="00A155FA">
        <w:rPr>
          <w:rFonts w:ascii="Times New Roman" w:hAnsi="Times New Roman" w:cs="Times New Roman"/>
        </w:rPr>
        <w:t>Sulej’s</w:t>
      </w:r>
      <w:proofErr w:type="spellEnd"/>
      <w:r w:rsidRPr="00A155FA">
        <w:rPr>
          <w:rFonts w:ascii="Times New Roman" w:hAnsi="Times New Roman" w:cs="Times New Roman"/>
        </w:rPr>
        <w:t xml:space="preserve"> framework) and personal observation, which are collectively prohibitive to coding by other workers (evidenced by the last amount of missing data for characters added by Pardo et al., 2017a). We changed this OTU to </w:t>
      </w:r>
      <w:r w:rsidRPr="00A155FA">
        <w:rPr>
          <w:rFonts w:ascii="Times New Roman" w:hAnsi="Times New Roman" w:cs="Times New Roman"/>
          <w:i/>
          <w:iCs/>
        </w:rPr>
        <w:t xml:space="preserve">Metoposaurus krasiejowensis </w:t>
      </w:r>
      <w:r w:rsidRPr="00A155FA">
        <w:rPr>
          <w:rFonts w:ascii="Times New Roman" w:hAnsi="Times New Roman" w:cs="Times New Roman"/>
        </w:rPr>
        <w:t xml:space="preserve">because it is more recently and comprehensively documented for the entire skeleton (e.g., Sulej, 2002, 2007). At present, there are no differences between these species that are captured in the sampled characters other than polymorphisms only known in </w:t>
      </w:r>
      <w:r w:rsidRPr="00A155FA">
        <w:rPr>
          <w:rFonts w:ascii="Times New Roman" w:hAnsi="Times New Roman" w:cs="Times New Roman"/>
          <w:i/>
          <w:iCs/>
        </w:rPr>
        <w:t>M. krasiejowensis</w:t>
      </w:r>
      <w:r w:rsidRPr="00A155FA">
        <w:rPr>
          <w:rFonts w:ascii="Times New Roman" w:hAnsi="Times New Roman" w:cs="Times New Roman"/>
        </w:rPr>
        <w:t>, and this change is made with the intent to make the coding more reproducible.</w:t>
      </w:r>
    </w:p>
    <w:p w14:paraId="34DCFD61" w14:textId="5E670CBD" w:rsidR="00FA06B2" w:rsidRPr="00A155FA" w:rsidRDefault="00FA06B2" w:rsidP="005229E5">
      <w:pPr>
        <w:pStyle w:val="ListParagraph"/>
        <w:numPr>
          <w:ilvl w:val="1"/>
          <w:numId w:val="4"/>
        </w:numPr>
        <w:tabs>
          <w:tab w:val="left" w:pos="2860"/>
        </w:tabs>
        <w:rPr>
          <w:rFonts w:ascii="Times New Roman" w:hAnsi="Times New Roman" w:cs="Times New Roman"/>
        </w:rPr>
      </w:pPr>
      <w:r w:rsidRPr="00A155FA">
        <w:rPr>
          <w:rFonts w:ascii="Times New Roman" w:hAnsi="Times New Roman" w:cs="Times New Roman"/>
        </w:rPr>
        <w:t xml:space="preserve">Characters recoded as a result of this taxonomic shift (most of which are newly coded polymorphisms for previous overgeneralized states): 20 (0 </w:t>
      </w:r>
      <w:r w:rsidRPr="00A155FA">
        <w:rPr>
          <w:rFonts w:ascii="Times New Roman" w:hAnsi="Times New Roman" w:cs="Times New Roman"/>
        </w:rPr>
        <w:sym w:font="Wingdings" w:char="F0E0"/>
      </w:r>
      <w:r w:rsidRPr="00A155FA">
        <w:rPr>
          <w:rFonts w:ascii="Times New Roman" w:hAnsi="Times New Roman" w:cs="Times New Roman"/>
        </w:rPr>
        <w:t xml:space="preserve"> 0&amp;1), 24 (0 </w:t>
      </w:r>
      <w:r w:rsidRPr="00A155FA">
        <w:rPr>
          <w:rFonts w:ascii="Times New Roman" w:hAnsi="Times New Roman" w:cs="Times New Roman"/>
        </w:rPr>
        <w:sym w:font="Wingdings" w:char="F0E0"/>
      </w:r>
      <w:r w:rsidRPr="00A155FA">
        <w:rPr>
          <w:rFonts w:ascii="Times New Roman" w:hAnsi="Times New Roman" w:cs="Times New Roman"/>
        </w:rPr>
        <w:t xml:space="preserve"> 1), 39 (0 </w:t>
      </w:r>
      <w:r w:rsidRPr="00A155FA">
        <w:rPr>
          <w:rFonts w:ascii="Times New Roman" w:hAnsi="Times New Roman" w:cs="Times New Roman"/>
        </w:rPr>
        <w:sym w:font="Wingdings" w:char="F0E0"/>
      </w:r>
      <w:r w:rsidRPr="00A155FA">
        <w:rPr>
          <w:rFonts w:ascii="Times New Roman" w:hAnsi="Times New Roman" w:cs="Times New Roman"/>
        </w:rPr>
        <w:t xml:space="preserve"> 0&amp;1), 40 (0 </w:t>
      </w:r>
      <w:r w:rsidRPr="00A155FA">
        <w:rPr>
          <w:rFonts w:ascii="Times New Roman" w:hAnsi="Times New Roman" w:cs="Times New Roman"/>
        </w:rPr>
        <w:sym w:font="Wingdings" w:char="F0E0"/>
      </w:r>
      <w:r w:rsidRPr="00A155FA">
        <w:rPr>
          <w:rFonts w:ascii="Times New Roman" w:hAnsi="Times New Roman" w:cs="Times New Roman"/>
        </w:rPr>
        <w:t xml:space="preserve"> 0&amp;1), 44 (0 </w:t>
      </w:r>
      <w:r w:rsidRPr="00A155FA">
        <w:rPr>
          <w:rFonts w:ascii="Times New Roman" w:hAnsi="Times New Roman" w:cs="Times New Roman"/>
        </w:rPr>
        <w:sym w:font="Wingdings" w:char="F0E0"/>
      </w:r>
      <w:r w:rsidRPr="00A155FA">
        <w:rPr>
          <w:rFonts w:ascii="Times New Roman" w:hAnsi="Times New Roman" w:cs="Times New Roman"/>
        </w:rPr>
        <w:t xml:space="preserve"> 0&amp;1), 45 (0 </w:t>
      </w:r>
      <w:r w:rsidRPr="00A155FA">
        <w:rPr>
          <w:rFonts w:ascii="Times New Roman" w:hAnsi="Times New Roman" w:cs="Times New Roman"/>
        </w:rPr>
        <w:sym w:font="Wingdings" w:char="F0E0"/>
      </w:r>
      <w:r w:rsidRPr="00A155FA">
        <w:rPr>
          <w:rFonts w:ascii="Times New Roman" w:hAnsi="Times New Roman" w:cs="Times New Roman"/>
        </w:rPr>
        <w:t xml:space="preserve"> 0&amp;1), 58 (0 </w:t>
      </w:r>
      <w:r w:rsidRPr="00A155FA">
        <w:rPr>
          <w:rFonts w:ascii="Times New Roman" w:hAnsi="Times New Roman" w:cs="Times New Roman"/>
        </w:rPr>
        <w:sym w:font="Wingdings" w:char="F0E0"/>
      </w:r>
      <w:r w:rsidRPr="00A155FA">
        <w:rPr>
          <w:rFonts w:ascii="Times New Roman" w:hAnsi="Times New Roman" w:cs="Times New Roman"/>
        </w:rPr>
        <w:t xml:space="preserve"> 0&amp;1), 141 (0 </w:t>
      </w:r>
      <w:r w:rsidRPr="00A155FA">
        <w:rPr>
          <w:rFonts w:ascii="Times New Roman" w:hAnsi="Times New Roman" w:cs="Times New Roman"/>
        </w:rPr>
        <w:sym w:font="Wingdings" w:char="F0E0"/>
      </w:r>
      <w:r w:rsidRPr="00A155FA">
        <w:rPr>
          <w:rFonts w:ascii="Times New Roman" w:hAnsi="Times New Roman" w:cs="Times New Roman"/>
        </w:rPr>
        <w:t xml:space="preserve"> ?), 145 (2 </w:t>
      </w:r>
      <w:r w:rsidRPr="00A155FA">
        <w:rPr>
          <w:rFonts w:ascii="Times New Roman" w:hAnsi="Times New Roman" w:cs="Times New Roman"/>
        </w:rPr>
        <w:sym w:font="Wingdings" w:char="F0E0"/>
      </w:r>
      <w:r w:rsidRPr="00A155FA">
        <w:rPr>
          <w:rFonts w:ascii="Times New Roman" w:hAnsi="Times New Roman" w:cs="Times New Roman"/>
        </w:rPr>
        <w:t xml:space="preserve"> 1), 146 (1 </w:t>
      </w:r>
      <w:r w:rsidRPr="00A155FA">
        <w:rPr>
          <w:rFonts w:ascii="Times New Roman" w:hAnsi="Times New Roman" w:cs="Times New Roman"/>
        </w:rPr>
        <w:sym w:font="Wingdings" w:char="F0E0"/>
      </w:r>
      <w:r w:rsidRPr="00A155FA">
        <w:rPr>
          <w:rFonts w:ascii="Times New Roman" w:hAnsi="Times New Roman" w:cs="Times New Roman"/>
        </w:rPr>
        <w:t xml:space="preserve"> 0&amp;1), 220 (1 </w:t>
      </w:r>
      <w:r w:rsidRPr="00A155FA">
        <w:rPr>
          <w:rFonts w:ascii="Times New Roman" w:hAnsi="Times New Roman" w:cs="Times New Roman"/>
        </w:rPr>
        <w:sym w:font="Wingdings" w:char="F0E0"/>
      </w:r>
      <w:r w:rsidRPr="00A155FA">
        <w:rPr>
          <w:rFonts w:ascii="Times New Roman" w:hAnsi="Times New Roman" w:cs="Times New Roman"/>
        </w:rPr>
        <w:t xml:space="preserve"> 0&amp;1).</w:t>
      </w:r>
    </w:p>
    <w:p w14:paraId="1CF13826" w14:textId="77777777" w:rsidR="00FA06B2" w:rsidRPr="00A155FA" w:rsidRDefault="00FA06B2" w:rsidP="005229E5">
      <w:pPr>
        <w:pStyle w:val="ListParagraph"/>
        <w:numPr>
          <w:ilvl w:val="1"/>
          <w:numId w:val="4"/>
        </w:numPr>
        <w:tabs>
          <w:tab w:val="left" w:pos="2860"/>
        </w:tabs>
        <w:rPr>
          <w:rFonts w:ascii="Times New Roman" w:hAnsi="Times New Roman" w:cs="Times New Roman"/>
        </w:rPr>
      </w:pPr>
      <w:r w:rsidRPr="00A155FA">
        <w:rPr>
          <w:rFonts w:ascii="Times New Roman" w:hAnsi="Times New Roman" w:cs="Times New Roman"/>
        </w:rPr>
        <w:t xml:space="preserve">Characters newly coded as a result of this taxonomic shift: 214 (0), 255 (1), 257 (1), 260 (0), 261 (0), 262 (0), 263 (1), 264 (0), 265 (0), 266 (0), 268 (0), 269 (1), 270 (1), 271 (0), 272 (1), 273 (-), 274 (0), 275 (0), 276 (1), 278 (0), 279 (0), 280 (0), 281 (0), 282 (0), 283 (0), 284 (1), 285 (0), 286 (0), 287 (0), 288 (1), 289 (1), 290 (2), 291 (2), 292 (2), 296 (1), 299 (0), 300 (-), 301 (1), 302 (1), 305 (0), 306 (-), 307 (0), 313 (0), 314 (0), 315 (0), 316 (1), 317 (0), 318 (0), 321 (0), 322 (1), 323 (0), 324 (-), 326 (1), 327 (0), 328 (-), 329 (-), 330 (-), 332 (-), 334 (0), 335 (-), 341 (-), 342 (-), 343 (2), 344 (0). </w:t>
      </w:r>
    </w:p>
    <w:p w14:paraId="6D03CF56" w14:textId="3EDB0E92" w:rsidR="00FA06B2" w:rsidRPr="00A155FA" w:rsidRDefault="00FA06B2" w:rsidP="005229E5">
      <w:pPr>
        <w:pStyle w:val="ListParagraph"/>
        <w:numPr>
          <w:ilvl w:val="0"/>
          <w:numId w:val="4"/>
        </w:numPr>
        <w:tabs>
          <w:tab w:val="left" w:pos="2860"/>
        </w:tabs>
        <w:rPr>
          <w:rFonts w:ascii="Times New Roman" w:hAnsi="Times New Roman" w:cs="Times New Roman"/>
        </w:rPr>
      </w:pPr>
      <w:r w:rsidRPr="00A155FA">
        <w:rPr>
          <w:rFonts w:ascii="Times New Roman" w:hAnsi="Times New Roman" w:cs="Times New Roman"/>
          <w:b/>
          <w:bCs/>
          <w:i/>
          <w:iCs/>
        </w:rPr>
        <w:t>Cyclotosaurus robustus</w:t>
      </w:r>
      <w:r w:rsidRPr="00A155FA">
        <w:rPr>
          <w:rFonts w:ascii="Times New Roman" w:hAnsi="Times New Roman" w:cs="Times New Roman"/>
        </w:rPr>
        <w:t xml:space="preserve">: Like </w:t>
      </w:r>
      <w:r w:rsidRPr="00A155FA">
        <w:rPr>
          <w:rFonts w:ascii="Times New Roman" w:hAnsi="Times New Roman" w:cs="Times New Roman"/>
          <w:i/>
          <w:iCs/>
        </w:rPr>
        <w:t>Metoposaurus diagnosticus</w:t>
      </w:r>
      <w:r w:rsidRPr="00A155FA">
        <w:rPr>
          <w:rFonts w:ascii="Times New Roman" w:hAnsi="Times New Roman" w:cs="Times New Roman"/>
        </w:rPr>
        <w:t>,</w:t>
      </w:r>
      <w:r w:rsidRPr="00A155FA">
        <w:rPr>
          <w:rFonts w:ascii="Times New Roman" w:hAnsi="Times New Roman" w:cs="Times New Roman"/>
          <w:i/>
          <w:iCs/>
        </w:rPr>
        <w:t xml:space="preserve"> </w:t>
      </w:r>
      <w:r w:rsidRPr="00A155FA">
        <w:rPr>
          <w:rFonts w:ascii="Times New Roman" w:hAnsi="Times New Roman" w:cs="Times New Roman"/>
        </w:rPr>
        <w:t>this taxon was almost entirely uncoded for characters added by Pardo et al. (2017a), which reflects the fact that the osteology of this taxon has only been depicted in simple photographs (e.g., Schoch &amp; Milner, 2000:pl. 16) and reconstructions (e.g., Schoch &amp; Milner, 2000:101; Schoch, 2008</w:t>
      </w:r>
      <w:r w:rsidR="002639C2">
        <w:rPr>
          <w:rFonts w:ascii="Times New Roman" w:hAnsi="Times New Roman" w:cs="Times New Roman"/>
        </w:rPr>
        <w:t>a</w:t>
      </w:r>
      <w:r w:rsidRPr="00A155FA">
        <w:rPr>
          <w:rFonts w:ascii="Times New Roman" w:hAnsi="Times New Roman" w:cs="Times New Roman"/>
        </w:rPr>
        <w:t xml:space="preserve">:fig. 4D) in recent literature. However, Schoch (2013:table 1) cited </w:t>
      </w:r>
      <w:proofErr w:type="spellStart"/>
      <w:r w:rsidRPr="00A155FA">
        <w:rPr>
          <w:rFonts w:ascii="Times New Roman" w:hAnsi="Times New Roman" w:cs="Times New Roman"/>
        </w:rPr>
        <w:t>Sulej</w:t>
      </w:r>
      <w:proofErr w:type="spellEnd"/>
      <w:r w:rsidRPr="00A155FA">
        <w:rPr>
          <w:rFonts w:ascii="Times New Roman" w:hAnsi="Times New Roman" w:cs="Times New Roman"/>
        </w:rPr>
        <w:t xml:space="preserve"> &amp; </w:t>
      </w:r>
      <w:proofErr w:type="spellStart"/>
      <w:r w:rsidRPr="00A155FA">
        <w:rPr>
          <w:rFonts w:ascii="Times New Roman" w:hAnsi="Times New Roman" w:cs="Times New Roman"/>
        </w:rPr>
        <w:t>Majer</w:t>
      </w:r>
      <w:proofErr w:type="spellEnd"/>
      <w:r w:rsidRPr="00A155FA">
        <w:rPr>
          <w:rFonts w:ascii="Times New Roman" w:hAnsi="Times New Roman" w:cs="Times New Roman"/>
        </w:rPr>
        <w:t xml:space="preserve"> (2005) as the literature source for this taxon. </w:t>
      </w:r>
      <w:proofErr w:type="spellStart"/>
      <w:r w:rsidRPr="00A155FA">
        <w:rPr>
          <w:rFonts w:ascii="Times New Roman" w:hAnsi="Times New Roman" w:cs="Times New Roman"/>
        </w:rPr>
        <w:t>Sulej</w:t>
      </w:r>
      <w:proofErr w:type="spellEnd"/>
      <w:r w:rsidRPr="00A155FA">
        <w:rPr>
          <w:rFonts w:ascii="Times New Roman" w:hAnsi="Times New Roman" w:cs="Times New Roman"/>
        </w:rPr>
        <w:t xml:space="preserve"> &amp; </w:t>
      </w:r>
      <w:proofErr w:type="spellStart"/>
      <w:r w:rsidRPr="00A155FA">
        <w:rPr>
          <w:rFonts w:ascii="Times New Roman" w:hAnsi="Times New Roman" w:cs="Times New Roman"/>
        </w:rPr>
        <w:t>Majer</w:t>
      </w:r>
      <w:proofErr w:type="spellEnd"/>
      <w:r w:rsidRPr="00A155FA">
        <w:rPr>
          <w:rFonts w:ascii="Times New Roman" w:hAnsi="Times New Roman" w:cs="Times New Roman"/>
        </w:rPr>
        <w:t xml:space="preserve"> described a new species of </w:t>
      </w:r>
      <w:r w:rsidRPr="00A155FA">
        <w:rPr>
          <w:rFonts w:ascii="Times New Roman" w:hAnsi="Times New Roman" w:cs="Times New Roman"/>
          <w:i/>
          <w:iCs/>
        </w:rPr>
        <w:t xml:space="preserve">Cyclotosaurus </w:t>
      </w:r>
      <w:r w:rsidRPr="00A155FA">
        <w:rPr>
          <w:rFonts w:ascii="Times New Roman" w:hAnsi="Times New Roman" w:cs="Times New Roman"/>
        </w:rPr>
        <w:t>(</w:t>
      </w:r>
      <w:r w:rsidRPr="00A155FA">
        <w:rPr>
          <w:rFonts w:ascii="Times New Roman" w:hAnsi="Times New Roman" w:cs="Times New Roman"/>
          <w:i/>
          <w:iCs/>
        </w:rPr>
        <w:t>C. intermedius</w:t>
      </w:r>
      <w:r w:rsidRPr="00A155FA">
        <w:rPr>
          <w:rFonts w:ascii="Times New Roman" w:hAnsi="Times New Roman" w:cs="Times New Roman"/>
        </w:rPr>
        <w:t xml:space="preserve">), which despite some contention that it is synonymous with </w:t>
      </w:r>
      <w:r w:rsidRPr="00A155FA">
        <w:rPr>
          <w:rFonts w:ascii="Times New Roman" w:hAnsi="Times New Roman" w:cs="Times New Roman"/>
          <w:i/>
          <w:iCs/>
        </w:rPr>
        <w:t xml:space="preserve">Cyclotosaurus robustus </w:t>
      </w:r>
      <w:r w:rsidRPr="00A155FA">
        <w:rPr>
          <w:rFonts w:ascii="Times New Roman" w:hAnsi="Times New Roman" w:cs="Times New Roman"/>
        </w:rPr>
        <w:t>(Lucas et al., 2007), is widely accepted as a distinct taxon by temnospondyl workers (e.g., Schoch, 2008</w:t>
      </w:r>
      <w:r w:rsidR="002639C2">
        <w:rPr>
          <w:rFonts w:ascii="Times New Roman" w:hAnsi="Times New Roman" w:cs="Times New Roman"/>
        </w:rPr>
        <w:t>a</w:t>
      </w:r>
      <w:r w:rsidRPr="00A155FA">
        <w:rPr>
          <w:rFonts w:ascii="Times New Roman" w:hAnsi="Times New Roman" w:cs="Times New Roman"/>
        </w:rPr>
        <w:t xml:space="preserve">; Witzmann et al., 2016; </w:t>
      </w:r>
      <w:proofErr w:type="spellStart"/>
      <w:r w:rsidRPr="00A155FA">
        <w:rPr>
          <w:rFonts w:ascii="Times New Roman" w:hAnsi="Times New Roman" w:cs="Times New Roman"/>
        </w:rPr>
        <w:t>Marzola</w:t>
      </w:r>
      <w:proofErr w:type="spellEnd"/>
      <w:r w:rsidRPr="00A155FA">
        <w:rPr>
          <w:rFonts w:ascii="Times New Roman" w:hAnsi="Times New Roman" w:cs="Times New Roman"/>
        </w:rPr>
        <w:t xml:space="preserve"> et al., 2017). Schoch (2013) also listed personal observation of material at Stuttgart (SMNS), but material of </w:t>
      </w:r>
      <w:r w:rsidRPr="00A155FA">
        <w:rPr>
          <w:rFonts w:ascii="Times New Roman" w:hAnsi="Times New Roman" w:cs="Times New Roman"/>
          <w:i/>
          <w:iCs/>
        </w:rPr>
        <w:t xml:space="preserve">Cyclotosaurus intermedius </w:t>
      </w:r>
      <w:r w:rsidRPr="00A155FA">
        <w:rPr>
          <w:rFonts w:ascii="Times New Roman" w:hAnsi="Times New Roman" w:cs="Times New Roman"/>
        </w:rPr>
        <w:t>is reposited at the Institute of Paleobiology in Warsaw (ZPAL). Therefore, the OTU is either chimeric (</w:t>
      </w:r>
      <w:r w:rsidRPr="00A155FA">
        <w:rPr>
          <w:rFonts w:ascii="Times New Roman" w:hAnsi="Times New Roman" w:cs="Times New Roman"/>
          <w:i/>
          <w:iCs/>
        </w:rPr>
        <w:t xml:space="preserve">Cyclotosaurus robustus </w:t>
      </w:r>
      <w:r w:rsidRPr="00A155FA">
        <w:rPr>
          <w:rFonts w:ascii="Times New Roman" w:hAnsi="Times New Roman" w:cs="Times New Roman"/>
        </w:rPr>
        <w:t xml:space="preserve">+ </w:t>
      </w:r>
      <w:r w:rsidRPr="00A155FA">
        <w:rPr>
          <w:rFonts w:ascii="Times New Roman" w:hAnsi="Times New Roman" w:cs="Times New Roman"/>
          <w:i/>
          <w:iCs/>
        </w:rPr>
        <w:t>Cyclotosaurus intermedius</w:t>
      </w:r>
      <w:r w:rsidRPr="00A155FA">
        <w:rPr>
          <w:rFonts w:ascii="Times New Roman" w:hAnsi="Times New Roman" w:cs="Times New Roman"/>
        </w:rPr>
        <w:t xml:space="preserve">) and has not been stated as such, or one of these sources is in error. Because documentation of </w:t>
      </w:r>
      <w:r w:rsidRPr="00A155FA">
        <w:rPr>
          <w:rFonts w:ascii="Times New Roman" w:hAnsi="Times New Roman" w:cs="Times New Roman"/>
          <w:i/>
          <w:iCs/>
        </w:rPr>
        <w:t xml:space="preserve">Cyclotosaurus robustus </w:t>
      </w:r>
      <w:r w:rsidRPr="00A155FA">
        <w:rPr>
          <w:rFonts w:ascii="Times New Roman" w:hAnsi="Times New Roman" w:cs="Times New Roman"/>
        </w:rPr>
        <w:t xml:space="preserve">is poor, we restrict this OTU to </w:t>
      </w:r>
      <w:r w:rsidRPr="00A155FA">
        <w:rPr>
          <w:rFonts w:ascii="Times New Roman" w:hAnsi="Times New Roman" w:cs="Times New Roman"/>
          <w:i/>
          <w:iCs/>
        </w:rPr>
        <w:t xml:space="preserve">Cyclotosaurus intermedius. </w:t>
      </w:r>
    </w:p>
    <w:p w14:paraId="463605A9" w14:textId="77777777" w:rsidR="00FA06B2" w:rsidRPr="00A155FA" w:rsidRDefault="00FA06B2" w:rsidP="005229E5">
      <w:pPr>
        <w:pStyle w:val="ListParagraph"/>
        <w:numPr>
          <w:ilvl w:val="1"/>
          <w:numId w:val="4"/>
        </w:numPr>
        <w:tabs>
          <w:tab w:val="left" w:pos="2860"/>
        </w:tabs>
        <w:rPr>
          <w:rFonts w:ascii="Times New Roman" w:hAnsi="Times New Roman" w:cs="Times New Roman"/>
        </w:rPr>
      </w:pPr>
      <w:r w:rsidRPr="00A155FA">
        <w:rPr>
          <w:rFonts w:ascii="Times New Roman" w:hAnsi="Times New Roman" w:cs="Times New Roman"/>
        </w:rPr>
        <w:lastRenderedPageBreak/>
        <w:t xml:space="preserve">Characters recoded from one state to another as a result of this taxonomic shift: 71 (1 </w:t>
      </w:r>
      <w:r w:rsidRPr="00A155FA">
        <w:rPr>
          <w:rFonts w:ascii="Times New Roman" w:hAnsi="Times New Roman" w:cs="Times New Roman"/>
        </w:rPr>
        <w:sym w:font="Wingdings" w:char="F0E0"/>
      </w:r>
      <w:r w:rsidRPr="00A155FA">
        <w:rPr>
          <w:rFonts w:ascii="Times New Roman" w:hAnsi="Times New Roman" w:cs="Times New Roman"/>
        </w:rPr>
        <w:t xml:space="preserve"> 0), 81 (1 </w:t>
      </w:r>
      <w:r w:rsidRPr="00A155FA">
        <w:rPr>
          <w:rFonts w:ascii="Times New Roman" w:hAnsi="Times New Roman" w:cs="Times New Roman"/>
        </w:rPr>
        <w:sym w:font="Wingdings" w:char="F0E0"/>
      </w:r>
      <w:r w:rsidRPr="00A155FA">
        <w:rPr>
          <w:rFonts w:ascii="Times New Roman" w:hAnsi="Times New Roman" w:cs="Times New Roman"/>
        </w:rPr>
        <w:t xml:space="preserve"> 0), 193 (1 </w:t>
      </w:r>
      <w:r w:rsidRPr="00A155FA">
        <w:rPr>
          <w:rFonts w:ascii="Times New Roman" w:hAnsi="Times New Roman" w:cs="Times New Roman"/>
        </w:rPr>
        <w:sym w:font="Wingdings" w:char="F0E0"/>
      </w:r>
      <w:r w:rsidRPr="00A155FA">
        <w:rPr>
          <w:rFonts w:ascii="Times New Roman" w:hAnsi="Times New Roman" w:cs="Times New Roman"/>
        </w:rPr>
        <w:t xml:space="preserve"> 0). </w:t>
      </w:r>
    </w:p>
    <w:p w14:paraId="21840222" w14:textId="77777777" w:rsidR="00FA06B2" w:rsidRPr="00A155FA" w:rsidRDefault="00FA06B2" w:rsidP="005229E5">
      <w:pPr>
        <w:pStyle w:val="ListParagraph"/>
        <w:numPr>
          <w:ilvl w:val="1"/>
          <w:numId w:val="4"/>
        </w:numPr>
        <w:tabs>
          <w:tab w:val="left" w:pos="2860"/>
        </w:tabs>
        <w:rPr>
          <w:rFonts w:ascii="Times New Roman" w:hAnsi="Times New Roman" w:cs="Times New Roman"/>
        </w:rPr>
      </w:pPr>
      <w:r w:rsidRPr="00A155FA">
        <w:rPr>
          <w:rFonts w:ascii="Times New Roman" w:hAnsi="Times New Roman" w:cs="Times New Roman"/>
        </w:rPr>
        <w:t>Characters recoded from one state to unknown as a result of this taxonomic shift: 150–153, 160–170, 174, 202, 208, 212.</w:t>
      </w:r>
    </w:p>
    <w:p w14:paraId="60528EBE" w14:textId="3C593C2B" w:rsidR="00FA06B2" w:rsidRPr="00A155FA" w:rsidRDefault="00FA06B2" w:rsidP="005229E5">
      <w:pPr>
        <w:pStyle w:val="ListParagraph"/>
        <w:numPr>
          <w:ilvl w:val="1"/>
          <w:numId w:val="4"/>
        </w:numPr>
        <w:tabs>
          <w:tab w:val="left" w:pos="2860"/>
        </w:tabs>
        <w:rPr>
          <w:rFonts w:ascii="Times New Roman" w:hAnsi="Times New Roman" w:cs="Times New Roman"/>
        </w:rPr>
      </w:pPr>
      <w:r w:rsidRPr="00A155FA">
        <w:rPr>
          <w:rFonts w:ascii="Times New Roman" w:hAnsi="Times New Roman" w:cs="Times New Roman"/>
        </w:rPr>
        <w:t>Characters newly coded as a result of this taxonomic shift: 175 (0), 176 (0), 177 (0), 178 (0), 213 (0), 215 (0), 216 (0), 217 (0), 218 (0), 219 (1), 220 (0), 222 (0), 223 (0), 224 (1), 225 (1), 226 (0), 227 (0), 228 (0), 229 (0), 230 (0), 231 (0), 233 (0), 234 (0), 235 (0), 236 (0), 237 (0), 238 (0), 239 (0), 240 (0), 241 (1), 242 (0), 243 (0), 244 (0), 245 (0), 246 (0), 248 (0), 249 (0), 250 (0), 251 (0), 252 (0), 254 (0), 258 (1), 259 (0), 260 (0), 261 (0), 262 (0), 263 (1), 264 (0), 265 (0), 268 (0), 269 (0), 270 (0), 272 (1), 273 (-), 275 (0), 299 (0), 301 (0), 302 (0), 310 (0), 311 (1), 312 (1), 313 (0), 314 (0), 315 (0), 316 (1), 317 (0), 318 (0), 319 (-), 321 (0), 323 (0), 324 (0), 326 (1), 334 (0), 335 (-), 343 (0), 344 (0).</w:t>
      </w:r>
    </w:p>
    <w:p w14:paraId="5A3AF84C" w14:textId="24628311" w:rsidR="00FA06B2" w:rsidRPr="00A155FA" w:rsidRDefault="00FA06B2" w:rsidP="005229E5">
      <w:pPr>
        <w:pStyle w:val="ListParagraph"/>
        <w:numPr>
          <w:ilvl w:val="0"/>
          <w:numId w:val="4"/>
        </w:numPr>
        <w:tabs>
          <w:tab w:val="left" w:pos="2860"/>
        </w:tabs>
        <w:rPr>
          <w:rFonts w:ascii="Times New Roman" w:hAnsi="Times New Roman" w:cs="Times New Roman"/>
        </w:rPr>
      </w:pPr>
      <w:r w:rsidRPr="00A155FA">
        <w:rPr>
          <w:rFonts w:ascii="Times New Roman" w:hAnsi="Times New Roman" w:cs="Times New Roman"/>
          <w:b/>
          <w:bCs/>
          <w:i/>
          <w:iCs/>
        </w:rPr>
        <w:t>Rileymillerus cosgriffi</w:t>
      </w:r>
      <w:r w:rsidRPr="00A155FA">
        <w:rPr>
          <w:rFonts w:ascii="Times New Roman" w:hAnsi="Times New Roman" w:cs="Times New Roman"/>
          <w:b/>
          <w:bCs/>
        </w:rPr>
        <w:t xml:space="preserve">: </w:t>
      </w:r>
      <w:r w:rsidRPr="00A155FA">
        <w:rPr>
          <w:rFonts w:ascii="Times New Roman" w:hAnsi="Times New Roman" w:cs="Times New Roman"/>
        </w:rPr>
        <w:t xml:space="preserve">As noted in Supplementary Information </w:t>
      </w:r>
      <w:r w:rsidR="00EC324E">
        <w:rPr>
          <w:rFonts w:ascii="Times New Roman" w:hAnsi="Times New Roman" w:cs="Times New Roman"/>
        </w:rPr>
        <w:t>3</w:t>
      </w:r>
      <w:r w:rsidRPr="00A155FA">
        <w:rPr>
          <w:rFonts w:ascii="Times New Roman" w:hAnsi="Times New Roman" w:cs="Times New Roman"/>
        </w:rPr>
        <w:t xml:space="preserve">, we question the validity of the original interpretation of the nasal in this taxon by Bolt &amp; Chatterjee (2000), as it would invoke an aberrant morphology in which the nasal extends along the lateral edge of the frontal. This is not observed in any other taxon regardless of the presence or absence of either an LEP or the lacrimal. Instead, the partial ‘nasal’ is in the same position as the lacrimal of </w:t>
      </w:r>
      <w:r w:rsidRPr="00A155FA">
        <w:rPr>
          <w:rFonts w:ascii="Times New Roman" w:hAnsi="Times New Roman" w:cs="Times New Roman"/>
          <w:i/>
          <w:iCs/>
        </w:rPr>
        <w:t xml:space="preserve">Almasaurus habbazi </w:t>
      </w:r>
      <w:r w:rsidRPr="00A155FA">
        <w:rPr>
          <w:rFonts w:ascii="Times New Roman" w:hAnsi="Times New Roman" w:cs="Times New Roman"/>
          <w:iCs/>
        </w:rPr>
        <w:t>(Dutuit, 1976), among some other later-diverging stereospondyls</w:t>
      </w:r>
      <w:r w:rsidRPr="00A155FA">
        <w:rPr>
          <w:rFonts w:ascii="Times New Roman" w:hAnsi="Times New Roman" w:cs="Times New Roman"/>
        </w:rPr>
        <w:t>. Because we do not have positive evidence that the ‘nasal’ is a lacrimal, we opted to recode characters related to the nasal as unknown but did not code previously unknown characters for the lacrimal or restore the presence of a lacrimal. This had a minimal influence because it only led to the recoding two characters (20, 38) to unknown (?); most nasal characters require the entire element to be known.</w:t>
      </w:r>
    </w:p>
    <w:p w14:paraId="23545D51" w14:textId="16384250" w:rsidR="00FA06B2" w:rsidRPr="00A155FA" w:rsidRDefault="00FA06B2" w:rsidP="005229E5">
      <w:pPr>
        <w:pStyle w:val="ListParagraph"/>
        <w:numPr>
          <w:ilvl w:val="0"/>
          <w:numId w:val="4"/>
        </w:numPr>
        <w:tabs>
          <w:tab w:val="left" w:pos="2860"/>
        </w:tabs>
        <w:rPr>
          <w:rFonts w:ascii="Times New Roman" w:hAnsi="Times New Roman" w:cs="Times New Roman"/>
        </w:rPr>
      </w:pPr>
      <w:r w:rsidRPr="00A155FA">
        <w:rPr>
          <w:rFonts w:ascii="Times New Roman" w:hAnsi="Times New Roman" w:cs="Times New Roman"/>
          <w:b/>
          <w:bCs/>
          <w:i/>
          <w:iCs/>
        </w:rPr>
        <w:t>Hynobius japonicus:</w:t>
      </w:r>
      <w:r w:rsidRPr="00A155FA">
        <w:rPr>
          <w:rFonts w:ascii="Times New Roman" w:hAnsi="Times New Roman" w:cs="Times New Roman"/>
        </w:rPr>
        <w:t xml:space="preserve"> There is no such species within </w:t>
      </w:r>
      <w:r w:rsidRPr="00A155FA">
        <w:rPr>
          <w:rFonts w:ascii="Times New Roman" w:hAnsi="Times New Roman" w:cs="Times New Roman"/>
          <w:i/>
          <w:iCs/>
        </w:rPr>
        <w:t>Hynobius</w:t>
      </w:r>
      <w:r w:rsidRPr="00A155FA">
        <w:rPr>
          <w:rFonts w:ascii="Times New Roman" w:hAnsi="Times New Roman" w:cs="Times New Roman"/>
        </w:rPr>
        <w:t xml:space="preserve">, although there is a hynobiid with the same species epithet, </w:t>
      </w:r>
      <w:proofErr w:type="spellStart"/>
      <w:r w:rsidRPr="00A155FA">
        <w:rPr>
          <w:rFonts w:ascii="Times New Roman" w:hAnsi="Times New Roman" w:cs="Times New Roman"/>
          <w:i/>
          <w:iCs/>
        </w:rPr>
        <w:t>Onychodactylus</w:t>
      </w:r>
      <w:proofErr w:type="spellEnd"/>
      <w:r w:rsidRPr="00A155FA">
        <w:rPr>
          <w:rFonts w:ascii="Times New Roman" w:hAnsi="Times New Roman" w:cs="Times New Roman"/>
          <w:i/>
          <w:iCs/>
        </w:rPr>
        <w:t xml:space="preserve"> japonicus. </w:t>
      </w:r>
      <w:r w:rsidRPr="00A155FA">
        <w:rPr>
          <w:rFonts w:ascii="Times New Roman" w:hAnsi="Times New Roman" w:cs="Times New Roman"/>
        </w:rPr>
        <w:t>Based on Pardo et al.’s (2017a) analysis, the OTU labeled as ‘</w:t>
      </w:r>
      <w:r w:rsidRPr="00A155FA">
        <w:rPr>
          <w:rFonts w:ascii="Times New Roman" w:hAnsi="Times New Roman" w:cs="Times New Roman"/>
          <w:i/>
          <w:iCs/>
        </w:rPr>
        <w:t>Hynobius japonicus</w:t>
      </w:r>
      <w:r w:rsidRPr="00A155FA">
        <w:rPr>
          <w:rFonts w:ascii="Times New Roman" w:hAnsi="Times New Roman" w:cs="Times New Roman"/>
        </w:rPr>
        <w:t xml:space="preserve">’ was sourced from Maddin et al. (2012:2), who coded an unspecified species of </w:t>
      </w:r>
      <w:r w:rsidRPr="00A155FA">
        <w:rPr>
          <w:rFonts w:ascii="Times New Roman" w:hAnsi="Times New Roman" w:cs="Times New Roman"/>
          <w:i/>
          <w:iCs/>
        </w:rPr>
        <w:t xml:space="preserve">Hynobius </w:t>
      </w:r>
      <w:r w:rsidRPr="00A155FA">
        <w:rPr>
          <w:rFonts w:ascii="Times New Roman" w:hAnsi="Times New Roman" w:cs="Times New Roman"/>
        </w:rPr>
        <w:t xml:space="preserve">from personal observations of one specimen (in the earlier study, it was coded as a terminal “salamanders” OTU). We treated this OTU as a genus-level OTU for </w:t>
      </w:r>
      <w:r w:rsidRPr="00A155FA">
        <w:rPr>
          <w:rFonts w:ascii="Times New Roman" w:hAnsi="Times New Roman" w:cs="Times New Roman"/>
          <w:i/>
          <w:iCs/>
        </w:rPr>
        <w:t>Hynobius</w:t>
      </w:r>
      <w:r w:rsidRPr="00A155FA">
        <w:rPr>
          <w:rFonts w:ascii="Times New Roman" w:hAnsi="Times New Roman" w:cs="Times New Roman"/>
        </w:rPr>
        <w:t>.</w:t>
      </w:r>
    </w:p>
    <w:p w14:paraId="768CC0DE" w14:textId="77777777" w:rsidR="00FA06B2" w:rsidRPr="00A155FA" w:rsidRDefault="00FA06B2" w:rsidP="009C1A18">
      <w:pPr>
        <w:tabs>
          <w:tab w:val="left" w:pos="2860"/>
        </w:tabs>
      </w:pPr>
    </w:p>
    <w:p w14:paraId="10CFF9B1" w14:textId="32BB8648" w:rsidR="00FA06B2" w:rsidRPr="00A155FA" w:rsidRDefault="00FA06B2" w:rsidP="009C1A18">
      <w:pPr>
        <w:tabs>
          <w:tab w:val="left" w:pos="2860"/>
        </w:tabs>
        <w:rPr>
          <w:b/>
          <w:bCs/>
        </w:rPr>
      </w:pPr>
      <w:r w:rsidRPr="00A155FA">
        <w:rPr>
          <w:b/>
          <w:bCs/>
        </w:rPr>
        <w:t xml:space="preserve">Partial uncertainty. </w:t>
      </w:r>
      <w:r w:rsidRPr="00A155FA">
        <w:t xml:space="preserve">In PAUP* and Mesquite, partial uncertainty is coded with the use of a slash (/), and this is algorithmically differentiated from polymorphism (indicated with ‘&amp;’). TNT scripts cannot accommodate partial uncertainty, and these </w:t>
      </w:r>
      <w:proofErr w:type="spellStart"/>
      <w:r w:rsidRPr="00A155FA">
        <w:t>codings</w:t>
      </w:r>
      <w:proofErr w:type="spellEnd"/>
      <w:r w:rsidRPr="00A155FA">
        <w:t xml:space="preserve"> are converted to a polymorphism encompassing the possible states (e.g., partial uncertainty of states 0 and 1 becomes a polymorphism of 0 and 1) when Mesquite exports a TNT script. Pardo et al. (2017a), who analyzed the matrix in PAUP*, included several partial uncertainties, although most of these may have been intended as polymorphisms because they are largely for binary characters (except characters 248 and 321). We did not adjust codes to differentiate between intended partial uncertainty and intended polymorphism because our analysis was conducted in TNT. Because these cells are visually distinctive using Mesquite’s display option to color cells by character state, we noticed that none of these appear in the matrix of Schoch et al. (2020), in which the corresponding cells were coded as unknown. However, Schoch et al. (2020) did not note changing these </w:t>
      </w:r>
      <w:proofErr w:type="spellStart"/>
      <w:r w:rsidRPr="00A155FA">
        <w:t>codings</w:t>
      </w:r>
      <w:proofErr w:type="spellEnd"/>
      <w:r w:rsidRPr="00A155FA">
        <w:t xml:space="preserve">, and it may be an error in translation between software or scripts (their analysis was conducted in TNT). Note that none of these cells were present in Schoch (2013) or </w:t>
      </w:r>
      <w:r w:rsidRPr="00A155FA">
        <w:lastRenderedPageBreak/>
        <w:t xml:space="preserve">Dilkes (2015) and therefore originated in Pardo et al. (2017a). The following </w:t>
      </w:r>
      <w:proofErr w:type="spellStart"/>
      <w:r w:rsidRPr="00A155FA">
        <w:t>codings</w:t>
      </w:r>
      <w:proofErr w:type="spellEnd"/>
      <w:r w:rsidRPr="00A155FA">
        <w:t xml:space="preserve"> are restored from Pardo et al.:</w:t>
      </w:r>
    </w:p>
    <w:p w14:paraId="15AAA44A" w14:textId="77777777" w:rsidR="00FA06B2" w:rsidRPr="00A155FA" w:rsidRDefault="00FA06B2" w:rsidP="005229E5">
      <w:pPr>
        <w:pStyle w:val="ListParagraph"/>
        <w:numPr>
          <w:ilvl w:val="0"/>
          <w:numId w:val="7"/>
        </w:numPr>
        <w:tabs>
          <w:tab w:val="left" w:pos="2860"/>
        </w:tabs>
        <w:rPr>
          <w:rFonts w:ascii="Times New Roman" w:hAnsi="Times New Roman" w:cs="Times New Roman"/>
        </w:rPr>
      </w:pPr>
      <w:r w:rsidRPr="00A155FA">
        <w:rPr>
          <w:rFonts w:ascii="Times New Roman" w:hAnsi="Times New Roman" w:cs="Times New Roman"/>
          <w:b/>
          <w:bCs/>
        </w:rPr>
        <w:t xml:space="preserve">Character 10: </w:t>
      </w:r>
      <w:r w:rsidRPr="00A155FA">
        <w:rPr>
          <w:rFonts w:ascii="Times New Roman" w:hAnsi="Times New Roman" w:cs="Times New Roman"/>
        </w:rPr>
        <w:t xml:space="preserve">restored to ‘0/1’ from ‘?’ for </w:t>
      </w:r>
      <w:r w:rsidRPr="00A155FA">
        <w:rPr>
          <w:rFonts w:ascii="Times New Roman" w:hAnsi="Times New Roman" w:cs="Times New Roman"/>
          <w:i/>
          <w:iCs/>
        </w:rPr>
        <w:t xml:space="preserve">Ichthyophis </w:t>
      </w:r>
      <w:r w:rsidRPr="00A155FA">
        <w:rPr>
          <w:rFonts w:ascii="Times New Roman" w:hAnsi="Times New Roman" w:cs="Times New Roman"/>
        </w:rPr>
        <w:t xml:space="preserve">and </w:t>
      </w:r>
      <w:r w:rsidRPr="00A155FA">
        <w:rPr>
          <w:rFonts w:ascii="Times New Roman" w:hAnsi="Times New Roman" w:cs="Times New Roman"/>
          <w:i/>
          <w:iCs/>
        </w:rPr>
        <w:t>Epicrionops</w:t>
      </w:r>
      <w:r w:rsidRPr="00A155FA">
        <w:rPr>
          <w:rFonts w:ascii="Times New Roman" w:hAnsi="Times New Roman" w:cs="Times New Roman"/>
        </w:rPr>
        <w:t>.</w:t>
      </w:r>
    </w:p>
    <w:p w14:paraId="4E6D6C12" w14:textId="77777777" w:rsidR="00FA06B2" w:rsidRPr="00A155FA" w:rsidRDefault="00FA06B2" w:rsidP="005229E5">
      <w:pPr>
        <w:pStyle w:val="ListParagraph"/>
        <w:numPr>
          <w:ilvl w:val="0"/>
          <w:numId w:val="7"/>
        </w:numPr>
        <w:tabs>
          <w:tab w:val="left" w:pos="2860"/>
        </w:tabs>
        <w:rPr>
          <w:rFonts w:ascii="Times New Roman" w:hAnsi="Times New Roman" w:cs="Times New Roman"/>
        </w:rPr>
      </w:pPr>
      <w:r w:rsidRPr="00A155FA">
        <w:rPr>
          <w:rFonts w:ascii="Times New Roman" w:hAnsi="Times New Roman" w:cs="Times New Roman"/>
          <w:b/>
          <w:bCs/>
        </w:rPr>
        <w:t xml:space="preserve">Character 17: </w:t>
      </w:r>
      <w:r w:rsidRPr="00A155FA">
        <w:rPr>
          <w:rFonts w:ascii="Times New Roman" w:hAnsi="Times New Roman" w:cs="Times New Roman"/>
        </w:rPr>
        <w:t xml:space="preserve">restored to ‘0/1’ from ‘?’ for </w:t>
      </w:r>
      <w:r w:rsidRPr="00A155FA">
        <w:rPr>
          <w:rFonts w:ascii="Times New Roman" w:hAnsi="Times New Roman" w:cs="Times New Roman"/>
          <w:i/>
          <w:iCs/>
        </w:rPr>
        <w:t>Hynobius</w:t>
      </w:r>
      <w:r w:rsidRPr="00A155FA">
        <w:rPr>
          <w:rFonts w:ascii="Times New Roman" w:hAnsi="Times New Roman" w:cs="Times New Roman"/>
        </w:rPr>
        <w:t>.</w:t>
      </w:r>
    </w:p>
    <w:p w14:paraId="56D7C96D" w14:textId="77777777" w:rsidR="00FA06B2" w:rsidRPr="00A155FA" w:rsidRDefault="00FA06B2" w:rsidP="005229E5">
      <w:pPr>
        <w:pStyle w:val="ListParagraph"/>
        <w:numPr>
          <w:ilvl w:val="0"/>
          <w:numId w:val="7"/>
        </w:numPr>
        <w:tabs>
          <w:tab w:val="left" w:pos="2860"/>
        </w:tabs>
        <w:rPr>
          <w:rFonts w:ascii="Times New Roman" w:hAnsi="Times New Roman" w:cs="Times New Roman"/>
        </w:rPr>
      </w:pPr>
      <w:r w:rsidRPr="00A155FA">
        <w:rPr>
          <w:rFonts w:ascii="Times New Roman" w:hAnsi="Times New Roman" w:cs="Times New Roman"/>
          <w:b/>
          <w:bCs/>
        </w:rPr>
        <w:t xml:space="preserve">Character 106: </w:t>
      </w:r>
      <w:r w:rsidRPr="00A155FA">
        <w:rPr>
          <w:rFonts w:ascii="Times New Roman" w:hAnsi="Times New Roman" w:cs="Times New Roman"/>
        </w:rPr>
        <w:t xml:space="preserve">restored to ‘0/1’ from ‘0’ for </w:t>
      </w:r>
      <w:r w:rsidRPr="00A155FA">
        <w:rPr>
          <w:rFonts w:ascii="Times New Roman" w:hAnsi="Times New Roman" w:cs="Times New Roman"/>
          <w:i/>
          <w:iCs/>
        </w:rPr>
        <w:t>Eocaecilia</w:t>
      </w:r>
      <w:r w:rsidRPr="00A155FA">
        <w:rPr>
          <w:rFonts w:ascii="Times New Roman" w:hAnsi="Times New Roman" w:cs="Times New Roman"/>
        </w:rPr>
        <w:t>.</w:t>
      </w:r>
    </w:p>
    <w:p w14:paraId="2F57411A" w14:textId="77777777" w:rsidR="00FA06B2" w:rsidRPr="00A155FA" w:rsidRDefault="00FA06B2" w:rsidP="005229E5">
      <w:pPr>
        <w:pStyle w:val="ListParagraph"/>
        <w:numPr>
          <w:ilvl w:val="0"/>
          <w:numId w:val="7"/>
        </w:numPr>
        <w:tabs>
          <w:tab w:val="left" w:pos="2860"/>
        </w:tabs>
        <w:rPr>
          <w:rFonts w:ascii="Times New Roman" w:hAnsi="Times New Roman" w:cs="Times New Roman"/>
        </w:rPr>
      </w:pPr>
      <w:r w:rsidRPr="00A155FA">
        <w:rPr>
          <w:rFonts w:ascii="Times New Roman" w:hAnsi="Times New Roman" w:cs="Times New Roman"/>
          <w:b/>
          <w:bCs/>
        </w:rPr>
        <w:t xml:space="preserve">Character 160: </w:t>
      </w:r>
      <w:r w:rsidRPr="00A155FA">
        <w:rPr>
          <w:rFonts w:ascii="Times New Roman" w:hAnsi="Times New Roman" w:cs="Times New Roman"/>
        </w:rPr>
        <w:t xml:space="preserve">restored to ‘0/1’ from ‘?’ for </w:t>
      </w:r>
      <w:r w:rsidRPr="00A155FA">
        <w:rPr>
          <w:rFonts w:ascii="Times New Roman" w:hAnsi="Times New Roman" w:cs="Times New Roman"/>
          <w:i/>
          <w:iCs/>
        </w:rPr>
        <w:t>Triadobatrachus</w:t>
      </w:r>
      <w:r w:rsidRPr="00A155FA">
        <w:rPr>
          <w:rFonts w:ascii="Times New Roman" w:hAnsi="Times New Roman" w:cs="Times New Roman"/>
        </w:rPr>
        <w:t>.</w:t>
      </w:r>
    </w:p>
    <w:p w14:paraId="41694881" w14:textId="77777777" w:rsidR="00FA06B2" w:rsidRPr="00A155FA" w:rsidRDefault="00FA06B2" w:rsidP="005229E5">
      <w:pPr>
        <w:pStyle w:val="ListParagraph"/>
        <w:numPr>
          <w:ilvl w:val="0"/>
          <w:numId w:val="7"/>
        </w:numPr>
        <w:tabs>
          <w:tab w:val="left" w:pos="2860"/>
        </w:tabs>
        <w:rPr>
          <w:rFonts w:ascii="Times New Roman" w:hAnsi="Times New Roman" w:cs="Times New Roman"/>
        </w:rPr>
      </w:pPr>
      <w:r w:rsidRPr="00A155FA">
        <w:rPr>
          <w:rFonts w:ascii="Times New Roman" w:hAnsi="Times New Roman" w:cs="Times New Roman"/>
          <w:b/>
          <w:bCs/>
        </w:rPr>
        <w:t xml:space="preserve">Character 246: </w:t>
      </w:r>
      <w:r w:rsidRPr="00A155FA">
        <w:rPr>
          <w:rFonts w:ascii="Times New Roman" w:hAnsi="Times New Roman" w:cs="Times New Roman"/>
        </w:rPr>
        <w:t xml:space="preserve">restored to ‘0/1’ from ‘?’ for </w:t>
      </w:r>
      <w:r w:rsidRPr="00A155FA">
        <w:rPr>
          <w:rFonts w:ascii="Times New Roman" w:hAnsi="Times New Roman" w:cs="Times New Roman"/>
          <w:i/>
          <w:iCs/>
        </w:rPr>
        <w:t>Cacops</w:t>
      </w:r>
      <w:r w:rsidRPr="00A155FA">
        <w:rPr>
          <w:rFonts w:ascii="Times New Roman" w:hAnsi="Times New Roman" w:cs="Times New Roman"/>
        </w:rPr>
        <w:t>.</w:t>
      </w:r>
    </w:p>
    <w:p w14:paraId="7F0F5054" w14:textId="77777777" w:rsidR="00FA06B2" w:rsidRPr="00A155FA" w:rsidRDefault="00FA06B2" w:rsidP="005229E5">
      <w:pPr>
        <w:pStyle w:val="ListParagraph"/>
        <w:numPr>
          <w:ilvl w:val="0"/>
          <w:numId w:val="7"/>
        </w:numPr>
        <w:tabs>
          <w:tab w:val="left" w:pos="2860"/>
        </w:tabs>
        <w:rPr>
          <w:rFonts w:ascii="Times New Roman" w:hAnsi="Times New Roman" w:cs="Times New Roman"/>
        </w:rPr>
      </w:pPr>
      <w:r w:rsidRPr="00A155FA">
        <w:rPr>
          <w:rFonts w:ascii="Times New Roman" w:hAnsi="Times New Roman" w:cs="Times New Roman"/>
          <w:b/>
          <w:bCs/>
        </w:rPr>
        <w:t xml:space="preserve">Character 248: </w:t>
      </w:r>
      <w:r w:rsidRPr="00A155FA">
        <w:rPr>
          <w:rFonts w:ascii="Times New Roman" w:hAnsi="Times New Roman" w:cs="Times New Roman"/>
        </w:rPr>
        <w:t xml:space="preserve">restored to ‘1/2’ from ‘?’ for </w:t>
      </w:r>
      <w:r w:rsidRPr="00A155FA">
        <w:rPr>
          <w:rFonts w:ascii="Times New Roman" w:hAnsi="Times New Roman" w:cs="Times New Roman"/>
          <w:i/>
          <w:iCs/>
        </w:rPr>
        <w:t>Xenopus</w:t>
      </w:r>
      <w:r w:rsidRPr="00A155FA">
        <w:rPr>
          <w:rFonts w:ascii="Times New Roman" w:hAnsi="Times New Roman" w:cs="Times New Roman"/>
        </w:rPr>
        <w:t>.</w:t>
      </w:r>
    </w:p>
    <w:p w14:paraId="0989B40F" w14:textId="7222040F" w:rsidR="00FA06B2" w:rsidRPr="00A155FA" w:rsidRDefault="00FA06B2" w:rsidP="005229E5">
      <w:pPr>
        <w:pStyle w:val="ListParagraph"/>
        <w:numPr>
          <w:ilvl w:val="0"/>
          <w:numId w:val="7"/>
        </w:numPr>
        <w:tabs>
          <w:tab w:val="left" w:pos="2860"/>
        </w:tabs>
        <w:rPr>
          <w:rFonts w:ascii="Times New Roman" w:hAnsi="Times New Roman" w:cs="Times New Roman"/>
        </w:rPr>
      </w:pPr>
      <w:r w:rsidRPr="00A155FA">
        <w:rPr>
          <w:rFonts w:ascii="Times New Roman" w:hAnsi="Times New Roman" w:cs="Times New Roman"/>
          <w:b/>
          <w:bCs/>
        </w:rPr>
        <w:t xml:space="preserve">Character 253: </w:t>
      </w:r>
      <w:r w:rsidRPr="00A155FA">
        <w:rPr>
          <w:rFonts w:ascii="Times New Roman" w:hAnsi="Times New Roman" w:cs="Times New Roman"/>
        </w:rPr>
        <w:t xml:space="preserve">originally coded as ‘0/1’ by Pardo et al. and changed here to ‘0&amp;1’ for </w:t>
      </w:r>
      <w:r w:rsidRPr="00A155FA">
        <w:rPr>
          <w:rFonts w:ascii="Times New Roman" w:hAnsi="Times New Roman" w:cs="Times New Roman"/>
          <w:i/>
          <w:iCs/>
        </w:rPr>
        <w:t xml:space="preserve">Gerrothorax </w:t>
      </w:r>
      <w:r w:rsidRPr="00A155FA">
        <w:rPr>
          <w:rFonts w:ascii="Times New Roman" w:hAnsi="Times New Roman" w:cs="Times New Roman"/>
        </w:rPr>
        <w:t>(also noted in the taxon-specific changes).</w:t>
      </w:r>
    </w:p>
    <w:p w14:paraId="02CD5B93" w14:textId="77777777" w:rsidR="00FA06B2" w:rsidRPr="00A155FA" w:rsidRDefault="00FA06B2" w:rsidP="005229E5">
      <w:pPr>
        <w:pStyle w:val="ListParagraph"/>
        <w:numPr>
          <w:ilvl w:val="0"/>
          <w:numId w:val="7"/>
        </w:numPr>
        <w:tabs>
          <w:tab w:val="left" w:pos="2860"/>
        </w:tabs>
        <w:rPr>
          <w:rFonts w:ascii="Times New Roman" w:hAnsi="Times New Roman" w:cs="Times New Roman"/>
        </w:rPr>
      </w:pPr>
      <w:r w:rsidRPr="00A155FA">
        <w:rPr>
          <w:rFonts w:ascii="Times New Roman" w:hAnsi="Times New Roman" w:cs="Times New Roman"/>
          <w:b/>
          <w:bCs/>
        </w:rPr>
        <w:t xml:space="preserve">Character 267: </w:t>
      </w:r>
      <w:r w:rsidRPr="00A155FA">
        <w:rPr>
          <w:rFonts w:ascii="Times New Roman" w:hAnsi="Times New Roman" w:cs="Times New Roman"/>
        </w:rPr>
        <w:t xml:space="preserve">restored to ‘0/1’ from ‘?’ for </w:t>
      </w:r>
      <w:r w:rsidRPr="00A155FA">
        <w:rPr>
          <w:rFonts w:ascii="Times New Roman" w:hAnsi="Times New Roman" w:cs="Times New Roman"/>
          <w:i/>
          <w:iCs/>
        </w:rPr>
        <w:t>Cochleosaurus</w:t>
      </w:r>
      <w:r w:rsidRPr="00A155FA">
        <w:rPr>
          <w:rFonts w:ascii="Times New Roman" w:hAnsi="Times New Roman" w:cs="Times New Roman"/>
        </w:rPr>
        <w:t xml:space="preserve">, </w:t>
      </w:r>
      <w:r w:rsidRPr="00A155FA">
        <w:rPr>
          <w:rFonts w:ascii="Times New Roman" w:hAnsi="Times New Roman" w:cs="Times New Roman"/>
          <w:i/>
          <w:iCs/>
        </w:rPr>
        <w:t>Lydekkerina</w:t>
      </w:r>
      <w:r w:rsidRPr="00A155FA">
        <w:rPr>
          <w:rFonts w:ascii="Times New Roman" w:hAnsi="Times New Roman" w:cs="Times New Roman"/>
        </w:rPr>
        <w:t xml:space="preserve">, </w:t>
      </w:r>
      <w:r w:rsidRPr="00A155FA">
        <w:rPr>
          <w:rFonts w:ascii="Times New Roman" w:hAnsi="Times New Roman" w:cs="Times New Roman"/>
          <w:i/>
          <w:iCs/>
        </w:rPr>
        <w:t>Siderops</w:t>
      </w:r>
      <w:r w:rsidRPr="00A155FA">
        <w:rPr>
          <w:rFonts w:ascii="Times New Roman" w:hAnsi="Times New Roman" w:cs="Times New Roman"/>
        </w:rPr>
        <w:t xml:space="preserve">, and </w:t>
      </w:r>
      <w:r w:rsidRPr="00A155FA">
        <w:rPr>
          <w:rFonts w:ascii="Times New Roman" w:hAnsi="Times New Roman" w:cs="Times New Roman"/>
          <w:i/>
          <w:iCs/>
        </w:rPr>
        <w:t>Callistomordax</w:t>
      </w:r>
      <w:r w:rsidRPr="00A155FA">
        <w:rPr>
          <w:rFonts w:ascii="Times New Roman" w:hAnsi="Times New Roman" w:cs="Times New Roman"/>
        </w:rPr>
        <w:t>.</w:t>
      </w:r>
    </w:p>
    <w:p w14:paraId="1B3ECBC1" w14:textId="77777777" w:rsidR="00FA06B2" w:rsidRPr="00A155FA" w:rsidRDefault="00FA06B2" w:rsidP="005229E5">
      <w:pPr>
        <w:pStyle w:val="ListParagraph"/>
        <w:numPr>
          <w:ilvl w:val="0"/>
          <w:numId w:val="7"/>
        </w:numPr>
        <w:tabs>
          <w:tab w:val="left" w:pos="2860"/>
        </w:tabs>
        <w:rPr>
          <w:rFonts w:ascii="Times New Roman" w:hAnsi="Times New Roman" w:cs="Times New Roman"/>
        </w:rPr>
      </w:pPr>
      <w:r w:rsidRPr="00A155FA">
        <w:rPr>
          <w:rFonts w:ascii="Times New Roman" w:hAnsi="Times New Roman" w:cs="Times New Roman"/>
          <w:b/>
          <w:bCs/>
        </w:rPr>
        <w:t xml:space="preserve">Character 321: </w:t>
      </w:r>
      <w:r w:rsidRPr="00A155FA">
        <w:rPr>
          <w:rFonts w:ascii="Times New Roman" w:hAnsi="Times New Roman" w:cs="Times New Roman"/>
        </w:rPr>
        <w:t xml:space="preserve">restored to ‘0/1’ from ‘?’ for </w:t>
      </w:r>
      <w:r w:rsidRPr="00A155FA">
        <w:rPr>
          <w:rFonts w:ascii="Times New Roman" w:hAnsi="Times New Roman" w:cs="Times New Roman"/>
          <w:i/>
          <w:iCs/>
        </w:rPr>
        <w:t>Chinlestegophis</w:t>
      </w:r>
      <w:r w:rsidRPr="00A155FA">
        <w:rPr>
          <w:rFonts w:ascii="Times New Roman" w:hAnsi="Times New Roman" w:cs="Times New Roman"/>
        </w:rPr>
        <w:t>.</w:t>
      </w:r>
    </w:p>
    <w:p w14:paraId="531B6B2E" w14:textId="77777777" w:rsidR="00FA06B2" w:rsidRPr="00A155FA" w:rsidRDefault="00FA06B2" w:rsidP="005229E5">
      <w:pPr>
        <w:pStyle w:val="ListParagraph"/>
        <w:numPr>
          <w:ilvl w:val="0"/>
          <w:numId w:val="7"/>
        </w:numPr>
        <w:tabs>
          <w:tab w:val="left" w:pos="2860"/>
        </w:tabs>
        <w:rPr>
          <w:rFonts w:ascii="Times New Roman" w:hAnsi="Times New Roman" w:cs="Times New Roman"/>
        </w:rPr>
      </w:pPr>
      <w:r w:rsidRPr="00A155FA">
        <w:rPr>
          <w:rFonts w:ascii="Times New Roman" w:hAnsi="Times New Roman" w:cs="Times New Roman"/>
          <w:b/>
          <w:bCs/>
        </w:rPr>
        <w:t xml:space="preserve">Character 324: </w:t>
      </w:r>
      <w:r w:rsidRPr="00A155FA">
        <w:rPr>
          <w:rFonts w:ascii="Times New Roman" w:hAnsi="Times New Roman" w:cs="Times New Roman"/>
        </w:rPr>
        <w:t xml:space="preserve">restored to ‘0/1’ from ‘?’ for </w:t>
      </w:r>
      <w:r w:rsidRPr="00A155FA">
        <w:rPr>
          <w:rFonts w:ascii="Times New Roman" w:hAnsi="Times New Roman" w:cs="Times New Roman"/>
          <w:i/>
          <w:iCs/>
        </w:rPr>
        <w:t>Eryops</w:t>
      </w:r>
      <w:r w:rsidRPr="00A155FA">
        <w:rPr>
          <w:rFonts w:ascii="Times New Roman" w:hAnsi="Times New Roman" w:cs="Times New Roman"/>
        </w:rPr>
        <w:t xml:space="preserve"> and </w:t>
      </w:r>
      <w:r w:rsidRPr="00A155FA">
        <w:rPr>
          <w:rFonts w:ascii="Times New Roman" w:hAnsi="Times New Roman" w:cs="Times New Roman"/>
          <w:i/>
          <w:iCs/>
        </w:rPr>
        <w:t>Gerrothorax</w:t>
      </w:r>
      <w:r w:rsidRPr="00A155FA">
        <w:rPr>
          <w:rFonts w:ascii="Times New Roman" w:hAnsi="Times New Roman" w:cs="Times New Roman"/>
        </w:rPr>
        <w:t>.</w:t>
      </w:r>
    </w:p>
    <w:p w14:paraId="5DEB99CD" w14:textId="77777777" w:rsidR="00FA06B2" w:rsidRPr="00A155FA" w:rsidRDefault="00FA06B2" w:rsidP="009C1A18">
      <w:pPr>
        <w:tabs>
          <w:tab w:val="left" w:pos="2860"/>
        </w:tabs>
      </w:pPr>
    </w:p>
    <w:p w14:paraId="3278425D" w14:textId="4007FB5B" w:rsidR="00FA06B2" w:rsidRPr="00A155FA" w:rsidRDefault="00FA06B2" w:rsidP="003771A7">
      <w:pPr>
        <w:tabs>
          <w:tab w:val="left" w:pos="2860"/>
        </w:tabs>
        <w:rPr>
          <w:b/>
          <w:bCs/>
        </w:rPr>
      </w:pPr>
      <w:r w:rsidRPr="00A155FA">
        <w:rPr>
          <w:b/>
          <w:bCs/>
        </w:rPr>
        <w:t xml:space="preserve">Unspecified character states. </w:t>
      </w:r>
      <w:r w:rsidRPr="00A155FA">
        <w:t xml:space="preserve">A number of multistate characters occur in the matrix where the numerically highest state is not listed in the character list of previous studies. </w:t>
      </w:r>
      <w:r w:rsidRPr="00A155FA">
        <w:rPr>
          <w:color w:val="222222"/>
        </w:rPr>
        <w:t>As may be noted, all of these characters are characters from the original Schoch (2013) matrix, but most of the ambiguous character states first appeared in the matrix of Pardo et al. (2017a). Pardo et al. (2017a)’s typeset character list does not reflect these apparent added states, and there is no comment in either the main text or supplemental information about character changes, but these added states were mostly gleaned from their NEXUS script in the supplemental information.</w:t>
      </w:r>
      <w:r w:rsidRPr="00A155FA">
        <w:t xml:space="preserve"> Character numbering in this section refers to the original numbering of Schoch et al. (2020) regardless of the omission of several from the dataset used in our analyses (Characters 14, 78, 81, 115, 232, 253, 352); the new numbering scheme is detailed below in Supplementary Information 8. Note that characters discussed in this section are written without modification from those listed by Schoch et al., (2020); modifications to these characters are detailed below, and the final characters used in our analyses are reported in Supplementary Information 8.</w:t>
      </w:r>
    </w:p>
    <w:p w14:paraId="4A96AB0C" w14:textId="77777777" w:rsidR="00FA06B2" w:rsidRPr="00A155FA" w:rsidRDefault="00FA06B2" w:rsidP="00662B68">
      <w:pPr>
        <w:tabs>
          <w:tab w:val="left" w:pos="2860"/>
        </w:tabs>
        <w:rPr>
          <w:b/>
          <w:bCs/>
        </w:rPr>
      </w:pPr>
    </w:p>
    <w:p w14:paraId="112CCD38" w14:textId="7546647F" w:rsidR="00FA06B2" w:rsidRPr="00A155FA" w:rsidRDefault="00FA06B2" w:rsidP="005229E5">
      <w:pPr>
        <w:pStyle w:val="ListParagraph"/>
        <w:numPr>
          <w:ilvl w:val="0"/>
          <w:numId w:val="8"/>
        </w:numPr>
        <w:tabs>
          <w:tab w:val="left" w:pos="2860"/>
        </w:tabs>
        <w:rPr>
          <w:rFonts w:ascii="Times New Roman" w:hAnsi="Times New Roman" w:cs="Times New Roman"/>
          <w:b/>
          <w:bCs/>
        </w:rPr>
      </w:pPr>
      <w:r w:rsidRPr="00A155FA">
        <w:rPr>
          <w:rFonts w:ascii="Times New Roman" w:eastAsia="Times New Roman" w:hAnsi="Times New Roman" w:cs="Times New Roman"/>
          <w:b/>
          <w:bCs/>
          <w:color w:val="222222"/>
        </w:rPr>
        <w:t>3 (ornament (elements)). Reticulate ridges of various sizes (0), or isolated pustules (1).</w:t>
      </w:r>
    </w:p>
    <w:p w14:paraId="7EC9995C" w14:textId="77777777" w:rsidR="00FA06B2" w:rsidRPr="00A155FA" w:rsidRDefault="00FA06B2" w:rsidP="005229E5">
      <w:pPr>
        <w:pStyle w:val="ListParagraph"/>
        <w:numPr>
          <w:ilvl w:val="1"/>
          <w:numId w:val="8"/>
        </w:numPr>
        <w:tabs>
          <w:tab w:val="left" w:pos="2860"/>
        </w:tabs>
        <w:rPr>
          <w:rFonts w:ascii="Times New Roman" w:hAnsi="Times New Roman" w:cs="Times New Roman"/>
          <w:b/>
          <w:bCs/>
        </w:rPr>
      </w:pPr>
      <w:r w:rsidRPr="00A155FA">
        <w:rPr>
          <w:rFonts w:ascii="Times New Roman" w:eastAsia="Times New Roman" w:hAnsi="Times New Roman" w:cs="Times New Roman"/>
          <w:color w:val="222222"/>
        </w:rPr>
        <w:t>State 2 is defined herein as ‘absent.’</w:t>
      </w:r>
    </w:p>
    <w:p w14:paraId="170D4B38" w14:textId="77527CCF" w:rsidR="00FA06B2" w:rsidRPr="00A155FA" w:rsidRDefault="00FA06B2" w:rsidP="005229E5">
      <w:pPr>
        <w:pStyle w:val="ListParagraph"/>
        <w:numPr>
          <w:ilvl w:val="0"/>
          <w:numId w:val="8"/>
        </w:numPr>
        <w:rPr>
          <w:rFonts w:ascii="Times New Roman" w:eastAsia="Times New Roman" w:hAnsi="Times New Roman" w:cs="Times New Roman"/>
          <w:b/>
          <w:bCs/>
          <w:color w:val="222222"/>
        </w:rPr>
      </w:pPr>
      <w:r w:rsidRPr="00A155FA">
        <w:rPr>
          <w:rFonts w:ascii="Times New Roman" w:eastAsia="Times New Roman" w:hAnsi="Times New Roman" w:cs="Times New Roman"/>
          <w:b/>
          <w:bCs/>
          <w:color w:val="222222"/>
        </w:rPr>
        <w:t>9 (preorbital region (length)). Less than twice the length of posterior skull table (0), or more (1).</w:t>
      </w:r>
    </w:p>
    <w:p w14:paraId="740B734A" w14:textId="08C71B29" w:rsidR="00FA06B2" w:rsidRPr="00A155FA" w:rsidRDefault="00FA06B2" w:rsidP="005229E5">
      <w:pPr>
        <w:pStyle w:val="ListParagraph"/>
        <w:numPr>
          <w:ilvl w:val="1"/>
          <w:numId w:val="8"/>
        </w:numPr>
        <w:rPr>
          <w:rFonts w:ascii="Times New Roman" w:eastAsia="Times New Roman" w:hAnsi="Times New Roman" w:cs="Times New Roman"/>
          <w:b/>
          <w:bCs/>
          <w:color w:val="222222"/>
        </w:rPr>
      </w:pPr>
      <w:r w:rsidRPr="00A155FA">
        <w:rPr>
          <w:rFonts w:ascii="Times New Roman" w:eastAsia="Times New Roman" w:hAnsi="Times New Roman" w:cs="Times New Roman"/>
          <w:color w:val="222222"/>
        </w:rPr>
        <w:t>State 2 is defined herein as ‘twice as long.’</w:t>
      </w:r>
    </w:p>
    <w:p w14:paraId="7652D6D0" w14:textId="1C59D3C1" w:rsidR="00FA06B2" w:rsidRPr="00A155FA" w:rsidRDefault="00FA06B2" w:rsidP="005229E5">
      <w:pPr>
        <w:pStyle w:val="ListParagraph"/>
        <w:numPr>
          <w:ilvl w:val="0"/>
          <w:numId w:val="8"/>
        </w:numPr>
        <w:rPr>
          <w:rFonts w:ascii="Times New Roman" w:eastAsia="Times New Roman" w:hAnsi="Times New Roman" w:cs="Times New Roman"/>
          <w:b/>
          <w:bCs/>
          <w:color w:val="222222"/>
        </w:rPr>
      </w:pPr>
      <w:r w:rsidRPr="00A155FA">
        <w:rPr>
          <w:rFonts w:ascii="Times New Roman" w:eastAsia="Times New Roman" w:hAnsi="Times New Roman" w:cs="Times New Roman"/>
          <w:b/>
          <w:bCs/>
          <w:color w:val="222222"/>
        </w:rPr>
        <w:t>26 (orbit location). Medial, framed by wide jugals laterally (0), or lateral emplacement, framed by very slender jugals (1).</w:t>
      </w:r>
    </w:p>
    <w:p w14:paraId="6307F05B" w14:textId="4C879E79" w:rsidR="00FA06B2" w:rsidRPr="00A155FA" w:rsidRDefault="00FA06B2" w:rsidP="005229E5">
      <w:pPr>
        <w:pStyle w:val="ListParagraph"/>
        <w:numPr>
          <w:ilvl w:val="1"/>
          <w:numId w:val="8"/>
        </w:numPr>
        <w:rPr>
          <w:rFonts w:ascii="Times New Roman" w:eastAsia="Times New Roman" w:hAnsi="Times New Roman" w:cs="Times New Roman"/>
          <w:b/>
          <w:bCs/>
          <w:color w:val="222222"/>
        </w:rPr>
      </w:pPr>
      <w:r w:rsidRPr="00A155FA">
        <w:rPr>
          <w:rFonts w:ascii="Times New Roman" w:eastAsia="Times New Roman" w:hAnsi="Times New Roman" w:cs="Times New Roman"/>
          <w:color w:val="222222"/>
        </w:rPr>
        <w:t xml:space="preserve">State 2 is not stated and was introduced by Pardo et al. (2017a). It was coded for </w:t>
      </w:r>
      <w:r w:rsidRPr="00A155FA">
        <w:rPr>
          <w:rFonts w:ascii="Times New Roman" w:eastAsia="Times New Roman" w:hAnsi="Times New Roman" w:cs="Times New Roman"/>
          <w:i/>
          <w:iCs/>
          <w:color w:val="222222"/>
        </w:rPr>
        <w:t xml:space="preserve">Amphibamus, Doleserpeton, Gerobatrachus, </w:t>
      </w:r>
      <w:r w:rsidRPr="00A155FA">
        <w:rPr>
          <w:rFonts w:ascii="Times New Roman" w:eastAsia="Times New Roman" w:hAnsi="Times New Roman" w:cs="Times New Roman"/>
          <w:color w:val="222222"/>
        </w:rPr>
        <w:t xml:space="preserve">and </w:t>
      </w:r>
      <w:r w:rsidRPr="00A155FA">
        <w:rPr>
          <w:rFonts w:ascii="Times New Roman" w:eastAsia="Times New Roman" w:hAnsi="Times New Roman" w:cs="Times New Roman"/>
          <w:i/>
          <w:iCs/>
          <w:color w:val="222222"/>
        </w:rPr>
        <w:t xml:space="preserve">Platyrhinops </w:t>
      </w:r>
      <w:r w:rsidRPr="00A155FA">
        <w:rPr>
          <w:rFonts w:ascii="Times New Roman" w:eastAsia="Times New Roman" w:hAnsi="Times New Roman" w:cs="Times New Roman"/>
          <w:color w:val="222222"/>
        </w:rPr>
        <w:t xml:space="preserve">among temnospondyls; for </w:t>
      </w:r>
      <w:r w:rsidRPr="00A155FA">
        <w:rPr>
          <w:rFonts w:ascii="Times New Roman" w:eastAsia="Times New Roman" w:hAnsi="Times New Roman" w:cs="Times New Roman"/>
          <w:i/>
          <w:iCs/>
          <w:color w:val="222222"/>
        </w:rPr>
        <w:t>Ambystoma, Cryptobranchus, Hynobius</w:t>
      </w:r>
      <w:r w:rsidRPr="00A155FA">
        <w:rPr>
          <w:rFonts w:ascii="Times New Roman" w:eastAsia="Times New Roman" w:hAnsi="Times New Roman" w:cs="Times New Roman"/>
          <w:color w:val="222222"/>
        </w:rPr>
        <w:t xml:space="preserve">, </w:t>
      </w:r>
      <w:r w:rsidRPr="00A155FA">
        <w:rPr>
          <w:rFonts w:ascii="Times New Roman" w:eastAsia="Times New Roman" w:hAnsi="Times New Roman" w:cs="Times New Roman"/>
          <w:i/>
          <w:iCs/>
          <w:color w:val="222222"/>
        </w:rPr>
        <w:t>Leptodactylus</w:t>
      </w:r>
      <w:r w:rsidRPr="00A155FA">
        <w:rPr>
          <w:rFonts w:ascii="Times New Roman" w:eastAsia="Times New Roman" w:hAnsi="Times New Roman" w:cs="Times New Roman"/>
          <w:color w:val="222222"/>
        </w:rPr>
        <w:t xml:space="preserve">, and </w:t>
      </w:r>
      <w:r w:rsidRPr="00A155FA">
        <w:rPr>
          <w:rFonts w:ascii="Times New Roman" w:eastAsia="Times New Roman" w:hAnsi="Times New Roman" w:cs="Times New Roman"/>
          <w:i/>
          <w:iCs/>
          <w:color w:val="222222"/>
        </w:rPr>
        <w:t xml:space="preserve">Xenopus </w:t>
      </w:r>
      <w:r w:rsidRPr="00A155FA">
        <w:rPr>
          <w:rFonts w:ascii="Times New Roman" w:eastAsia="Times New Roman" w:hAnsi="Times New Roman" w:cs="Times New Roman"/>
          <w:color w:val="222222"/>
        </w:rPr>
        <w:t xml:space="preserve">among extant </w:t>
      </w:r>
      <w:proofErr w:type="spellStart"/>
      <w:r w:rsidRPr="00A155FA">
        <w:rPr>
          <w:rFonts w:ascii="Times New Roman" w:eastAsia="Times New Roman" w:hAnsi="Times New Roman" w:cs="Times New Roman"/>
          <w:color w:val="222222"/>
        </w:rPr>
        <w:t>lissamphians</w:t>
      </w:r>
      <w:proofErr w:type="spellEnd"/>
      <w:r w:rsidRPr="00A155FA">
        <w:rPr>
          <w:rFonts w:ascii="Times New Roman" w:eastAsia="Times New Roman" w:hAnsi="Times New Roman" w:cs="Times New Roman"/>
          <w:color w:val="222222"/>
        </w:rPr>
        <w:t xml:space="preserve">; and for </w:t>
      </w:r>
      <w:proofErr w:type="spellStart"/>
      <w:r w:rsidRPr="00A155FA">
        <w:rPr>
          <w:rFonts w:ascii="Times New Roman" w:eastAsia="Times New Roman" w:hAnsi="Times New Roman" w:cs="Times New Roman"/>
          <w:i/>
          <w:iCs/>
          <w:color w:val="222222"/>
        </w:rPr>
        <w:t>Eocaecilia</w:t>
      </w:r>
      <w:proofErr w:type="spellEnd"/>
      <w:r w:rsidRPr="00A155FA">
        <w:rPr>
          <w:rFonts w:ascii="Times New Roman" w:eastAsia="Times New Roman" w:hAnsi="Times New Roman" w:cs="Times New Roman"/>
          <w:i/>
          <w:iCs/>
          <w:color w:val="222222"/>
        </w:rPr>
        <w:t xml:space="preserve">, Karaurus, </w:t>
      </w:r>
      <w:r w:rsidRPr="00A155FA">
        <w:rPr>
          <w:rFonts w:ascii="Times New Roman" w:eastAsia="Times New Roman" w:hAnsi="Times New Roman" w:cs="Times New Roman"/>
          <w:color w:val="222222"/>
        </w:rPr>
        <w:t xml:space="preserve">and </w:t>
      </w:r>
      <w:r w:rsidRPr="00A155FA">
        <w:rPr>
          <w:rFonts w:ascii="Times New Roman" w:eastAsia="Times New Roman" w:hAnsi="Times New Roman" w:cs="Times New Roman"/>
          <w:i/>
          <w:iCs/>
          <w:color w:val="222222"/>
        </w:rPr>
        <w:t>Triadobatrachus</w:t>
      </w:r>
      <w:r w:rsidRPr="00A155FA">
        <w:rPr>
          <w:rFonts w:ascii="Times New Roman" w:eastAsia="Times New Roman" w:hAnsi="Times New Roman" w:cs="Times New Roman"/>
          <w:color w:val="222222"/>
        </w:rPr>
        <w:t xml:space="preserve"> among extinct lissamphibians. This is apparently a feature intended to differentiate lissamphibians and putative close dissorophoid relatives from other in-group taxa. Personal communication with J. Pardo for another study clarified that state 2 refers to enlarged orbits that are framed by both slender jugals and slender frontals. </w:t>
      </w:r>
      <w:r w:rsidRPr="00A155FA">
        <w:rPr>
          <w:rFonts w:ascii="Times New Roman" w:eastAsia="Times New Roman" w:hAnsi="Times New Roman" w:cs="Times New Roman"/>
          <w:i/>
          <w:iCs/>
          <w:color w:val="222222"/>
        </w:rPr>
        <w:t xml:space="preserve">Eocaecilia </w:t>
      </w:r>
      <w:r w:rsidRPr="00A155FA">
        <w:rPr>
          <w:rFonts w:ascii="Times New Roman" w:eastAsia="Times New Roman" w:hAnsi="Times New Roman" w:cs="Times New Roman"/>
          <w:color w:val="222222"/>
        </w:rPr>
        <w:t xml:space="preserve">is therefore changed to state 1. </w:t>
      </w:r>
      <w:r w:rsidRPr="00A155FA">
        <w:rPr>
          <w:rFonts w:ascii="Times New Roman" w:eastAsia="Times New Roman" w:hAnsi="Times New Roman" w:cs="Times New Roman"/>
          <w:color w:val="222222"/>
        </w:rPr>
        <w:lastRenderedPageBreak/>
        <w:t xml:space="preserve">Furthermore, it is unclear why other taxa with proportionately large orbits that can be said to have both slender jugals and slender frontals were not recoded to state 2, including the early diverging amphibamiform </w:t>
      </w:r>
      <w:r w:rsidRPr="00A155FA">
        <w:rPr>
          <w:rFonts w:ascii="Times New Roman" w:eastAsia="Times New Roman" w:hAnsi="Times New Roman" w:cs="Times New Roman"/>
          <w:i/>
          <w:iCs/>
          <w:color w:val="222222"/>
        </w:rPr>
        <w:t>Micropholis</w:t>
      </w:r>
      <w:r w:rsidRPr="00A155FA">
        <w:rPr>
          <w:rFonts w:ascii="Times New Roman" w:eastAsia="Times New Roman" w:hAnsi="Times New Roman" w:cs="Times New Roman"/>
          <w:color w:val="222222"/>
        </w:rPr>
        <w:t>,</w:t>
      </w:r>
      <w:r w:rsidRPr="00A155FA">
        <w:rPr>
          <w:rFonts w:ascii="Times New Roman" w:eastAsia="Times New Roman" w:hAnsi="Times New Roman" w:cs="Times New Roman"/>
          <w:i/>
          <w:iCs/>
          <w:color w:val="222222"/>
        </w:rPr>
        <w:t xml:space="preserve"> </w:t>
      </w:r>
      <w:r w:rsidRPr="00A155FA">
        <w:rPr>
          <w:rFonts w:ascii="Times New Roman" w:eastAsia="Times New Roman" w:hAnsi="Times New Roman" w:cs="Times New Roman"/>
          <w:color w:val="222222"/>
        </w:rPr>
        <w:t xml:space="preserve">micromelerpetids, the highly nested branchiosaurid amphibamiforms, and </w:t>
      </w:r>
      <w:r w:rsidRPr="00A155FA">
        <w:rPr>
          <w:rFonts w:ascii="Times New Roman" w:eastAsia="Times New Roman" w:hAnsi="Times New Roman" w:cs="Times New Roman"/>
          <w:i/>
          <w:iCs/>
          <w:color w:val="222222"/>
        </w:rPr>
        <w:t>Lapillopsis</w:t>
      </w:r>
      <w:r w:rsidRPr="00A155FA">
        <w:rPr>
          <w:rFonts w:ascii="Times New Roman" w:eastAsia="Times New Roman" w:hAnsi="Times New Roman" w:cs="Times New Roman"/>
          <w:color w:val="222222"/>
        </w:rPr>
        <w:t xml:space="preserve"> (see Schoch &amp; Milner, 2014:figs. 25–27, for example). The orbits of </w:t>
      </w:r>
      <w:r w:rsidRPr="00A155FA">
        <w:rPr>
          <w:rFonts w:ascii="Times New Roman" w:eastAsia="Times New Roman" w:hAnsi="Times New Roman" w:cs="Times New Roman"/>
          <w:i/>
          <w:iCs/>
          <w:color w:val="222222"/>
        </w:rPr>
        <w:t>Platyrhinops</w:t>
      </w:r>
      <w:r w:rsidRPr="00A155FA">
        <w:rPr>
          <w:rFonts w:ascii="Times New Roman" w:eastAsia="Times New Roman" w:hAnsi="Times New Roman" w:cs="Times New Roman"/>
          <w:color w:val="222222"/>
        </w:rPr>
        <w:t xml:space="preserve"> in particular are proportionately much smaller than in other amphibamiforms coded for state 2, which might relate to its large size; the interorbital region is wider than the orbits, and therefore the frontals are not slender, and the orbits are more laterally situated (Clack &amp; Milner, 2010). In other words, if </w:t>
      </w:r>
      <w:r w:rsidRPr="00A155FA">
        <w:rPr>
          <w:rFonts w:ascii="Times New Roman" w:eastAsia="Times New Roman" w:hAnsi="Times New Roman" w:cs="Times New Roman"/>
          <w:i/>
          <w:iCs/>
          <w:color w:val="222222"/>
        </w:rPr>
        <w:t xml:space="preserve">Platyrhinops </w:t>
      </w:r>
      <w:r w:rsidRPr="00A155FA">
        <w:rPr>
          <w:rFonts w:ascii="Times New Roman" w:eastAsia="Times New Roman" w:hAnsi="Times New Roman" w:cs="Times New Roman"/>
          <w:color w:val="222222"/>
        </w:rPr>
        <w:t xml:space="preserve">is coded as state 2, all of the aforementioned taxa should be as well. We recoded </w:t>
      </w:r>
      <w:r w:rsidRPr="00A155FA">
        <w:rPr>
          <w:rFonts w:ascii="Times New Roman" w:eastAsia="Times New Roman" w:hAnsi="Times New Roman" w:cs="Times New Roman"/>
          <w:i/>
          <w:iCs/>
          <w:color w:val="222222"/>
        </w:rPr>
        <w:t xml:space="preserve">Platyrhinops </w:t>
      </w:r>
      <w:r w:rsidRPr="00A155FA">
        <w:rPr>
          <w:rFonts w:ascii="Times New Roman" w:eastAsia="Times New Roman" w:hAnsi="Times New Roman" w:cs="Times New Roman"/>
          <w:color w:val="222222"/>
        </w:rPr>
        <w:t xml:space="preserve">to state 1 and recoded </w:t>
      </w:r>
      <w:r w:rsidRPr="00A155FA">
        <w:rPr>
          <w:rFonts w:ascii="Times New Roman" w:eastAsia="Times New Roman" w:hAnsi="Times New Roman" w:cs="Times New Roman"/>
          <w:i/>
          <w:iCs/>
          <w:color w:val="222222"/>
        </w:rPr>
        <w:t xml:space="preserve">Apateon </w:t>
      </w:r>
      <w:r w:rsidRPr="00A155FA">
        <w:rPr>
          <w:rFonts w:ascii="Times New Roman" w:eastAsia="Times New Roman" w:hAnsi="Times New Roman" w:cs="Times New Roman"/>
          <w:color w:val="222222"/>
        </w:rPr>
        <w:t>to state 2.</w:t>
      </w:r>
    </w:p>
    <w:p w14:paraId="429CCA92" w14:textId="3A3F6C9A" w:rsidR="00FA06B2" w:rsidRPr="00A155FA" w:rsidRDefault="00FA06B2" w:rsidP="005229E5">
      <w:pPr>
        <w:pStyle w:val="ListParagraph"/>
        <w:numPr>
          <w:ilvl w:val="0"/>
          <w:numId w:val="8"/>
        </w:numPr>
        <w:rPr>
          <w:rFonts w:ascii="Times New Roman" w:eastAsia="Times New Roman" w:hAnsi="Times New Roman" w:cs="Times New Roman"/>
          <w:b/>
          <w:bCs/>
          <w:color w:val="222222"/>
        </w:rPr>
      </w:pPr>
      <w:r w:rsidRPr="00A155FA">
        <w:rPr>
          <w:rFonts w:ascii="Times New Roman" w:eastAsia="Times New Roman" w:hAnsi="Times New Roman" w:cs="Times New Roman"/>
          <w:b/>
          <w:bCs/>
          <w:color w:val="222222"/>
        </w:rPr>
        <w:t>112 (cultriform process (width)). Base not wider than rest, clearly set off from basal plate (0), or merging continuously into plate (1).</w:t>
      </w:r>
    </w:p>
    <w:p w14:paraId="14141204" w14:textId="77777777" w:rsidR="00FA06B2" w:rsidRPr="00A155FA" w:rsidRDefault="00FA06B2" w:rsidP="005229E5">
      <w:pPr>
        <w:pStyle w:val="ListParagraph"/>
        <w:numPr>
          <w:ilvl w:val="1"/>
          <w:numId w:val="8"/>
        </w:numPr>
        <w:rPr>
          <w:rFonts w:ascii="Times New Roman" w:eastAsia="Times New Roman" w:hAnsi="Times New Roman" w:cs="Times New Roman"/>
          <w:b/>
          <w:bCs/>
          <w:color w:val="222222"/>
        </w:rPr>
      </w:pPr>
      <w:r w:rsidRPr="00A155FA">
        <w:rPr>
          <w:rFonts w:ascii="Times New Roman" w:eastAsia="Times New Roman" w:hAnsi="Times New Roman" w:cs="Times New Roman"/>
          <w:color w:val="222222"/>
        </w:rPr>
        <w:t>State 2 is defined herein as ‘flaring anteriorly.’</w:t>
      </w:r>
    </w:p>
    <w:p w14:paraId="6103E829" w14:textId="2FC8CFAD" w:rsidR="00FA06B2" w:rsidRPr="00A155FA" w:rsidRDefault="00FA06B2" w:rsidP="005229E5">
      <w:pPr>
        <w:pStyle w:val="ListParagraph"/>
        <w:numPr>
          <w:ilvl w:val="0"/>
          <w:numId w:val="8"/>
        </w:numPr>
        <w:rPr>
          <w:rFonts w:ascii="Times New Roman" w:eastAsia="Times New Roman" w:hAnsi="Times New Roman" w:cs="Times New Roman"/>
          <w:b/>
          <w:bCs/>
          <w:color w:val="222222"/>
        </w:rPr>
      </w:pPr>
      <w:r w:rsidRPr="00A155FA">
        <w:rPr>
          <w:rFonts w:ascii="Times New Roman" w:eastAsia="Times New Roman" w:hAnsi="Times New Roman" w:cs="Times New Roman"/>
          <w:b/>
          <w:bCs/>
          <w:color w:val="222222"/>
        </w:rPr>
        <w:t>158 (presacral count). More than 28 (0), or 23-27 vertebrae (1), or less than 23 (2).</w:t>
      </w:r>
    </w:p>
    <w:p w14:paraId="6DEE5C63" w14:textId="64C9F16F" w:rsidR="00FA06B2" w:rsidRPr="00A155FA" w:rsidRDefault="00FA06B2" w:rsidP="005229E5">
      <w:pPr>
        <w:pStyle w:val="ListParagraph"/>
        <w:numPr>
          <w:ilvl w:val="1"/>
          <w:numId w:val="8"/>
        </w:numPr>
        <w:rPr>
          <w:rFonts w:ascii="Times New Roman" w:eastAsia="Times New Roman" w:hAnsi="Times New Roman" w:cs="Times New Roman"/>
          <w:b/>
          <w:bCs/>
          <w:i/>
          <w:iCs/>
          <w:color w:val="222222"/>
        </w:rPr>
      </w:pPr>
      <w:r w:rsidRPr="00A155FA">
        <w:rPr>
          <w:rFonts w:ascii="Times New Roman" w:eastAsia="Times New Roman" w:hAnsi="Times New Roman" w:cs="Times New Roman"/>
          <w:color w:val="222222"/>
        </w:rPr>
        <w:t xml:space="preserve">State 3 was introduced by Schoch et al. (2020). Schoch et al. did not provide a full character list or a script with character names and definitions, and their list of character changes does not include any mention of character alterations. State 3 was coded for </w:t>
      </w:r>
      <w:r w:rsidRPr="00A155FA">
        <w:rPr>
          <w:rFonts w:ascii="Times New Roman" w:eastAsia="Times New Roman" w:hAnsi="Times New Roman" w:cs="Times New Roman"/>
          <w:i/>
          <w:iCs/>
          <w:color w:val="222222"/>
        </w:rPr>
        <w:t xml:space="preserve">Amphibamus </w:t>
      </w:r>
      <w:r w:rsidRPr="00A155FA">
        <w:rPr>
          <w:rFonts w:ascii="Times New Roman" w:eastAsia="Times New Roman" w:hAnsi="Times New Roman" w:cs="Times New Roman"/>
          <w:color w:val="222222"/>
        </w:rPr>
        <w:t xml:space="preserve">(18? </w:t>
      </w:r>
      <w:proofErr w:type="spellStart"/>
      <w:r w:rsidRPr="00A155FA">
        <w:rPr>
          <w:rFonts w:ascii="Times New Roman" w:eastAsia="Times New Roman" w:hAnsi="Times New Roman" w:cs="Times New Roman"/>
          <w:color w:val="222222"/>
        </w:rPr>
        <w:t>presacrals</w:t>
      </w:r>
      <w:proofErr w:type="spellEnd"/>
      <w:r w:rsidRPr="00A155FA">
        <w:rPr>
          <w:rFonts w:ascii="Times New Roman" w:eastAsia="Times New Roman" w:hAnsi="Times New Roman" w:cs="Times New Roman"/>
          <w:color w:val="222222"/>
        </w:rPr>
        <w:t xml:space="preserve">) and </w:t>
      </w:r>
      <w:proofErr w:type="spellStart"/>
      <w:r w:rsidRPr="00A155FA">
        <w:rPr>
          <w:rFonts w:ascii="Times New Roman" w:eastAsia="Times New Roman" w:hAnsi="Times New Roman" w:cs="Times New Roman"/>
          <w:i/>
          <w:iCs/>
          <w:color w:val="222222"/>
        </w:rPr>
        <w:t>Gerobatrachus</w:t>
      </w:r>
      <w:proofErr w:type="spellEnd"/>
      <w:r w:rsidRPr="00A155FA">
        <w:rPr>
          <w:rFonts w:ascii="Times New Roman" w:eastAsia="Times New Roman" w:hAnsi="Times New Roman" w:cs="Times New Roman"/>
          <w:i/>
          <w:iCs/>
          <w:color w:val="222222"/>
        </w:rPr>
        <w:t xml:space="preserve"> </w:t>
      </w:r>
      <w:r w:rsidRPr="00A155FA">
        <w:rPr>
          <w:rFonts w:ascii="Times New Roman" w:eastAsia="Times New Roman" w:hAnsi="Times New Roman" w:cs="Times New Roman"/>
          <w:color w:val="222222"/>
        </w:rPr>
        <w:t xml:space="preserve">(17 </w:t>
      </w:r>
      <w:proofErr w:type="spellStart"/>
      <w:r w:rsidRPr="00A155FA">
        <w:rPr>
          <w:rFonts w:ascii="Times New Roman" w:eastAsia="Times New Roman" w:hAnsi="Times New Roman" w:cs="Times New Roman"/>
          <w:color w:val="222222"/>
        </w:rPr>
        <w:t>presacrals</w:t>
      </w:r>
      <w:proofErr w:type="spellEnd"/>
      <w:r w:rsidRPr="00A155FA">
        <w:rPr>
          <w:rFonts w:ascii="Times New Roman" w:eastAsia="Times New Roman" w:hAnsi="Times New Roman" w:cs="Times New Roman"/>
          <w:color w:val="222222"/>
        </w:rPr>
        <w:t>)</w:t>
      </w:r>
      <w:r w:rsidRPr="00A155FA">
        <w:rPr>
          <w:rFonts w:ascii="Times New Roman" w:eastAsia="Times New Roman" w:hAnsi="Times New Roman" w:cs="Times New Roman"/>
          <w:i/>
          <w:iCs/>
          <w:color w:val="222222"/>
        </w:rPr>
        <w:t xml:space="preserve"> </w:t>
      </w:r>
      <w:r w:rsidRPr="00A155FA">
        <w:rPr>
          <w:rFonts w:ascii="Times New Roman" w:eastAsia="Times New Roman" w:hAnsi="Times New Roman" w:cs="Times New Roman"/>
          <w:color w:val="222222"/>
        </w:rPr>
        <w:t xml:space="preserve">among temnospondyls and for </w:t>
      </w:r>
      <w:r w:rsidRPr="00A155FA">
        <w:rPr>
          <w:rFonts w:ascii="Times New Roman" w:eastAsia="Times New Roman" w:hAnsi="Times New Roman" w:cs="Times New Roman"/>
          <w:i/>
          <w:iCs/>
          <w:color w:val="222222"/>
        </w:rPr>
        <w:t xml:space="preserve">Ambystoma </w:t>
      </w:r>
      <w:proofErr w:type="spellStart"/>
      <w:r w:rsidRPr="00A155FA">
        <w:rPr>
          <w:rFonts w:ascii="Times New Roman" w:eastAsia="Times New Roman" w:hAnsi="Times New Roman" w:cs="Times New Roman"/>
          <w:i/>
          <w:iCs/>
          <w:color w:val="222222"/>
        </w:rPr>
        <w:t>opacum</w:t>
      </w:r>
      <w:proofErr w:type="spellEnd"/>
      <w:r w:rsidRPr="00A155FA">
        <w:rPr>
          <w:rFonts w:ascii="Times New Roman" w:eastAsia="Times New Roman" w:hAnsi="Times New Roman" w:cs="Times New Roman"/>
          <w:i/>
          <w:iCs/>
          <w:color w:val="222222"/>
        </w:rPr>
        <w:t xml:space="preserve"> </w:t>
      </w:r>
      <w:r w:rsidRPr="00A155FA">
        <w:rPr>
          <w:rFonts w:ascii="Times New Roman" w:eastAsia="Times New Roman" w:hAnsi="Times New Roman" w:cs="Times New Roman"/>
          <w:color w:val="222222"/>
        </w:rPr>
        <w:t xml:space="preserve">(14 </w:t>
      </w:r>
      <w:proofErr w:type="spellStart"/>
      <w:r w:rsidRPr="00A155FA">
        <w:rPr>
          <w:rFonts w:ascii="Times New Roman" w:eastAsia="Times New Roman" w:hAnsi="Times New Roman" w:cs="Times New Roman"/>
          <w:color w:val="222222"/>
        </w:rPr>
        <w:t>presacrals</w:t>
      </w:r>
      <w:proofErr w:type="spellEnd"/>
      <w:r w:rsidRPr="00A155FA">
        <w:rPr>
          <w:rFonts w:ascii="Times New Roman" w:eastAsia="Times New Roman" w:hAnsi="Times New Roman" w:cs="Times New Roman"/>
          <w:color w:val="222222"/>
        </w:rPr>
        <w:t>)</w:t>
      </w:r>
      <w:r w:rsidRPr="00A155FA">
        <w:rPr>
          <w:rFonts w:ascii="Times New Roman" w:eastAsia="Times New Roman" w:hAnsi="Times New Roman" w:cs="Times New Roman"/>
          <w:i/>
          <w:iCs/>
          <w:color w:val="222222"/>
        </w:rPr>
        <w:t xml:space="preserve">, </w:t>
      </w:r>
      <w:proofErr w:type="spellStart"/>
      <w:r w:rsidRPr="00A155FA">
        <w:rPr>
          <w:rFonts w:ascii="Times New Roman" w:eastAsia="Times New Roman" w:hAnsi="Times New Roman" w:cs="Times New Roman"/>
          <w:i/>
          <w:iCs/>
          <w:color w:val="222222"/>
        </w:rPr>
        <w:t>Cryptobranchus</w:t>
      </w:r>
      <w:proofErr w:type="spellEnd"/>
      <w:r w:rsidRPr="00A155FA">
        <w:rPr>
          <w:rFonts w:ascii="Times New Roman" w:eastAsia="Times New Roman" w:hAnsi="Times New Roman" w:cs="Times New Roman"/>
          <w:i/>
          <w:iCs/>
          <w:color w:val="222222"/>
        </w:rPr>
        <w:t xml:space="preserve"> </w:t>
      </w:r>
      <w:proofErr w:type="spellStart"/>
      <w:r w:rsidRPr="00A155FA">
        <w:rPr>
          <w:rFonts w:ascii="Times New Roman" w:eastAsia="Times New Roman" w:hAnsi="Times New Roman" w:cs="Times New Roman"/>
          <w:i/>
          <w:iCs/>
          <w:color w:val="222222"/>
        </w:rPr>
        <w:t>allegheniensis</w:t>
      </w:r>
      <w:proofErr w:type="spellEnd"/>
      <w:r w:rsidRPr="00A155FA">
        <w:rPr>
          <w:rFonts w:ascii="Times New Roman" w:eastAsia="Times New Roman" w:hAnsi="Times New Roman" w:cs="Times New Roman"/>
          <w:i/>
          <w:iCs/>
          <w:color w:val="222222"/>
        </w:rPr>
        <w:t xml:space="preserve"> </w:t>
      </w:r>
      <w:r w:rsidRPr="00A155FA">
        <w:rPr>
          <w:rFonts w:ascii="Times New Roman" w:eastAsia="Times New Roman" w:hAnsi="Times New Roman" w:cs="Times New Roman"/>
          <w:color w:val="222222"/>
        </w:rPr>
        <w:t xml:space="preserve">(9 </w:t>
      </w:r>
      <w:proofErr w:type="spellStart"/>
      <w:r w:rsidRPr="00A155FA">
        <w:rPr>
          <w:rFonts w:ascii="Times New Roman" w:eastAsia="Times New Roman" w:hAnsi="Times New Roman" w:cs="Times New Roman"/>
          <w:color w:val="222222"/>
        </w:rPr>
        <w:t>presacrals</w:t>
      </w:r>
      <w:proofErr w:type="spellEnd"/>
      <w:r w:rsidRPr="00A155FA">
        <w:rPr>
          <w:rFonts w:ascii="Times New Roman" w:eastAsia="Times New Roman" w:hAnsi="Times New Roman" w:cs="Times New Roman"/>
          <w:color w:val="222222"/>
        </w:rPr>
        <w:t>)</w:t>
      </w:r>
      <w:r w:rsidRPr="00A155FA">
        <w:rPr>
          <w:rFonts w:ascii="Times New Roman" w:eastAsia="Times New Roman" w:hAnsi="Times New Roman" w:cs="Times New Roman"/>
          <w:i/>
          <w:iCs/>
          <w:color w:val="222222"/>
        </w:rPr>
        <w:t xml:space="preserve">, </w:t>
      </w:r>
      <w:proofErr w:type="spellStart"/>
      <w:r w:rsidRPr="00A155FA">
        <w:rPr>
          <w:rFonts w:ascii="Times New Roman" w:eastAsia="Times New Roman" w:hAnsi="Times New Roman" w:cs="Times New Roman"/>
          <w:i/>
          <w:iCs/>
          <w:color w:val="222222"/>
        </w:rPr>
        <w:t>Hynobius</w:t>
      </w:r>
      <w:proofErr w:type="spellEnd"/>
      <w:r w:rsidRPr="00A155FA">
        <w:rPr>
          <w:rFonts w:ascii="Times New Roman" w:eastAsia="Times New Roman" w:hAnsi="Times New Roman" w:cs="Times New Roman"/>
          <w:i/>
          <w:iCs/>
          <w:color w:val="222222"/>
        </w:rPr>
        <w:t xml:space="preserve"> </w:t>
      </w:r>
      <w:r w:rsidRPr="00A155FA">
        <w:rPr>
          <w:rFonts w:ascii="Times New Roman" w:eastAsia="Times New Roman" w:hAnsi="Times New Roman" w:cs="Times New Roman"/>
          <w:color w:val="222222"/>
        </w:rPr>
        <w:t xml:space="preserve">(15–18 </w:t>
      </w:r>
      <w:proofErr w:type="spellStart"/>
      <w:r w:rsidRPr="00A155FA">
        <w:rPr>
          <w:rFonts w:ascii="Times New Roman" w:eastAsia="Times New Roman" w:hAnsi="Times New Roman" w:cs="Times New Roman"/>
          <w:color w:val="222222"/>
        </w:rPr>
        <w:t>presacrals</w:t>
      </w:r>
      <w:proofErr w:type="spellEnd"/>
      <w:r w:rsidRPr="00A155FA">
        <w:rPr>
          <w:rFonts w:ascii="Times New Roman" w:eastAsia="Times New Roman" w:hAnsi="Times New Roman" w:cs="Times New Roman"/>
          <w:color w:val="222222"/>
        </w:rPr>
        <w:t xml:space="preserve">), </w:t>
      </w:r>
      <w:proofErr w:type="spellStart"/>
      <w:r w:rsidRPr="00A155FA">
        <w:rPr>
          <w:rFonts w:ascii="Times New Roman" w:eastAsia="Times New Roman" w:hAnsi="Times New Roman" w:cs="Times New Roman"/>
          <w:i/>
          <w:iCs/>
          <w:color w:val="222222"/>
        </w:rPr>
        <w:t>Leptodactylus</w:t>
      </w:r>
      <w:proofErr w:type="spellEnd"/>
      <w:r w:rsidRPr="00A155FA">
        <w:rPr>
          <w:rFonts w:ascii="Times New Roman" w:eastAsia="Times New Roman" w:hAnsi="Times New Roman" w:cs="Times New Roman"/>
          <w:i/>
          <w:iCs/>
          <w:color w:val="222222"/>
        </w:rPr>
        <w:t xml:space="preserve"> </w:t>
      </w:r>
      <w:r w:rsidRPr="00A155FA">
        <w:rPr>
          <w:rFonts w:ascii="Times New Roman" w:eastAsia="Times New Roman" w:hAnsi="Times New Roman" w:cs="Times New Roman"/>
          <w:color w:val="222222"/>
        </w:rPr>
        <w:t xml:space="preserve">(8 </w:t>
      </w:r>
      <w:proofErr w:type="spellStart"/>
      <w:r w:rsidRPr="00A155FA">
        <w:rPr>
          <w:rFonts w:ascii="Times New Roman" w:eastAsia="Times New Roman" w:hAnsi="Times New Roman" w:cs="Times New Roman"/>
          <w:color w:val="222222"/>
        </w:rPr>
        <w:t>presacrals</w:t>
      </w:r>
      <w:proofErr w:type="spellEnd"/>
      <w:r w:rsidRPr="00A155FA">
        <w:rPr>
          <w:rFonts w:ascii="Times New Roman" w:eastAsia="Times New Roman" w:hAnsi="Times New Roman" w:cs="Times New Roman"/>
          <w:color w:val="222222"/>
        </w:rPr>
        <w:t xml:space="preserve">), and </w:t>
      </w:r>
      <w:r w:rsidRPr="00A155FA">
        <w:rPr>
          <w:rFonts w:ascii="Times New Roman" w:eastAsia="Times New Roman" w:hAnsi="Times New Roman" w:cs="Times New Roman"/>
          <w:i/>
          <w:iCs/>
          <w:color w:val="222222"/>
        </w:rPr>
        <w:t>Xenopus</w:t>
      </w:r>
      <w:r w:rsidRPr="00A155FA">
        <w:rPr>
          <w:rFonts w:ascii="Times New Roman" w:eastAsia="Times New Roman" w:hAnsi="Times New Roman" w:cs="Times New Roman"/>
          <w:color w:val="222222"/>
        </w:rPr>
        <w:t xml:space="preserve"> </w:t>
      </w:r>
      <w:r w:rsidRPr="00A155FA">
        <w:rPr>
          <w:rFonts w:ascii="Times New Roman" w:eastAsia="Times New Roman" w:hAnsi="Times New Roman" w:cs="Times New Roman"/>
          <w:i/>
          <w:iCs/>
          <w:color w:val="222222"/>
        </w:rPr>
        <w:t xml:space="preserve">tropicalis </w:t>
      </w:r>
      <w:r w:rsidRPr="00A155FA">
        <w:rPr>
          <w:rFonts w:ascii="Times New Roman" w:eastAsia="Times New Roman" w:hAnsi="Times New Roman" w:cs="Times New Roman"/>
          <w:color w:val="222222"/>
        </w:rPr>
        <w:t xml:space="preserve">(8 </w:t>
      </w:r>
      <w:proofErr w:type="spellStart"/>
      <w:r w:rsidRPr="00A155FA">
        <w:rPr>
          <w:rFonts w:ascii="Times New Roman" w:eastAsia="Times New Roman" w:hAnsi="Times New Roman" w:cs="Times New Roman"/>
          <w:color w:val="222222"/>
        </w:rPr>
        <w:t>presacrals</w:t>
      </w:r>
      <w:proofErr w:type="spellEnd"/>
      <w:r w:rsidRPr="00A155FA">
        <w:rPr>
          <w:rFonts w:ascii="Times New Roman" w:eastAsia="Times New Roman" w:hAnsi="Times New Roman" w:cs="Times New Roman"/>
          <w:color w:val="222222"/>
        </w:rPr>
        <w:t>)</w:t>
      </w:r>
      <w:r w:rsidRPr="00A155FA">
        <w:rPr>
          <w:rFonts w:ascii="Times New Roman" w:eastAsia="Times New Roman" w:hAnsi="Times New Roman" w:cs="Times New Roman"/>
          <w:i/>
          <w:iCs/>
          <w:color w:val="222222"/>
        </w:rPr>
        <w:t xml:space="preserve"> </w:t>
      </w:r>
      <w:r w:rsidRPr="00A155FA">
        <w:rPr>
          <w:rFonts w:ascii="Times New Roman" w:eastAsia="Times New Roman" w:hAnsi="Times New Roman" w:cs="Times New Roman"/>
          <w:color w:val="222222"/>
        </w:rPr>
        <w:t xml:space="preserve">among extant </w:t>
      </w:r>
      <w:proofErr w:type="spellStart"/>
      <w:r w:rsidRPr="00A155FA">
        <w:rPr>
          <w:rFonts w:ascii="Times New Roman" w:eastAsia="Times New Roman" w:hAnsi="Times New Roman" w:cs="Times New Roman"/>
          <w:color w:val="222222"/>
        </w:rPr>
        <w:t>lissamphians</w:t>
      </w:r>
      <w:proofErr w:type="spellEnd"/>
      <w:r w:rsidRPr="00A155FA">
        <w:rPr>
          <w:rFonts w:ascii="Times New Roman" w:eastAsia="Times New Roman" w:hAnsi="Times New Roman" w:cs="Times New Roman"/>
          <w:color w:val="222222"/>
        </w:rPr>
        <w:t xml:space="preserve">, and for </w:t>
      </w:r>
      <w:proofErr w:type="spellStart"/>
      <w:r w:rsidRPr="00A155FA">
        <w:rPr>
          <w:rFonts w:ascii="Times New Roman" w:eastAsia="Times New Roman" w:hAnsi="Times New Roman" w:cs="Times New Roman"/>
          <w:i/>
          <w:iCs/>
          <w:color w:val="222222"/>
        </w:rPr>
        <w:t>Karaurus</w:t>
      </w:r>
      <w:proofErr w:type="spellEnd"/>
      <w:r w:rsidRPr="00A155FA">
        <w:rPr>
          <w:rFonts w:ascii="Times New Roman" w:eastAsia="Times New Roman" w:hAnsi="Times New Roman" w:cs="Times New Roman"/>
          <w:i/>
          <w:iCs/>
          <w:color w:val="222222"/>
        </w:rPr>
        <w:t xml:space="preserve"> </w:t>
      </w:r>
      <w:r w:rsidRPr="00A155FA">
        <w:rPr>
          <w:rFonts w:ascii="Times New Roman" w:eastAsia="Times New Roman" w:hAnsi="Times New Roman" w:cs="Times New Roman"/>
          <w:color w:val="222222"/>
        </w:rPr>
        <w:t xml:space="preserve">(12–13 </w:t>
      </w:r>
      <w:proofErr w:type="spellStart"/>
      <w:r w:rsidRPr="00A155FA">
        <w:rPr>
          <w:rFonts w:ascii="Times New Roman" w:eastAsia="Times New Roman" w:hAnsi="Times New Roman" w:cs="Times New Roman"/>
          <w:color w:val="222222"/>
        </w:rPr>
        <w:t>presacrals</w:t>
      </w:r>
      <w:proofErr w:type="spellEnd"/>
      <w:r w:rsidRPr="00A155FA">
        <w:rPr>
          <w:rFonts w:ascii="Times New Roman" w:eastAsia="Times New Roman" w:hAnsi="Times New Roman" w:cs="Times New Roman"/>
          <w:color w:val="222222"/>
        </w:rPr>
        <w:t>)</w:t>
      </w:r>
      <w:r w:rsidRPr="00A155FA">
        <w:rPr>
          <w:rFonts w:ascii="Times New Roman" w:eastAsia="Times New Roman" w:hAnsi="Times New Roman" w:cs="Times New Roman"/>
          <w:i/>
          <w:iCs/>
          <w:color w:val="222222"/>
        </w:rPr>
        <w:t xml:space="preserve">, </w:t>
      </w:r>
      <w:proofErr w:type="spellStart"/>
      <w:r w:rsidRPr="00A155FA">
        <w:rPr>
          <w:rFonts w:ascii="Times New Roman" w:eastAsia="Times New Roman" w:hAnsi="Times New Roman" w:cs="Times New Roman"/>
          <w:i/>
          <w:iCs/>
          <w:color w:val="222222"/>
        </w:rPr>
        <w:t>Triadobatrachus</w:t>
      </w:r>
      <w:proofErr w:type="spellEnd"/>
      <w:r w:rsidRPr="00A155FA">
        <w:rPr>
          <w:rFonts w:ascii="Times New Roman" w:eastAsia="Times New Roman" w:hAnsi="Times New Roman" w:cs="Times New Roman"/>
          <w:i/>
          <w:iCs/>
          <w:color w:val="222222"/>
        </w:rPr>
        <w:t xml:space="preserve"> </w:t>
      </w:r>
      <w:r w:rsidRPr="00A155FA">
        <w:rPr>
          <w:rFonts w:ascii="Times New Roman" w:eastAsia="Times New Roman" w:hAnsi="Times New Roman" w:cs="Times New Roman"/>
          <w:color w:val="222222"/>
        </w:rPr>
        <w:t xml:space="preserve">(15 </w:t>
      </w:r>
      <w:proofErr w:type="spellStart"/>
      <w:r w:rsidRPr="00A155FA">
        <w:rPr>
          <w:rFonts w:ascii="Times New Roman" w:eastAsia="Times New Roman" w:hAnsi="Times New Roman" w:cs="Times New Roman"/>
          <w:color w:val="222222"/>
        </w:rPr>
        <w:t>presacrals</w:t>
      </w:r>
      <w:proofErr w:type="spellEnd"/>
      <w:r w:rsidRPr="00A155FA">
        <w:rPr>
          <w:rFonts w:ascii="Times New Roman" w:eastAsia="Times New Roman" w:hAnsi="Times New Roman" w:cs="Times New Roman"/>
          <w:color w:val="222222"/>
        </w:rPr>
        <w:t>),</w:t>
      </w:r>
      <w:r w:rsidRPr="00A155FA">
        <w:rPr>
          <w:rFonts w:ascii="Times New Roman" w:eastAsia="Times New Roman" w:hAnsi="Times New Roman" w:cs="Times New Roman"/>
          <w:i/>
          <w:iCs/>
          <w:color w:val="222222"/>
        </w:rPr>
        <w:t xml:space="preserve"> </w:t>
      </w:r>
      <w:r w:rsidRPr="00A155FA">
        <w:rPr>
          <w:rFonts w:ascii="Times New Roman" w:eastAsia="Times New Roman" w:hAnsi="Times New Roman" w:cs="Times New Roman"/>
          <w:color w:val="222222"/>
        </w:rPr>
        <w:t xml:space="preserve">and </w:t>
      </w:r>
      <w:proofErr w:type="spellStart"/>
      <w:r w:rsidRPr="00A155FA">
        <w:rPr>
          <w:rFonts w:ascii="Times New Roman" w:eastAsia="Times New Roman" w:hAnsi="Times New Roman" w:cs="Times New Roman"/>
          <w:i/>
          <w:iCs/>
          <w:color w:val="222222"/>
        </w:rPr>
        <w:t>Triassurus</w:t>
      </w:r>
      <w:proofErr w:type="spellEnd"/>
      <w:r w:rsidRPr="00A155FA">
        <w:rPr>
          <w:rFonts w:ascii="Times New Roman" w:eastAsia="Times New Roman" w:hAnsi="Times New Roman" w:cs="Times New Roman"/>
          <w:i/>
          <w:iCs/>
          <w:color w:val="222222"/>
        </w:rPr>
        <w:t xml:space="preserve"> </w:t>
      </w:r>
      <w:r w:rsidRPr="00A155FA">
        <w:rPr>
          <w:rFonts w:ascii="Times New Roman" w:eastAsia="Times New Roman" w:hAnsi="Times New Roman" w:cs="Times New Roman"/>
          <w:color w:val="222222"/>
        </w:rPr>
        <w:t xml:space="preserve">(16 </w:t>
      </w:r>
      <w:proofErr w:type="spellStart"/>
      <w:r w:rsidRPr="00A155FA">
        <w:rPr>
          <w:rFonts w:ascii="Times New Roman" w:eastAsia="Times New Roman" w:hAnsi="Times New Roman" w:cs="Times New Roman"/>
          <w:color w:val="222222"/>
        </w:rPr>
        <w:t>presacrals</w:t>
      </w:r>
      <w:proofErr w:type="spellEnd"/>
      <w:r w:rsidRPr="00A155FA">
        <w:rPr>
          <w:rFonts w:ascii="Times New Roman" w:eastAsia="Times New Roman" w:hAnsi="Times New Roman" w:cs="Times New Roman"/>
          <w:color w:val="222222"/>
        </w:rPr>
        <w:t>)</w:t>
      </w:r>
      <w:r w:rsidRPr="00A155FA">
        <w:rPr>
          <w:rFonts w:ascii="Times New Roman" w:eastAsia="Times New Roman" w:hAnsi="Times New Roman" w:cs="Times New Roman"/>
          <w:i/>
          <w:iCs/>
          <w:color w:val="222222"/>
        </w:rPr>
        <w:t xml:space="preserve"> </w:t>
      </w:r>
      <w:r w:rsidRPr="00A155FA">
        <w:rPr>
          <w:rFonts w:ascii="Times New Roman" w:eastAsia="Times New Roman" w:hAnsi="Times New Roman" w:cs="Times New Roman"/>
          <w:color w:val="222222"/>
        </w:rPr>
        <w:t xml:space="preserve">among extinct </w:t>
      </w:r>
      <w:proofErr w:type="spellStart"/>
      <w:r w:rsidRPr="00A155FA">
        <w:rPr>
          <w:rFonts w:ascii="Times New Roman" w:eastAsia="Times New Roman" w:hAnsi="Times New Roman" w:cs="Times New Roman"/>
          <w:color w:val="222222"/>
        </w:rPr>
        <w:t>lissamphibians</w:t>
      </w:r>
      <w:proofErr w:type="spellEnd"/>
      <w:r w:rsidRPr="00A155FA">
        <w:rPr>
          <w:rFonts w:ascii="Times New Roman" w:eastAsia="Times New Roman" w:hAnsi="Times New Roman" w:cs="Times New Roman"/>
          <w:color w:val="222222"/>
        </w:rPr>
        <w:t xml:space="preserve"> (number in parentheses represents presacral count). </w:t>
      </w:r>
      <w:r w:rsidRPr="00A155FA">
        <w:rPr>
          <w:rFonts w:ascii="Times New Roman" w:eastAsia="Times New Roman" w:hAnsi="Times New Roman" w:cs="Times New Roman"/>
          <w:i/>
          <w:iCs/>
          <w:color w:val="222222"/>
        </w:rPr>
        <w:t xml:space="preserve">Amphibamus </w:t>
      </w:r>
      <w:r w:rsidRPr="00A155FA">
        <w:rPr>
          <w:rFonts w:ascii="Times New Roman" w:eastAsia="Times New Roman" w:hAnsi="Times New Roman" w:cs="Times New Roman"/>
          <w:color w:val="222222"/>
        </w:rPr>
        <w:t xml:space="preserve">represents the upper bound for taxa coded for state 3, with a presumed 18 presacral positions (e.g., Clack &amp; Milner, 2010; Schoch &amp; Milner, 2014, as opposed to Schoch et al., 2020, in which they state it has 24). If state 3 is ‘&lt;19 presacral positions,’ this would also align with why </w:t>
      </w:r>
      <w:r w:rsidRPr="00A155FA">
        <w:rPr>
          <w:rFonts w:ascii="Times New Roman" w:eastAsia="Times New Roman" w:hAnsi="Times New Roman" w:cs="Times New Roman"/>
          <w:i/>
          <w:iCs/>
          <w:color w:val="222222"/>
        </w:rPr>
        <w:t xml:space="preserve">Apateon </w:t>
      </w:r>
      <w:r w:rsidRPr="00A155FA">
        <w:rPr>
          <w:rFonts w:ascii="Times New Roman" w:eastAsia="Times New Roman" w:hAnsi="Times New Roman" w:cs="Times New Roman"/>
          <w:color w:val="222222"/>
        </w:rPr>
        <w:t xml:space="preserve">(19–22 positions) was coded for state 2. </w:t>
      </w:r>
    </w:p>
    <w:p w14:paraId="6C5B2697" w14:textId="163763B0" w:rsidR="00FA06B2" w:rsidRPr="00A155FA" w:rsidRDefault="00FA06B2" w:rsidP="005229E5">
      <w:pPr>
        <w:pStyle w:val="ListParagraph"/>
        <w:numPr>
          <w:ilvl w:val="0"/>
          <w:numId w:val="8"/>
        </w:numPr>
        <w:rPr>
          <w:rFonts w:ascii="Times New Roman" w:eastAsia="Times New Roman" w:hAnsi="Times New Roman" w:cs="Times New Roman"/>
          <w:b/>
          <w:bCs/>
          <w:i/>
          <w:iCs/>
          <w:color w:val="222222"/>
        </w:rPr>
      </w:pPr>
      <w:r w:rsidRPr="00A155FA">
        <w:rPr>
          <w:rFonts w:ascii="Times New Roman" w:eastAsia="Times New Roman" w:hAnsi="Times New Roman" w:cs="Times New Roman"/>
          <w:b/>
          <w:bCs/>
          <w:color w:val="222222"/>
        </w:rPr>
        <w:t xml:space="preserve">170 (pleurocentrum (ventral extension)). Wedged between successive intercentra and not reaching ventral margin of intercentra (0), or pleurocentra ventrally expanded to near each other (1), or ventrally fused to form a single </w:t>
      </w:r>
      <w:proofErr w:type="spellStart"/>
      <w:r w:rsidRPr="00A155FA">
        <w:rPr>
          <w:rFonts w:ascii="Times New Roman" w:eastAsia="Times New Roman" w:hAnsi="Times New Roman" w:cs="Times New Roman"/>
          <w:b/>
          <w:bCs/>
          <w:color w:val="222222"/>
        </w:rPr>
        <w:t>cylindral</w:t>
      </w:r>
      <w:proofErr w:type="spellEnd"/>
      <w:r w:rsidRPr="00A155FA">
        <w:rPr>
          <w:rFonts w:ascii="Times New Roman" w:eastAsia="Times New Roman" w:hAnsi="Times New Roman" w:cs="Times New Roman"/>
          <w:b/>
          <w:bCs/>
          <w:color w:val="222222"/>
        </w:rPr>
        <w:t xml:space="preserve"> element (2).</w:t>
      </w:r>
    </w:p>
    <w:p w14:paraId="7FE46CF5" w14:textId="77777777" w:rsidR="00FA06B2" w:rsidRPr="00A155FA" w:rsidRDefault="00FA06B2" w:rsidP="005229E5">
      <w:pPr>
        <w:pStyle w:val="ListParagraph"/>
        <w:numPr>
          <w:ilvl w:val="1"/>
          <w:numId w:val="8"/>
        </w:numPr>
        <w:rPr>
          <w:rFonts w:ascii="Times New Roman" w:eastAsia="Times New Roman" w:hAnsi="Times New Roman" w:cs="Times New Roman"/>
          <w:b/>
          <w:bCs/>
          <w:i/>
          <w:iCs/>
          <w:color w:val="222222"/>
        </w:rPr>
      </w:pPr>
      <w:r w:rsidRPr="00A155FA">
        <w:rPr>
          <w:rFonts w:ascii="Times New Roman" w:eastAsia="Times New Roman" w:hAnsi="Times New Roman" w:cs="Times New Roman"/>
          <w:color w:val="222222"/>
        </w:rPr>
        <w:t>State 3 was introduced</w:t>
      </w:r>
      <w:r w:rsidRPr="00A155FA" w:rsidDel="00A54A23">
        <w:rPr>
          <w:rFonts w:ascii="Times New Roman" w:eastAsia="Times New Roman" w:hAnsi="Times New Roman" w:cs="Times New Roman"/>
          <w:color w:val="222222"/>
        </w:rPr>
        <w:t xml:space="preserve"> </w:t>
      </w:r>
      <w:r w:rsidRPr="00A155FA">
        <w:rPr>
          <w:rFonts w:ascii="Times New Roman" w:eastAsia="Times New Roman" w:hAnsi="Times New Roman" w:cs="Times New Roman"/>
          <w:color w:val="222222"/>
        </w:rPr>
        <w:t xml:space="preserve">by Schoch et al. (2020) without a detailed description. It was coded only in </w:t>
      </w:r>
      <w:r w:rsidRPr="00A155FA">
        <w:rPr>
          <w:rFonts w:ascii="Times New Roman" w:eastAsia="Times New Roman" w:hAnsi="Times New Roman" w:cs="Times New Roman"/>
          <w:i/>
          <w:iCs/>
          <w:color w:val="222222"/>
        </w:rPr>
        <w:t xml:space="preserve">Brachydectes </w:t>
      </w:r>
      <w:r w:rsidRPr="00A155FA">
        <w:rPr>
          <w:rFonts w:ascii="Times New Roman" w:eastAsia="Times New Roman" w:hAnsi="Times New Roman" w:cs="Times New Roman"/>
          <w:color w:val="222222"/>
        </w:rPr>
        <w:t xml:space="preserve">and </w:t>
      </w:r>
      <w:r w:rsidRPr="00A155FA">
        <w:rPr>
          <w:rFonts w:ascii="Times New Roman" w:eastAsia="Times New Roman" w:hAnsi="Times New Roman" w:cs="Times New Roman"/>
          <w:i/>
          <w:iCs/>
          <w:color w:val="222222"/>
        </w:rPr>
        <w:t xml:space="preserve">Batropetes </w:t>
      </w:r>
      <w:r w:rsidRPr="00A155FA">
        <w:rPr>
          <w:rFonts w:ascii="Times New Roman" w:eastAsia="Times New Roman" w:hAnsi="Times New Roman" w:cs="Times New Roman"/>
          <w:color w:val="222222"/>
        </w:rPr>
        <w:t>and is inferred here to represent the condition where the pleurocentra fuse with the intercentra to form a single centrum (</w:t>
      </w:r>
      <w:proofErr w:type="spellStart"/>
      <w:r w:rsidRPr="00A155FA">
        <w:rPr>
          <w:rFonts w:ascii="Times New Roman" w:eastAsia="Times New Roman" w:hAnsi="Times New Roman" w:cs="Times New Roman"/>
          <w:color w:val="222222"/>
        </w:rPr>
        <w:t>holospondyly</w:t>
      </w:r>
      <w:proofErr w:type="spellEnd"/>
      <w:r w:rsidRPr="00A155FA">
        <w:rPr>
          <w:rFonts w:ascii="Times New Roman" w:eastAsia="Times New Roman" w:hAnsi="Times New Roman" w:cs="Times New Roman"/>
          <w:color w:val="222222"/>
        </w:rPr>
        <w:t xml:space="preserve">). It remains to be tested whether this indeed occurs in these taxa specifically, or whether all early tetrapods with this external condition share a homologous condition (see previous discussion of the centra of plagiosaurids). </w:t>
      </w:r>
      <w:proofErr w:type="spellStart"/>
      <w:r w:rsidRPr="00A155FA">
        <w:rPr>
          <w:rFonts w:ascii="Times New Roman" w:eastAsia="Times New Roman" w:hAnsi="Times New Roman" w:cs="Times New Roman"/>
          <w:color w:val="222222"/>
        </w:rPr>
        <w:t>Codings</w:t>
      </w:r>
      <w:proofErr w:type="spellEnd"/>
      <w:r w:rsidRPr="00A155FA">
        <w:rPr>
          <w:rFonts w:ascii="Times New Roman" w:eastAsia="Times New Roman" w:hAnsi="Times New Roman" w:cs="Times New Roman"/>
          <w:color w:val="222222"/>
        </w:rPr>
        <w:t xml:space="preserve"> for this character are unchanged herein.</w:t>
      </w:r>
    </w:p>
    <w:p w14:paraId="7934E7D0" w14:textId="28B5C718" w:rsidR="00FA06B2" w:rsidRPr="00A155FA" w:rsidRDefault="00FA06B2" w:rsidP="005229E5">
      <w:pPr>
        <w:pStyle w:val="ListParagraph"/>
        <w:numPr>
          <w:ilvl w:val="0"/>
          <w:numId w:val="8"/>
        </w:numPr>
        <w:rPr>
          <w:rFonts w:ascii="Times New Roman" w:eastAsia="Times New Roman" w:hAnsi="Times New Roman" w:cs="Times New Roman"/>
          <w:b/>
          <w:bCs/>
          <w:i/>
          <w:iCs/>
          <w:color w:val="222222"/>
        </w:rPr>
      </w:pPr>
      <w:r w:rsidRPr="00A155FA">
        <w:rPr>
          <w:rFonts w:ascii="Times New Roman" w:eastAsia="Times New Roman" w:hAnsi="Times New Roman" w:cs="Times New Roman"/>
          <w:b/>
          <w:bCs/>
          <w:color w:val="222222"/>
        </w:rPr>
        <w:t xml:space="preserve">171 (ribs (length)). </w:t>
      </w:r>
      <w:r w:rsidRPr="00A155FA">
        <w:rPr>
          <w:rFonts w:ascii="Times New Roman" w:eastAsia="Times New Roman" w:hAnsi="Times New Roman" w:cs="Times New Roman"/>
          <w:color w:val="222222"/>
        </w:rPr>
        <w:t>Moderately elongate thoracic ribs curved distoventrally (0), or such ribs foreshortened without distal curvature (1).</w:t>
      </w:r>
    </w:p>
    <w:p w14:paraId="7DAE1DA8" w14:textId="77777777" w:rsidR="00FA06B2" w:rsidRPr="00A155FA" w:rsidRDefault="00FA06B2" w:rsidP="005229E5">
      <w:pPr>
        <w:pStyle w:val="ListParagraph"/>
        <w:numPr>
          <w:ilvl w:val="1"/>
          <w:numId w:val="8"/>
        </w:numPr>
        <w:rPr>
          <w:rFonts w:ascii="Times New Roman" w:eastAsia="Times New Roman" w:hAnsi="Times New Roman" w:cs="Times New Roman"/>
          <w:b/>
          <w:bCs/>
          <w:i/>
          <w:iCs/>
          <w:color w:val="222222"/>
        </w:rPr>
      </w:pPr>
      <w:r w:rsidRPr="00A155FA">
        <w:rPr>
          <w:rFonts w:ascii="Times New Roman" w:eastAsia="Times New Roman" w:hAnsi="Times New Roman" w:cs="Times New Roman"/>
          <w:color w:val="222222"/>
        </w:rPr>
        <w:t xml:space="preserve">State 2 was introduced by Schoch et al. (2020) without a detailed description. It was coded only in </w:t>
      </w:r>
      <w:r w:rsidRPr="00A155FA">
        <w:rPr>
          <w:rFonts w:ascii="Times New Roman" w:eastAsia="Times New Roman" w:hAnsi="Times New Roman" w:cs="Times New Roman"/>
          <w:i/>
          <w:iCs/>
          <w:color w:val="222222"/>
        </w:rPr>
        <w:t xml:space="preserve">Brachydectes </w:t>
      </w:r>
      <w:r w:rsidRPr="00A155FA">
        <w:rPr>
          <w:rFonts w:ascii="Times New Roman" w:eastAsia="Times New Roman" w:hAnsi="Times New Roman" w:cs="Times New Roman"/>
          <w:color w:val="222222"/>
        </w:rPr>
        <w:t xml:space="preserve">and </w:t>
      </w:r>
      <w:r w:rsidRPr="00A155FA">
        <w:rPr>
          <w:rFonts w:ascii="Times New Roman" w:eastAsia="Times New Roman" w:hAnsi="Times New Roman" w:cs="Times New Roman"/>
          <w:i/>
          <w:iCs/>
          <w:color w:val="222222"/>
        </w:rPr>
        <w:t xml:space="preserve">Batropetes </w:t>
      </w:r>
      <w:r w:rsidRPr="00A155FA">
        <w:rPr>
          <w:rFonts w:ascii="Times New Roman" w:eastAsia="Times New Roman" w:hAnsi="Times New Roman" w:cs="Times New Roman"/>
          <w:color w:val="222222"/>
        </w:rPr>
        <w:t xml:space="preserve">(this character was not coded for the third ‘lepospondyl’ added by these authors, </w:t>
      </w:r>
      <w:r w:rsidRPr="00A155FA">
        <w:rPr>
          <w:rFonts w:ascii="Times New Roman" w:eastAsia="Times New Roman" w:hAnsi="Times New Roman" w:cs="Times New Roman"/>
          <w:i/>
          <w:iCs/>
          <w:color w:val="222222"/>
        </w:rPr>
        <w:t>Rhynchonkos</w:t>
      </w:r>
      <w:r w:rsidRPr="00A155FA">
        <w:rPr>
          <w:rFonts w:ascii="Times New Roman" w:eastAsia="Times New Roman" w:hAnsi="Times New Roman" w:cs="Times New Roman"/>
          <w:color w:val="222222"/>
        </w:rPr>
        <w:t xml:space="preserve">). Both of these taxa have ribs with distoventral curvature (e.g., Carroll &amp; Gaskill, 1978:figs. 95–96; </w:t>
      </w:r>
      <w:proofErr w:type="spellStart"/>
      <w:r w:rsidRPr="00A155FA">
        <w:rPr>
          <w:rFonts w:ascii="Times New Roman" w:eastAsia="Times New Roman" w:hAnsi="Times New Roman" w:cs="Times New Roman"/>
          <w:color w:val="222222"/>
        </w:rPr>
        <w:lastRenderedPageBreak/>
        <w:t>Wellstead</w:t>
      </w:r>
      <w:proofErr w:type="spellEnd"/>
      <w:r w:rsidRPr="00A155FA">
        <w:rPr>
          <w:rFonts w:ascii="Times New Roman" w:eastAsia="Times New Roman" w:hAnsi="Times New Roman" w:cs="Times New Roman"/>
          <w:color w:val="222222"/>
        </w:rPr>
        <w:t xml:space="preserve">, 1991:fig. 1; Carroll, 1991:fig. 3). Their relative length differs greatly in perception at least because lysorophians like </w:t>
      </w:r>
      <w:r w:rsidRPr="00A155FA">
        <w:rPr>
          <w:rFonts w:ascii="Times New Roman" w:eastAsia="Times New Roman" w:hAnsi="Times New Roman" w:cs="Times New Roman"/>
          <w:i/>
          <w:iCs/>
          <w:color w:val="222222"/>
        </w:rPr>
        <w:t xml:space="preserve">Brachydectes </w:t>
      </w:r>
      <w:r w:rsidRPr="00A155FA">
        <w:rPr>
          <w:rFonts w:ascii="Times New Roman" w:eastAsia="Times New Roman" w:hAnsi="Times New Roman" w:cs="Times New Roman"/>
          <w:color w:val="222222"/>
        </w:rPr>
        <w:t xml:space="preserve">have greatly elongated trunks at least twice as long most temnospondyls, while </w:t>
      </w:r>
      <w:r w:rsidRPr="00A155FA">
        <w:rPr>
          <w:rFonts w:ascii="Times New Roman" w:eastAsia="Times New Roman" w:hAnsi="Times New Roman" w:cs="Times New Roman"/>
          <w:i/>
          <w:iCs/>
          <w:color w:val="222222"/>
        </w:rPr>
        <w:t xml:space="preserve">Batropetes </w:t>
      </w:r>
      <w:r w:rsidRPr="00A155FA">
        <w:rPr>
          <w:rFonts w:ascii="Times New Roman" w:eastAsia="Times New Roman" w:hAnsi="Times New Roman" w:cs="Times New Roman"/>
          <w:color w:val="222222"/>
        </w:rPr>
        <w:t xml:space="preserve">has a shortened trunk similar to that of some early diverging lissamphibians. The ribcage of </w:t>
      </w:r>
      <w:r w:rsidRPr="00A155FA">
        <w:rPr>
          <w:rFonts w:ascii="Times New Roman" w:eastAsia="Times New Roman" w:hAnsi="Times New Roman" w:cs="Times New Roman"/>
          <w:i/>
          <w:iCs/>
          <w:color w:val="222222"/>
        </w:rPr>
        <w:t xml:space="preserve">Brachydectes </w:t>
      </w:r>
      <w:r w:rsidRPr="00A155FA">
        <w:rPr>
          <w:rFonts w:ascii="Times New Roman" w:eastAsia="Times New Roman" w:hAnsi="Times New Roman" w:cs="Times New Roman"/>
          <w:color w:val="222222"/>
        </w:rPr>
        <w:t xml:space="preserve">also expands notably in width towards the mid-length of the trunk before tapering again towards the pelvis. The only immediate hypothesis for what state 2 represents is an intermediary state between the two existing states: either moderately elongate ribs that are not curved distally (not observed in these taxa) or short ribs with distal curvature (‘short’ being arbitrary). The character is not modified in light of this uncertainty and because it apparently only serves to differentiate some ‘lepospondyls’ from other taxa, but this will require future redress if the </w:t>
      </w:r>
      <w:proofErr w:type="spellStart"/>
      <w:r w:rsidRPr="00A155FA">
        <w:rPr>
          <w:rFonts w:ascii="Times New Roman" w:eastAsia="Times New Roman" w:hAnsi="Times New Roman" w:cs="Times New Roman"/>
          <w:color w:val="222222"/>
        </w:rPr>
        <w:t>taxon</w:t>
      </w:r>
      <w:proofErr w:type="spellEnd"/>
      <w:r w:rsidRPr="00A155FA">
        <w:rPr>
          <w:rFonts w:ascii="Times New Roman" w:eastAsia="Times New Roman" w:hAnsi="Times New Roman" w:cs="Times New Roman"/>
          <w:color w:val="222222"/>
        </w:rPr>
        <w:t xml:space="preserve"> sample is expanded.</w:t>
      </w:r>
    </w:p>
    <w:p w14:paraId="1BB4A30E" w14:textId="4D006F4F" w:rsidR="00FA06B2" w:rsidRPr="00A155FA" w:rsidRDefault="00FA06B2" w:rsidP="005229E5">
      <w:pPr>
        <w:pStyle w:val="ListParagraph"/>
        <w:numPr>
          <w:ilvl w:val="0"/>
          <w:numId w:val="8"/>
        </w:numPr>
        <w:rPr>
          <w:rFonts w:ascii="Times New Roman" w:eastAsia="Times New Roman" w:hAnsi="Times New Roman" w:cs="Times New Roman"/>
          <w:b/>
          <w:bCs/>
          <w:color w:val="222222"/>
        </w:rPr>
      </w:pPr>
      <w:r w:rsidRPr="00A155FA">
        <w:rPr>
          <w:rFonts w:ascii="Times New Roman" w:eastAsia="Times New Roman" w:hAnsi="Times New Roman" w:cs="Times New Roman"/>
          <w:b/>
          <w:bCs/>
          <w:color w:val="222222"/>
        </w:rPr>
        <w:t>201 (ilium (orientation)). Main axis of shaft inclined posterodorsally (0), or vertical (1).</w:t>
      </w:r>
    </w:p>
    <w:p w14:paraId="7BE00EA6" w14:textId="77777777" w:rsidR="00FA06B2" w:rsidRPr="00A155FA" w:rsidRDefault="00FA06B2" w:rsidP="005229E5">
      <w:pPr>
        <w:pStyle w:val="ListParagraph"/>
        <w:numPr>
          <w:ilvl w:val="1"/>
          <w:numId w:val="8"/>
        </w:numPr>
        <w:rPr>
          <w:rFonts w:ascii="Times New Roman" w:eastAsia="Times New Roman" w:hAnsi="Times New Roman" w:cs="Times New Roman"/>
          <w:color w:val="222222"/>
        </w:rPr>
      </w:pPr>
      <w:r w:rsidRPr="00A155FA">
        <w:rPr>
          <w:rFonts w:ascii="Times New Roman" w:eastAsia="Times New Roman" w:hAnsi="Times New Roman" w:cs="Times New Roman"/>
          <w:color w:val="222222"/>
        </w:rPr>
        <w:t>State 2 is defined herein as ‘anteriorly.’</w:t>
      </w:r>
    </w:p>
    <w:p w14:paraId="5D9EE9D8" w14:textId="77777777" w:rsidR="00FA06B2" w:rsidRPr="00A155FA" w:rsidRDefault="00FA06B2" w:rsidP="009C1A18">
      <w:pPr>
        <w:tabs>
          <w:tab w:val="left" w:pos="2860"/>
        </w:tabs>
        <w:rPr>
          <w:b/>
          <w:bCs/>
          <w:u w:val="single"/>
        </w:rPr>
      </w:pPr>
    </w:p>
    <w:p w14:paraId="347DE0E8" w14:textId="67068905" w:rsidR="00FA06B2" w:rsidRPr="00A155FA" w:rsidRDefault="00FA06B2" w:rsidP="009C1A18">
      <w:pPr>
        <w:tabs>
          <w:tab w:val="left" w:pos="2860"/>
        </w:tabs>
        <w:rPr>
          <w:b/>
          <w:bCs/>
        </w:rPr>
      </w:pPr>
      <w:r w:rsidRPr="00A155FA">
        <w:rPr>
          <w:b/>
          <w:bCs/>
        </w:rPr>
        <w:t xml:space="preserve">Character specific changes. </w:t>
      </w:r>
      <w:r w:rsidRPr="00A155FA">
        <w:t>The following comments pertain to characters in their entirety, including but not limited to, issues with character construction, character dependencies, and character redundancies. Character numbering in this section refers to the original numbering of Schoch et al. (2020) regardless of the omission of several from the dataset used in our analyses (Characters 14, 78, 81, 115, 232, 253, 352); the new numbering scheme is detailed in Supplementary Information 8. Taxa are listed only by the genus for readability, as no genus has more than one species sampled in this matrix. Lists of taxa are ordered following their order in the matrix.</w:t>
      </w:r>
    </w:p>
    <w:p w14:paraId="5C29EB29" w14:textId="77777777" w:rsidR="00FA06B2" w:rsidRPr="00A155FA" w:rsidRDefault="00FA06B2" w:rsidP="005229E5">
      <w:pPr>
        <w:pStyle w:val="ListParagraph"/>
        <w:numPr>
          <w:ilvl w:val="0"/>
          <w:numId w:val="3"/>
        </w:numPr>
        <w:tabs>
          <w:tab w:val="left" w:pos="2860"/>
        </w:tabs>
        <w:rPr>
          <w:rFonts w:ascii="Times New Roman" w:eastAsia="Times New Roman" w:hAnsi="Times New Roman" w:cs="Times New Roman"/>
          <w:color w:val="222222"/>
        </w:rPr>
      </w:pPr>
      <w:r w:rsidRPr="00A155FA">
        <w:rPr>
          <w:rFonts w:ascii="Times New Roman" w:eastAsia="Times New Roman" w:hAnsi="Times New Roman" w:cs="Times New Roman"/>
          <w:b/>
          <w:bCs/>
          <w:color w:val="222222"/>
        </w:rPr>
        <w:t xml:space="preserve">4 (ornament, snout): </w:t>
      </w:r>
      <w:r w:rsidRPr="00A155FA">
        <w:rPr>
          <w:rFonts w:ascii="Times New Roman" w:eastAsia="Times New Roman" w:hAnsi="Times New Roman" w:cs="Times New Roman"/>
          <w:color w:val="222222"/>
        </w:rPr>
        <w:t xml:space="preserve">a third state (numerous circular to subcircular pits) is added to capture the condition found in gymnophionomorphs. </w:t>
      </w:r>
    </w:p>
    <w:p w14:paraId="4F2F7DA7" w14:textId="77777777" w:rsidR="00FA06B2" w:rsidRPr="00A155FA" w:rsidRDefault="00FA06B2" w:rsidP="005229E5">
      <w:pPr>
        <w:pStyle w:val="ListParagraph"/>
        <w:numPr>
          <w:ilvl w:val="1"/>
          <w:numId w:val="3"/>
        </w:numPr>
        <w:tabs>
          <w:tab w:val="left" w:pos="2860"/>
        </w:tabs>
        <w:rPr>
          <w:rFonts w:ascii="Times New Roman" w:eastAsia="Times New Roman" w:hAnsi="Times New Roman" w:cs="Times New Roman"/>
          <w:color w:val="222222"/>
        </w:rPr>
      </w:pPr>
      <w:r w:rsidRPr="00A155FA">
        <w:rPr>
          <w:rFonts w:ascii="Times New Roman" w:eastAsia="Times New Roman" w:hAnsi="Times New Roman" w:cs="Times New Roman"/>
          <w:i/>
          <w:iCs/>
          <w:color w:val="222222"/>
        </w:rPr>
        <w:t>Ichthyophis, Epicrionops</w:t>
      </w:r>
      <w:r w:rsidRPr="00A155FA">
        <w:rPr>
          <w:rFonts w:ascii="Times New Roman" w:eastAsia="Times New Roman" w:hAnsi="Times New Roman" w:cs="Times New Roman"/>
          <w:color w:val="222222"/>
        </w:rPr>
        <w:t xml:space="preserve">, and </w:t>
      </w:r>
      <w:r w:rsidRPr="00A155FA">
        <w:rPr>
          <w:rFonts w:ascii="Times New Roman" w:eastAsia="Times New Roman" w:hAnsi="Times New Roman" w:cs="Times New Roman"/>
          <w:i/>
          <w:iCs/>
          <w:color w:val="222222"/>
        </w:rPr>
        <w:t xml:space="preserve">Eocaecilia </w:t>
      </w:r>
      <w:r w:rsidRPr="00A155FA">
        <w:rPr>
          <w:rFonts w:ascii="Times New Roman" w:eastAsia="Times New Roman" w:hAnsi="Times New Roman" w:cs="Times New Roman"/>
          <w:color w:val="222222"/>
        </w:rPr>
        <w:t>were recoded to the new state 4–2.</w:t>
      </w:r>
    </w:p>
    <w:p w14:paraId="6BF44FE0" w14:textId="308D2506" w:rsidR="00FA06B2" w:rsidRPr="007A0A6B" w:rsidRDefault="00FA06B2" w:rsidP="00A30351">
      <w:pPr>
        <w:pStyle w:val="ListParagraph"/>
        <w:numPr>
          <w:ilvl w:val="0"/>
          <w:numId w:val="3"/>
        </w:numPr>
        <w:tabs>
          <w:tab w:val="left" w:pos="2860"/>
        </w:tabs>
        <w:rPr>
          <w:rFonts w:ascii="Times New Roman" w:eastAsia="Times New Roman" w:hAnsi="Times New Roman" w:cs="Times New Roman"/>
          <w:color w:val="222222"/>
        </w:rPr>
      </w:pPr>
      <w:r w:rsidRPr="00A155FA">
        <w:rPr>
          <w:rFonts w:ascii="Times New Roman" w:hAnsi="Times New Roman" w:cs="Times New Roman"/>
          <w:b/>
          <w:bCs/>
        </w:rPr>
        <w:t xml:space="preserve">13 (premaxillary foramen); 14 (premaxillary fontanelle): </w:t>
      </w:r>
      <w:r w:rsidRPr="00A155FA">
        <w:rPr>
          <w:rFonts w:ascii="Times New Roman" w:hAnsi="Times New Roman" w:cs="Times New Roman"/>
        </w:rPr>
        <w:t xml:space="preserve">character 13 refers to a small opening at the tip of the snout typically called the ‘internarial fenestra’, ‘internarial pit,’ or ‘internarial fontanelle’ in temnospondyls (e.g., Dilkes &amp; Reisz, 1987:3; Clack &amp; Milner, 2010:279; Milner, 2018:217; Schoch, 2019a:144). Character 14 appears to refer to the enlarged opening found in zatracheids that is convergent with a large fontanelle found in many lissamphibians that is larger than the ‘foramen of temnospondyls but smaller than the ‘fontanelle’ of zatracheids. </w:t>
      </w:r>
    </w:p>
    <w:p w14:paraId="16A926E9" w14:textId="77777777" w:rsidR="00FA06B2" w:rsidRPr="00A155FA" w:rsidRDefault="00FA06B2" w:rsidP="00A30351">
      <w:pPr>
        <w:pStyle w:val="ListParagraph"/>
        <w:numPr>
          <w:ilvl w:val="1"/>
          <w:numId w:val="3"/>
        </w:numPr>
        <w:rPr>
          <w:rFonts w:ascii="Times New Roman" w:eastAsia="Times New Roman" w:hAnsi="Times New Roman" w:cs="Times New Roman"/>
          <w:color w:val="222222"/>
        </w:rPr>
      </w:pPr>
      <w:r w:rsidRPr="00A155FA">
        <w:rPr>
          <w:rFonts w:ascii="Times New Roman" w:eastAsia="Times New Roman" w:hAnsi="Times New Roman" w:cs="Times New Roman"/>
          <w:b/>
          <w:bCs/>
          <w:color w:val="222222"/>
        </w:rPr>
        <w:t xml:space="preserve">13. Premaxillary foramen. </w:t>
      </w:r>
      <w:r w:rsidRPr="00A155FA">
        <w:rPr>
          <w:rFonts w:ascii="Times New Roman" w:eastAsia="Times New Roman" w:hAnsi="Times New Roman" w:cs="Times New Roman"/>
          <w:color w:val="222222"/>
        </w:rPr>
        <w:t>Premaxilla and nasal completely sutured (0), or medially bearing an opening separating the two alary processes of the premaxilla (1). [</w:t>
      </w:r>
      <w:r w:rsidRPr="00A155FA">
        <w:rPr>
          <w:rFonts w:ascii="Times New Roman" w:eastAsia="Times New Roman" w:hAnsi="Times New Roman" w:cs="Times New Roman"/>
          <w:i/>
          <w:iCs/>
          <w:color w:val="222222"/>
        </w:rPr>
        <w:t>added by Schoch, 2013</w:t>
      </w:r>
      <w:r w:rsidRPr="00A155FA">
        <w:rPr>
          <w:rFonts w:ascii="Times New Roman" w:eastAsia="Times New Roman" w:hAnsi="Times New Roman" w:cs="Times New Roman"/>
          <w:color w:val="222222"/>
        </w:rPr>
        <w:t>]</w:t>
      </w:r>
    </w:p>
    <w:p w14:paraId="724666B9" w14:textId="77777777" w:rsidR="00FA06B2" w:rsidRPr="007A0A6B" w:rsidRDefault="00FA06B2" w:rsidP="007A0A6B">
      <w:pPr>
        <w:pStyle w:val="ListParagraph"/>
        <w:numPr>
          <w:ilvl w:val="1"/>
          <w:numId w:val="3"/>
        </w:numPr>
        <w:rPr>
          <w:rFonts w:ascii="Times New Roman" w:eastAsia="Times New Roman" w:hAnsi="Times New Roman" w:cs="Times New Roman"/>
          <w:color w:val="222222"/>
        </w:rPr>
      </w:pPr>
      <w:r w:rsidRPr="00A155FA">
        <w:rPr>
          <w:rFonts w:ascii="Times New Roman" w:eastAsia="Times New Roman" w:hAnsi="Times New Roman" w:cs="Times New Roman"/>
          <w:b/>
          <w:bCs/>
          <w:color w:val="222222"/>
        </w:rPr>
        <w:t>14. Premaxillary fontanelle.</w:t>
      </w:r>
      <w:r w:rsidRPr="00A155FA">
        <w:rPr>
          <w:rFonts w:ascii="Times New Roman" w:eastAsia="Times New Roman" w:hAnsi="Times New Roman" w:cs="Times New Roman"/>
          <w:color w:val="222222"/>
        </w:rPr>
        <w:t xml:space="preserve"> Premaxillae with or without small opening (0), or encircling large fenestra extending posteriorly between the nasals (1). [</w:t>
      </w:r>
      <w:r w:rsidRPr="00A155FA">
        <w:rPr>
          <w:rFonts w:ascii="Times New Roman" w:eastAsia="Times New Roman" w:hAnsi="Times New Roman" w:cs="Times New Roman"/>
          <w:i/>
          <w:iCs/>
          <w:color w:val="222222"/>
        </w:rPr>
        <w:t>added by Schoch, 2013</w:t>
      </w:r>
      <w:r w:rsidRPr="00A155FA">
        <w:rPr>
          <w:rFonts w:ascii="Times New Roman" w:eastAsia="Times New Roman" w:hAnsi="Times New Roman" w:cs="Times New Roman"/>
          <w:color w:val="222222"/>
        </w:rPr>
        <w:t>]</w:t>
      </w:r>
    </w:p>
    <w:p w14:paraId="11DFBC40" w14:textId="77777777" w:rsidR="00FA06B2" w:rsidRPr="00A155FA" w:rsidRDefault="00FA06B2" w:rsidP="007A0A6B">
      <w:pPr>
        <w:pStyle w:val="ListParagraph"/>
        <w:tabs>
          <w:tab w:val="left" w:pos="2860"/>
        </w:tabs>
        <w:rPr>
          <w:rFonts w:ascii="Times New Roman" w:eastAsia="Times New Roman" w:hAnsi="Times New Roman" w:cs="Times New Roman"/>
          <w:color w:val="222222"/>
        </w:rPr>
      </w:pPr>
      <w:r w:rsidRPr="00A155FA">
        <w:rPr>
          <w:rFonts w:ascii="Times New Roman" w:hAnsi="Times New Roman" w:cs="Times New Roman"/>
        </w:rPr>
        <w:t xml:space="preserve">All taxa coded for state 14–1 (fontanelle present) were coded for state 13–1 (fenestra present), but in none of these taxa are there two separate openings framed between the premaxilla and nasal (the internasal opening of </w:t>
      </w:r>
      <w:r w:rsidRPr="00A155FA">
        <w:rPr>
          <w:rFonts w:ascii="Times New Roman" w:hAnsi="Times New Roman" w:cs="Times New Roman"/>
          <w:i/>
          <w:iCs/>
        </w:rPr>
        <w:t xml:space="preserve">Kokartus </w:t>
      </w:r>
      <w:r w:rsidRPr="00A155FA">
        <w:rPr>
          <w:rFonts w:ascii="Times New Roman" w:hAnsi="Times New Roman" w:cs="Times New Roman"/>
        </w:rPr>
        <w:t xml:space="preserve">is considered to be a separate condition not homologous to 14–1 because it is entirely within the nasals; Skutschas &amp; Martin, 2011). This is therefore a partial dependency (there must be a premaxillary foramen whenever there is a premaxillary fontanelle; or conversely, there cannot be a </w:t>
      </w:r>
      <w:r w:rsidRPr="00A155FA">
        <w:rPr>
          <w:rFonts w:ascii="Times New Roman" w:hAnsi="Times New Roman" w:cs="Times New Roman"/>
        </w:rPr>
        <w:lastRenderedPageBreak/>
        <w:t xml:space="preserve">fontanelle if there is no foramen). There is also a question of whether </w:t>
      </w:r>
      <w:r w:rsidRPr="00A155FA">
        <w:rPr>
          <w:rFonts w:ascii="Times New Roman" w:hAnsi="Times New Roman" w:cs="Times New Roman"/>
          <w:i/>
          <w:iCs/>
        </w:rPr>
        <w:t xml:space="preserve">Acanthostomatops </w:t>
      </w:r>
      <w:r w:rsidRPr="00A155FA">
        <w:rPr>
          <w:rFonts w:ascii="Times New Roman" w:hAnsi="Times New Roman" w:cs="Times New Roman"/>
        </w:rPr>
        <w:t xml:space="preserve">should be coded the same as </w:t>
      </w:r>
      <w:r w:rsidRPr="00A155FA">
        <w:rPr>
          <w:rFonts w:ascii="Times New Roman" w:hAnsi="Times New Roman" w:cs="Times New Roman"/>
          <w:i/>
          <w:iCs/>
        </w:rPr>
        <w:t xml:space="preserve">Zatrachys. </w:t>
      </w:r>
      <w:r w:rsidRPr="00A155FA">
        <w:rPr>
          <w:rFonts w:ascii="Times New Roman" w:hAnsi="Times New Roman" w:cs="Times New Roman"/>
        </w:rPr>
        <w:t xml:space="preserve">While a large fontanelle diagnoses the clade (e.g., Schoch &amp; Milner, 2014), the opening in </w:t>
      </w:r>
      <w:r w:rsidRPr="00A155FA">
        <w:rPr>
          <w:rFonts w:ascii="Times New Roman" w:hAnsi="Times New Roman" w:cs="Times New Roman"/>
          <w:i/>
          <w:iCs/>
        </w:rPr>
        <w:t xml:space="preserve">Acanthostomatops </w:t>
      </w:r>
      <w:r w:rsidRPr="00A155FA">
        <w:rPr>
          <w:rFonts w:ascii="Times New Roman" w:hAnsi="Times New Roman" w:cs="Times New Roman"/>
        </w:rPr>
        <w:t xml:space="preserve">is substantially smaller than in either </w:t>
      </w:r>
      <w:r w:rsidRPr="00A155FA">
        <w:rPr>
          <w:rFonts w:ascii="Times New Roman" w:hAnsi="Times New Roman" w:cs="Times New Roman"/>
          <w:i/>
          <w:iCs/>
        </w:rPr>
        <w:t xml:space="preserve">Zatrachys </w:t>
      </w:r>
      <w:r w:rsidRPr="00A155FA">
        <w:rPr>
          <w:rFonts w:ascii="Times New Roman" w:hAnsi="Times New Roman" w:cs="Times New Roman"/>
        </w:rPr>
        <w:t xml:space="preserve">or in </w:t>
      </w:r>
      <w:r w:rsidRPr="00A155FA">
        <w:rPr>
          <w:rFonts w:ascii="Times New Roman" w:hAnsi="Times New Roman" w:cs="Times New Roman"/>
          <w:i/>
          <w:iCs/>
        </w:rPr>
        <w:t xml:space="preserve">Dasyceps </w:t>
      </w:r>
      <w:r w:rsidRPr="00A155FA">
        <w:rPr>
          <w:rFonts w:ascii="Times New Roman" w:hAnsi="Times New Roman" w:cs="Times New Roman"/>
        </w:rPr>
        <w:t xml:space="preserve">(the latter is not sampled). It barely divides the nasals posteriorly in </w:t>
      </w:r>
      <w:r w:rsidRPr="00A155FA">
        <w:rPr>
          <w:rFonts w:ascii="Times New Roman" w:hAnsi="Times New Roman" w:cs="Times New Roman"/>
          <w:i/>
          <w:iCs/>
        </w:rPr>
        <w:t>Acanthostomatops</w:t>
      </w:r>
      <w:r w:rsidRPr="00A155FA">
        <w:rPr>
          <w:rFonts w:ascii="Times New Roman" w:hAnsi="Times New Roman" w:cs="Times New Roman"/>
        </w:rPr>
        <w:t xml:space="preserve"> (it fully divides them in </w:t>
      </w:r>
      <w:r w:rsidRPr="00A155FA">
        <w:rPr>
          <w:rFonts w:ascii="Times New Roman" w:hAnsi="Times New Roman" w:cs="Times New Roman"/>
          <w:i/>
          <w:iCs/>
        </w:rPr>
        <w:t xml:space="preserve">Zatrachys </w:t>
      </w:r>
      <w:r w:rsidRPr="00A155FA">
        <w:rPr>
          <w:rFonts w:ascii="Times New Roman" w:hAnsi="Times New Roman" w:cs="Times New Roman"/>
        </w:rPr>
        <w:t xml:space="preserve">and divides them for about half the length in </w:t>
      </w:r>
      <w:r w:rsidRPr="00A155FA">
        <w:rPr>
          <w:rFonts w:ascii="Times New Roman" w:hAnsi="Times New Roman" w:cs="Times New Roman"/>
          <w:i/>
          <w:iCs/>
        </w:rPr>
        <w:t>Dasyceps</w:t>
      </w:r>
      <w:r w:rsidRPr="00A155FA">
        <w:rPr>
          <w:rFonts w:ascii="Times New Roman" w:hAnsi="Times New Roman" w:cs="Times New Roman"/>
        </w:rPr>
        <w:t xml:space="preserve">), and it can be argued that </w:t>
      </w:r>
      <w:r w:rsidRPr="00A155FA">
        <w:rPr>
          <w:rFonts w:ascii="Times New Roman" w:hAnsi="Times New Roman" w:cs="Times New Roman"/>
          <w:i/>
          <w:iCs/>
        </w:rPr>
        <w:t xml:space="preserve">Acanthostomatops </w:t>
      </w:r>
      <w:r w:rsidRPr="00A155FA">
        <w:rPr>
          <w:rFonts w:ascii="Times New Roman" w:hAnsi="Times New Roman" w:cs="Times New Roman"/>
        </w:rPr>
        <w:t xml:space="preserve">has a condition closer to non-zatracheids like </w:t>
      </w:r>
      <w:r w:rsidRPr="00A155FA">
        <w:rPr>
          <w:rFonts w:ascii="Times New Roman" w:hAnsi="Times New Roman" w:cs="Times New Roman"/>
          <w:i/>
          <w:iCs/>
        </w:rPr>
        <w:t>Cacops</w:t>
      </w:r>
      <w:r w:rsidRPr="00A155FA">
        <w:rPr>
          <w:rFonts w:ascii="Times New Roman" w:hAnsi="Times New Roman" w:cs="Times New Roman"/>
        </w:rPr>
        <w:t xml:space="preserve">. That </w:t>
      </w:r>
      <w:r w:rsidRPr="00A155FA">
        <w:rPr>
          <w:rFonts w:ascii="Times New Roman" w:hAnsi="Times New Roman" w:cs="Times New Roman"/>
          <w:i/>
          <w:iCs/>
        </w:rPr>
        <w:t xml:space="preserve">Acanthostomatops </w:t>
      </w:r>
      <w:r w:rsidRPr="00A155FA">
        <w:rPr>
          <w:rFonts w:ascii="Times New Roman" w:hAnsi="Times New Roman" w:cs="Times New Roman"/>
        </w:rPr>
        <w:t xml:space="preserve">has a slightly larger fontanelle than </w:t>
      </w:r>
      <w:r w:rsidRPr="00A155FA">
        <w:rPr>
          <w:rFonts w:ascii="Times New Roman" w:hAnsi="Times New Roman" w:cs="Times New Roman"/>
          <w:i/>
          <w:iCs/>
        </w:rPr>
        <w:t>Cacops</w:t>
      </w:r>
      <w:r w:rsidRPr="00A155FA">
        <w:rPr>
          <w:rFonts w:ascii="Times New Roman" w:hAnsi="Times New Roman" w:cs="Times New Roman"/>
        </w:rPr>
        <w:t xml:space="preserve"> is a combination of premaxillary elongation (for which there is already a character) and overall skull proportions. </w:t>
      </w:r>
    </w:p>
    <w:p w14:paraId="4F458C3C" w14:textId="333F78D5" w:rsidR="00FA06B2" w:rsidRPr="005B2503" w:rsidRDefault="00FA06B2" w:rsidP="00A30351">
      <w:pPr>
        <w:pStyle w:val="ListParagraph"/>
        <w:numPr>
          <w:ilvl w:val="1"/>
          <w:numId w:val="3"/>
        </w:numPr>
        <w:tabs>
          <w:tab w:val="left" w:pos="2860"/>
        </w:tabs>
        <w:rPr>
          <w:rFonts w:ascii="Times New Roman" w:eastAsia="Times New Roman" w:hAnsi="Times New Roman" w:cs="Times New Roman"/>
          <w:color w:val="222222"/>
        </w:rPr>
      </w:pPr>
      <w:r w:rsidRPr="00A155FA">
        <w:rPr>
          <w:rFonts w:ascii="Times New Roman" w:hAnsi="Times New Roman" w:cs="Times New Roman"/>
        </w:rPr>
        <w:t xml:space="preserve">Characters 13 and 14 were first combined into a three-state character for the median rostral opening. The new 13–1 is defined as </w:t>
      </w:r>
      <w:r w:rsidR="007448A4">
        <w:rPr>
          <w:rFonts w:ascii="Times New Roman" w:hAnsi="Times New Roman" w:cs="Times New Roman"/>
        </w:rPr>
        <w:t>relative small opening (more ‘foramen’ than ‘fontanelle’); examples include</w:t>
      </w:r>
      <w:r w:rsidRPr="00A155FA">
        <w:rPr>
          <w:rFonts w:ascii="Times New Roman" w:hAnsi="Times New Roman" w:cs="Times New Roman"/>
        </w:rPr>
        <w:t xml:space="preserve"> </w:t>
      </w:r>
      <w:r w:rsidRPr="00A155FA">
        <w:rPr>
          <w:rFonts w:ascii="Times New Roman" w:hAnsi="Times New Roman" w:cs="Times New Roman"/>
          <w:i/>
          <w:iCs/>
        </w:rPr>
        <w:t>Dendrerpeton</w:t>
      </w:r>
      <w:r w:rsidRPr="00A155FA">
        <w:rPr>
          <w:rFonts w:ascii="Times New Roman" w:hAnsi="Times New Roman" w:cs="Times New Roman"/>
        </w:rPr>
        <w:t>,</w:t>
      </w:r>
      <w:r w:rsidRPr="00A155FA">
        <w:rPr>
          <w:rFonts w:ascii="Times New Roman" w:hAnsi="Times New Roman" w:cs="Times New Roman"/>
          <w:i/>
          <w:iCs/>
        </w:rPr>
        <w:t xml:space="preserve"> Acheloma</w:t>
      </w:r>
      <w:r w:rsidRPr="00A155FA">
        <w:rPr>
          <w:rFonts w:ascii="Times New Roman" w:hAnsi="Times New Roman" w:cs="Times New Roman"/>
        </w:rPr>
        <w:t xml:space="preserve">, </w:t>
      </w:r>
      <w:r w:rsidRPr="00A155FA">
        <w:rPr>
          <w:rFonts w:ascii="Times New Roman" w:hAnsi="Times New Roman" w:cs="Times New Roman"/>
          <w:i/>
          <w:iCs/>
        </w:rPr>
        <w:t>Phonerpeton</w:t>
      </w:r>
      <w:r w:rsidRPr="00A155FA">
        <w:rPr>
          <w:rFonts w:ascii="Times New Roman" w:hAnsi="Times New Roman" w:cs="Times New Roman"/>
        </w:rPr>
        <w:t xml:space="preserve">, and </w:t>
      </w:r>
      <w:r w:rsidRPr="00A155FA">
        <w:rPr>
          <w:rFonts w:ascii="Times New Roman" w:hAnsi="Times New Roman" w:cs="Times New Roman"/>
          <w:i/>
          <w:iCs/>
        </w:rPr>
        <w:t>Benthosuchus</w:t>
      </w:r>
      <w:r w:rsidRPr="00A155FA">
        <w:rPr>
          <w:rFonts w:ascii="Times New Roman" w:hAnsi="Times New Roman" w:cs="Times New Roman"/>
        </w:rPr>
        <w:t>. The new 13–2 is defined as</w:t>
      </w:r>
      <w:r w:rsidR="008F572E">
        <w:rPr>
          <w:rFonts w:ascii="Times New Roman" w:hAnsi="Times New Roman" w:cs="Times New Roman"/>
        </w:rPr>
        <w:t xml:space="preserve"> a</w:t>
      </w:r>
      <w:r w:rsidRPr="00A155FA">
        <w:rPr>
          <w:rFonts w:ascii="Times New Roman" w:hAnsi="Times New Roman" w:cs="Times New Roman"/>
        </w:rPr>
        <w:t xml:space="preserve"> </w:t>
      </w:r>
      <w:r w:rsidR="007448A4">
        <w:rPr>
          <w:rFonts w:ascii="Times New Roman" w:hAnsi="Times New Roman" w:cs="Times New Roman"/>
        </w:rPr>
        <w:t>large opening</w:t>
      </w:r>
      <w:r w:rsidR="008F572E">
        <w:rPr>
          <w:rFonts w:ascii="Times New Roman" w:hAnsi="Times New Roman" w:cs="Times New Roman"/>
        </w:rPr>
        <w:t>, with any taxon originally coded for 14–1 newly coded for this</w:t>
      </w:r>
      <w:r w:rsidRPr="00A155FA">
        <w:rPr>
          <w:rFonts w:ascii="Times New Roman" w:hAnsi="Times New Roman" w:cs="Times New Roman"/>
        </w:rPr>
        <w:t>;</w:t>
      </w:r>
      <w:r w:rsidR="007448A4">
        <w:rPr>
          <w:rFonts w:ascii="Times New Roman" w:hAnsi="Times New Roman" w:cs="Times New Roman"/>
        </w:rPr>
        <w:t xml:space="preserve"> the best example is </w:t>
      </w:r>
      <w:r w:rsidR="007448A4">
        <w:rPr>
          <w:rFonts w:ascii="Times New Roman" w:hAnsi="Times New Roman" w:cs="Times New Roman"/>
          <w:i/>
          <w:iCs/>
        </w:rPr>
        <w:t>Zatrachys</w:t>
      </w:r>
      <w:r w:rsidRPr="00A155FA">
        <w:rPr>
          <w:rFonts w:ascii="Times New Roman" w:hAnsi="Times New Roman" w:cs="Times New Roman"/>
        </w:rPr>
        <w:t>. Character 14 is omitted.</w:t>
      </w:r>
    </w:p>
    <w:p w14:paraId="250B4624" w14:textId="08C5F3EB" w:rsidR="008F572E" w:rsidRPr="00A155FA" w:rsidRDefault="008F572E" w:rsidP="005B2503">
      <w:pPr>
        <w:pStyle w:val="ListParagraph"/>
        <w:numPr>
          <w:ilvl w:val="2"/>
          <w:numId w:val="3"/>
        </w:numPr>
        <w:tabs>
          <w:tab w:val="left" w:pos="2860"/>
        </w:tabs>
        <w:rPr>
          <w:rFonts w:ascii="Times New Roman" w:eastAsia="Times New Roman" w:hAnsi="Times New Roman" w:cs="Times New Roman"/>
          <w:color w:val="222222"/>
        </w:rPr>
      </w:pPr>
      <w:r>
        <w:rPr>
          <w:rFonts w:ascii="Times New Roman" w:hAnsi="Times New Roman" w:cs="Times New Roman"/>
        </w:rPr>
        <w:t>W</w:t>
      </w:r>
      <w:r w:rsidRPr="00A155FA">
        <w:rPr>
          <w:rFonts w:ascii="Times New Roman" w:hAnsi="Times New Roman" w:cs="Times New Roman"/>
        </w:rPr>
        <w:t xml:space="preserve">e consider the condition of </w:t>
      </w:r>
      <w:r w:rsidRPr="00A155FA">
        <w:rPr>
          <w:rFonts w:ascii="Times New Roman" w:hAnsi="Times New Roman" w:cs="Times New Roman"/>
          <w:i/>
          <w:iCs/>
        </w:rPr>
        <w:t>Acanthostomatops</w:t>
      </w:r>
      <w:r>
        <w:rPr>
          <w:rFonts w:ascii="Times New Roman" w:hAnsi="Times New Roman" w:cs="Times New Roman"/>
          <w:i/>
          <w:iCs/>
        </w:rPr>
        <w:t xml:space="preserve"> </w:t>
      </w:r>
      <w:r>
        <w:rPr>
          <w:rFonts w:ascii="Times New Roman" w:hAnsi="Times New Roman" w:cs="Times New Roman"/>
        </w:rPr>
        <w:t>(originally 14–1)</w:t>
      </w:r>
      <w:r w:rsidRPr="00A155FA">
        <w:rPr>
          <w:rFonts w:ascii="Times New Roman" w:hAnsi="Times New Roman" w:cs="Times New Roman"/>
          <w:i/>
          <w:iCs/>
        </w:rPr>
        <w:t xml:space="preserve"> </w:t>
      </w:r>
      <w:r w:rsidRPr="00A155FA">
        <w:rPr>
          <w:rFonts w:ascii="Times New Roman" w:hAnsi="Times New Roman" w:cs="Times New Roman"/>
        </w:rPr>
        <w:t xml:space="preserve">to be closer to that of </w:t>
      </w:r>
      <w:r w:rsidRPr="00A155FA">
        <w:rPr>
          <w:rFonts w:ascii="Times New Roman" w:hAnsi="Times New Roman" w:cs="Times New Roman"/>
          <w:i/>
          <w:iCs/>
        </w:rPr>
        <w:t>Cacops</w:t>
      </w:r>
      <w:r>
        <w:rPr>
          <w:rFonts w:ascii="Times New Roman" w:hAnsi="Times New Roman" w:cs="Times New Roman"/>
          <w:i/>
          <w:iCs/>
        </w:rPr>
        <w:t xml:space="preserve"> </w:t>
      </w:r>
      <w:r>
        <w:rPr>
          <w:rFonts w:ascii="Times New Roman" w:hAnsi="Times New Roman" w:cs="Times New Roman"/>
        </w:rPr>
        <w:t xml:space="preserve">(present and relatively small in </w:t>
      </w:r>
      <w:r>
        <w:rPr>
          <w:rFonts w:ascii="Times New Roman" w:hAnsi="Times New Roman" w:cs="Times New Roman"/>
          <w:i/>
          <w:iCs/>
        </w:rPr>
        <w:t xml:space="preserve">C. morrisi </w:t>
      </w:r>
      <w:r>
        <w:rPr>
          <w:rFonts w:ascii="Times New Roman" w:hAnsi="Times New Roman" w:cs="Times New Roman"/>
        </w:rPr>
        <w:t xml:space="preserve">and </w:t>
      </w:r>
      <w:r>
        <w:rPr>
          <w:rFonts w:ascii="Times New Roman" w:hAnsi="Times New Roman" w:cs="Times New Roman"/>
          <w:i/>
          <w:iCs/>
        </w:rPr>
        <w:t>C. woehri</w:t>
      </w:r>
      <w:r>
        <w:rPr>
          <w:rFonts w:ascii="Times New Roman" w:hAnsi="Times New Roman" w:cs="Times New Roman"/>
        </w:rPr>
        <w:t xml:space="preserve"> but uncertain in the sampled </w:t>
      </w:r>
      <w:r>
        <w:rPr>
          <w:rFonts w:ascii="Times New Roman" w:hAnsi="Times New Roman" w:cs="Times New Roman"/>
          <w:i/>
          <w:iCs/>
        </w:rPr>
        <w:t>C. aspidephorus</w:t>
      </w:r>
      <w:r>
        <w:rPr>
          <w:rFonts w:ascii="Times New Roman" w:hAnsi="Times New Roman" w:cs="Times New Roman"/>
        </w:rPr>
        <w:t>)</w:t>
      </w:r>
      <w:r w:rsidRPr="00A155FA">
        <w:rPr>
          <w:rFonts w:ascii="Times New Roman" w:hAnsi="Times New Roman" w:cs="Times New Roman"/>
          <w:i/>
          <w:iCs/>
        </w:rPr>
        <w:t xml:space="preserve"> </w:t>
      </w:r>
      <w:r w:rsidRPr="00A155FA">
        <w:rPr>
          <w:rFonts w:ascii="Times New Roman" w:hAnsi="Times New Roman" w:cs="Times New Roman"/>
        </w:rPr>
        <w:t xml:space="preserve">than to </w:t>
      </w:r>
      <w:r w:rsidRPr="00A155FA">
        <w:rPr>
          <w:rFonts w:ascii="Times New Roman" w:hAnsi="Times New Roman" w:cs="Times New Roman"/>
          <w:i/>
          <w:iCs/>
        </w:rPr>
        <w:t>Zatrachys</w:t>
      </w:r>
      <w:r>
        <w:rPr>
          <w:rFonts w:ascii="Times New Roman" w:hAnsi="Times New Roman" w:cs="Times New Roman"/>
        </w:rPr>
        <w:t xml:space="preserve">; the fact that the opening in </w:t>
      </w:r>
      <w:r>
        <w:rPr>
          <w:rFonts w:ascii="Times New Roman" w:hAnsi="Times New Roman" w:cs="Times New Roman"/>
          <w:i/>
          <w:iCs/>
        </w:rPr>
        <w:t xml:space="preserve">Acanthostomatops </w:t>
      </w:r>
      <w:r>
        <w:rPr>
          <w:rFonts w:ascii="Times New Roman" w:hAnsi="Times New Roman" w:cs="Times New Roman"/>
        </w:rPr>
        <w:t xml:space="preserve">is slightly larger than in </w:t>
      </w:r>
      <w:r>
        <w:rPr>
          <w:rFonts w:ascii="Times New Roman" w:hAnsi="Times New Roman" w:cs="Times New Roman"/>
          <w:i/>
          <w:iCs/>
        </w:rPr>
        <w:t xml:space="preserve">Cacops </w:t>
      </w:r>
      <w:r>
        <w:rPr>
          <w:rFonts w:ascii="Times New Roman" w:hAnsi="Times New Roman" w:cs="Times New Roman"/>
        </w:rPr>
        <w:t xml:space="preserve">has more to do with the elongated premaxillae (captured in other characters) than to a prominent posterior expansion between the nasals, as in </w:t>
      </w:r>
      <w:r>
        <w:rPr>
          <w:rFonts w:ascii="Times New Roman" w:hAnsi="Times New Roman" w:cs="Times New Roman"/>
          <w:i/>
          <w:iCs/>
        </w:rPr>
        <w:t>Zatrachys</w:t>
      </w:r>
      <w:r w:rsidRPr="00A155FA">
        <w:rPr>
          <w:rFonts w:ascii="Times New Roman" w:hAnsi="Times New Roman" w:cs="Times New Roman"/>
        </w:rPr>
        <w:t>.</w:t>
      </w:r>
    </w:p>
    <w:p w14:paraId="3A21C159" w14:textId="77777777" w:rsidR="00FA06B2" w:rsidRPr="00A155FA" w:rsidRDefault="00FA06B2" w:rsidP="00A30351">
      <w:pPr>
        <w:pStyle w:val="ListParagraph"/>
        <w:numPr>
          <w:ilvl w:val="1"/>
          <w:numId w:val="3"/>
        </w:numPr>
        <w:rPr>
          <w:rFonts w:ascii="Times New Roman" w:eastAsia="Times New Roman" w:hAnsi="Times New Roman" w:cs="Times New Roman"/>
        </w:rPr>
      </w:pPr>
      <w:r w:rsidRPr="00A155FA">
        <w:rPr>
          <w:rFonts w:ascii="Times New Roman" w:eastAsia="Times New Roman" w:hAnsi="Times New Roman" w:cs="Times New Roman"/>
          <w:i/>
          <w:iCs/>
        </w:rPr>
        <w:t xml:space="preserve">Xenopus </w:t>
      </w:r>
      <w:r w:rsidRPr="00A155FA">
        <w:rPr>
          <w:rFonts w:ascii="Times New Roman" w:eastAsia="Times New Roman" w:hAnsi="Times New Roman" w:cs="Times New Roman"/>
        </w:rPr>
        <w:t xml:space="preserve">was corrected from 13–1 to 13–0 because the genus has a fused nasal and there is no opening within it (e.g., Henderson, 2002:24; Goodman et al., 2021:fig. 2A). </w:t>
      </w:r>
      <w:r w:rsidRPr="00A155FA">
        <w:rPr>
          <w:rFonts w:ascii="Times New Roman" w:eastAsia="Times New Roman" w:hAnsi="Times New Roman" w:cs="Times New Roman"/>
          <w:i/>
          <w:iCs/>
        </w:rPr>
        <w:t xml:space="preserve">Ambystoma </w:t>
      </w:r>
      <w:r w:rsidRPr="00A155FA">
        <w:rPr>
          <w:rFonts w:ascii="Times New Roman" w:eastAsia="Times New Roman" w:hAnsi="Times New Roman" w:cs="Times New Roman"/>
        </w:rPr>
        <w:t xml:space="preserve">and </w:t>
      </w:r>
      <w:r w:rsidRPr="00A155FA">
        <w:rPr>
          <w:rFonts w:ascii="Times New Roman" w:eastAsia="Times New Roman" w:hAnsi="Times New Roman" w:cs="Times New Roman"/>
          <w:i/>
          <w:iCs/>
        </w:rPr>
        <w:t xml:space="preserve">Karaurus </w:t>
      </w:r>
      <w:r w:rsidRPr="00A155FA">
        <w:rPr>
          <w:rFonts w:ascii="Times New Roman" w:eastAsia="Times New Roman" w:hAnsi="Times New Roman" w:cs="Times New Roman"/>
        </w:rPr>
        <w:t>were also corrected from 13–1 to 13–0 because they</w:t>
      </w:r>
      <w:r w:rsidRPr="00A155FA">
        <w:rPr>
          <w:rFonts w:ascii="Times New Roman" w:eastAsia="Times New Roman" w:hAnsi="Times New Roman" w:cs="Times New Roman"/>
          <w:i/>
          <w:iCs/>
        </w:rPr>
        <w:t xml:space="preserve"> </w:t>
      </w:r>
      <w:r w:rsidRPr="00A155FA">
        <w:rPr>
          <w:rFonts w:ascii="Times New Roman" w:eastAsia="Times New Roman" w:hAnsi="Times New Roman" w:cs="Times New Roman"/>
        </w:rPr>
        <w:t>have no apparent opening between the unfused nasals or premaxillae in the most mature specimens (e.g., Parker, 1887:pl. 27.6; Skutschas &amp; Martin, 2011:825, 828; Schoch et al., 2020:fig. 3).</w:t>
      </w:r>
    </w:p>
    <w:p w14:paraId="3C034E38" w14:textId="77777777" w:rsidR="00FA06B2" w:rsidRPr="00A155FA" w:rsidRDefault="00FA06B2" w:rsidP="00A30351">
      <w:pPr>
        <w:pStyle w:val="ListParagraph"/>
        <w:numPr>
          <w:ilvl w:val="1"/>
          <w:numId w:val="3"/>
        </w:numPr>
        <w:rPr>
          <w:rFonts w:ascii="Times New Roman" w:eastAsia="Times New Roman" w:hAnsi="Times New Roman" w:cs="Times New Roman"/>
        </w:rPr>
      </w:pPr>
      <w:r w:rsidRPr="00A155FA">
        <w:rPr>
          <w:rFonts w:ascii="Times New Roman" w:eastAsia="Times New Roman" w:hAnsi="Times New Roman" w:cs="Times New Roman"/>
          <w:i/>
          <w:iCs/>
        </w:rPr>
        <w:t xml:space="preserve">Micromelerpeton </w:t>
      </w:r>
      <w:r w:rsidRPr="00A155FA">
        <w:rPr>
          <w:rFonts w:ascii="Times New Roman" w:eastAsia="Times New Roman" w:hAnsi="Times New Roman" w:cs="Times New Roman"/>
        </w:rPr>
        <w:t xml:space="preserve">was corrected from 13–0 to 13–1 because this taxon has an oval internarial fenestra (Boy, 1995; Schoch &amp; Milner, 2014). </w:t>
      </w:r>
    </w:p>
    <w:p w14:paraId="65DCA0D8" w14:textId="77777777" w:rsidR="00FA06B2" w:rsidRPr="007A0A6B" w:rsidRDefault="00FA06B2" w:rsidP="00A30351">
      <w:pPr>
        <w:pStyle w:val="ListParagraph"/>
        <w:numPr>
          <w:ilvl w:val="1"/>
          <w:numId w:val="3"/>
        </w:numPr>
        <w:rPr>
          <w:rFonts w:ascii="Times New Roman" w:eastAsia="Times New Roman" w:hAnsi="Times New Roman" w:cs="Times New Roman"/>
        </w:rPr>
      </w:pPr>
      <w:r w:rsidRPr="00A155FA">
        <w:rPr>
          <w:rFonts w:ascii="Times New Roman" w:eastAsia="Times New Roman" w:hAnsi="Times New Roman" w:cs="Times New Roman"/>
          <w:i/>
          <w:iCs/>
        </w:rPr>
        <w:t xml:space="preserve">Cochleosaurus </w:t>
      </w:r>
      <w:r w:rsidRPr="00A155FA">
        <w:rPr>
          <w:rFonts w:ascii="Times New Roman" w:eastAsia="Times New Roman" w:hAnsi="Times New Roman" w:cs="Times New Roman"/>
        </w:rPr>
        <w:t>was corrected from 13–</w:t>
      </w:r>
      <w:r w:rsidRPr="00A155FA">
        <w:rPr>
          <w:rFonts w:ascii="Times New Roman" w:hAnsi="Times New Roman" w:cs="Times New Roman"/>
        </w:rPr>
        <w:t>0 to 13–0&amp;1. Sequeira (2004:25) noted the presence of a small foramen in some specimens (it is not reconstructed in that paper or subsequent reconstructions).</w:t>
      </w:r>
    </w:p>
    <w:p w14:paraId="2B5ECACA" w14:textId="07E2A1A9" w:rsidR="00FA06B2" w:rsidRPr="00A155FA" w:rsidRDefault="00FA06B2" w:rsidP="00A30351">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 xml:space="preserve">20 (nasal, lateral margin): </w:t>
      </w:r>
      <w:r w:rsidRPr="00A155FA">
        <w:rPr>
          <w:rFonts w:ascii="Times New Roman" w:hAnsi="Times New Roman" w:cs="Times New Roman"/>
        </w:rPr>
        <w:t xml:space="preserve">state 1 specified a lateral expansion “anterior to lacrimal.” This definition is problematic because (1) it should not be coded for taxa lacking a lacrimal (but has been previously; e.g., </w:t>
      </w:r>
      <w:r w:rsidRPr="00A155FA">
        <w:rPr>
          <w:rFonts w:ascii="Times New Roman" w:hAnsi="Times New Roman" w:cs="Times New Roman"/>
          <w:i/>
          <w:iCs/>
        </w:rPr>
        <w:t>Siderops, Batrachosuchus</w:t>
      </w:r>
      <w:r w:rsidRPr="00A155FA">
        <w:rPr>
          <w:rFonts w:ascii="Times New Roman" w:hAnsi="Times New Roman" w:cs="Times New Roman"/>
        </w:rPr>
        <w:t xml:space="preserve">); (2) state 20–1 is redundant with state 219–1 (lacrimal excluded from naris) because the anterolateral expansion will partially or fully contribute to that exclusion. Previously, taxa with a clearly stepped nasal that does not exclude the lacrimal have been coded as 20–0 (e.g., </w:t>
      </w:r>
      <w:r w:rsidRPr="00A155FA">
        <w:rPr>
          <w:rFonts w:ascii="Times New Roman" w:hAnsi="Times New Roman" w:cs="Times New Roman"/>
          <w:i/>
          <w:iCs/>
        </w:rPr>
        <w:t>Amphibamus, Balanerpeton</w:t>
      </w:r>
      <w:r w:rsidRPr="00A155FA">
        <w:rPr>
          <w:rFonts w:ascii="Times New Roman" w:hAnsi="Times New Roman" w:cs="Times New Roman"/>
        </w:rPr>
        <w:t xml:space="preserve">), which is discordant with how Pardo et al. (2017a) coded </w:t>
      </w:r>
      <w:r w:rsidRPr="00A155FA">
        <w:rPr>
          <w:rFonts w:ascii="Times New Roman" w:hAnsi="Times New Roman" w:cs="Times New Roman"/>
          <w:i/>
          <w:iCs/>
        </w:rPr>
        <w:t xml:space="preserve">Hynobius </w:t>
      </w:r>
      <w:r w:rsidRPr="00A155FA">
        <w:rPr>
          <w:rFonts w:ascii="Times New Roman" w:hAnsi="Times New Roman" w:cs="Times New Roman"/>
        </w:rPr>
        <w:t xml:space="preserve">and </w:t>
      </w:r>
      <w:r w:rsidRPr="00A155FA">
        <w:rPr>
          <w:rFonts w:ascii="Times New Roman" w:hAnsi="Times New Roman" w:cs="Times New Roman"/>
          <w:i/>
          <w:iCs/>
        </w:rPr>
        <w:t xml:space="preserve">Karaurus </w:t>
      </w:r>
      <w:r w:rsidRPr="00A155FA">
        <w:rPr>
          <w:rFonts w:ascii="Times New Roman" w:hAnsi="Times New Roman" w:cs="Times New Roman"/>
        </w:rPr>
        <w:t xml:space="preserve">and which indicates that the character was coded more as a “nasal with lateral excursion anterior to lateral” character than as a “nasal with stepped lateral margin” character. We prefer to remove the mention of the lacrimal because the lacrimal-naris relationship is accounted for in character 219, and as noted above, some taxa lack lacrimals. </w:t>
      </w:r>
    </w:p>
    <w:p w14:paraId="6E965F80"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lastRenderedPageBreak/>
        <w:t xml:space="preserve">Codes were recoded from 20–0 to 20–1 for </w:t>
      </w:r>
      <w:r w:rsidRPr="00A155FA">
        <w:rPr>
          <w:rFonts w:ascii="Times New Roman" w:hAnsi="Times New Roman" w:cs="Times New Roman"/>
          <w:i/>
          <w:iCs/>
        </w:rPr>
        <w:t xml:space="preserve">Balanerpeton, Trimerorhachis, Zatrachys, Micromelerpeton, Micropholis, Gerobatrachus, Lydekkerina, Plagiosuchus, Gerrothorax, Sangaia, Edingerella, </w:t>
      </w:r>
      <w:r w:rsidRPr="00A155FA">
        <w:rPr>
          <w:rFonts w:ascii="Times New Roman" w:hAnsi="Times New Roman" w:cs="Times New Roman"/>
        </w:rPr>
        <w:t xml:space="preserve">and </w:t>
      </w:r>
      <w:r w:rsidRPr="00A155FA">
        <w:rPr>
          <w:rFonts w:ascii="Times New Roman" w:hAnsi="Times New Roman" w:cs="Times New Roman"/>
          <w:i/>
          <w:iCs/>
        </w:rPr>
        <w:t xml:space="preserve">Callistomordax. </w:t>
      </w:r>
    </w:p>
    <w:p w14:paraId="19DAB394" w14:textId="1FADC309"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Codes were corrected to polymorphisms from previously coded single states (i.e.</w:t>
      </w:r>
      <w:r w:rsidR="00D53884">
        <w:rPr>
          <w:rFonts w:ascii="Times New Roman" w:hAnsi="Times New Roman" w:cs="Times New Roman"/>
        </w:rPr>
        <w:t>,</w:t>
      </w:r>
      <w:r w:rsidRPr="00A155FA">
        <w:rPr>
          <w:rFonts w:ascii="Times New Roman" w:hAnsi="Times New Roman" w:cs="Times New Roman"/>
        </w:rPr>
        <w:t xml:space="preserve"> these should have been coded as such prior to the character modification) for </w:t>
      </w:r>
      <w:r w:rsidRPr="00A155FA">
        <w:rPr>
          <w:rFonts w:ascii="Times New Roman" w:hAnsi="Times New Roman" w:cs="Times New Roman"/>
          <w:i/>
          <w:iCs/>
        </w:rPr>
        <w:t>Cochleosaurus</w:t>
      </w:r>
      <w:r w:rsidRPr="00A155FA">
        <w:rPr>
          <w:rFonts w:ascii="Times New Roman" w:hAnsi="Times New Roman" w:cs="Times New Roman"/>
        </w:rPr>
        <w:t xml:space="preserve">, </w:t>
      </w:r>
      <w:r w:rsidRPr="00A155FA">
        <w:rPr>
          <w:rFonts w:ascii="Times New Roman" w:hAnsi="Times New Roman" w:cs="Times New Roman"/>
          <w:i/>
          <w:iCs/>
        </w:rPr>
        <w:t>Platyrhinops</w:t>
      </w:r>
      <w:r w:rsidRPr="00A155FA">
        <w:rPr>
          <w:rFonts w:ascii="Times New Roman" w:hAnsi="Times New Roman" w:cs="Times New Roman"/>
        </w:rPr>
        <w:t>,</w:t>
      </w:r>
      <w:r w:rsidRPr="00A155FA">
        <w:rPr>
          <w:rFonts w:ascii="Times New Roman" w:hAnsi="Times New Roman" w:cs="Times New Roman"/>
          <w:i/>
          <w:iCs/>
        </w:rPr>
        <w:t xml:space="preserve"> Onchiodon</w:t>
      </w:r>
      <w:r w:rsidRPr="00A155FA">
        <w:rPr>
          <w:rFonts w:ascii="Times New Roman" w:hAnsi="Times New Roman" w:cs="Times New Roman"/>
        </w:rPr>
        <w:t xml:space="preserve">, </w:t>
      </w:r>
      <w:r w:rsidRPr="00A155FA">
        <w:rPr>
          <w:rFonts w:ascii="Times New Roman" w:hAnsi="Times New Roman" w:cs="Times New Roman"/>
          <w:i/>
          <w:iCs/>
        </w:rPr>
        <w:t>Trematosaurus</w:t>
      </w:r>
      <w:r w:rsidRPr="00A155FA">
        <w:rPr>
          <w:rFonts w:ascii="Times New Roman" w:hAnsi="Times New Roman" w:cs="Times New Roman"/>
        </w:rPr>
        <w:t xml:space="preserve">, and </w:t>
      </w:r>
      <w:r w:rsidRPr="00A155FA">
        <w:rPr>
          <w:rFonts w:ascii="Times New Roman" w:hAnsi="Times New Roman" w:cs="Times New Roman"/>
          <w:i/>
          <w:iCs/>
        </w:rPr>
        <w:t>Mastodonsaurus</w:t>
      </w:r>
      <w:r w:rsidRPr="00A155FA">
        <w:rPr>
          <w:rFonts w:ascii="Times New Roman" w:hAnsi="Times New Roman" w:cs="Times New Roman"/>
        </w:rPr>
        <w:t>.</w:t>
      </w:r>
    </w:p>
    <w:p w14:paraId="7627F4D4" w14:textId="77777777"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 xml:space="preserve">22 (lacrimal, lateral suture); 23 (lacrimal, position); 24 (lacrimal, posterior extension); 43 (prefrontal, process); 59 (jugal-lacrimal): </w:t>
      </w:r>
      <w:r w:rsidRPr="00A155FA">
        <w:rPr>
          <w:rFonts w:ascii="Times New Roman" w:hAnsi="Times New Roman" w:cs="Times New Roman"/>
        </w:rPr>
        <w:t>any taxon coded for state 21–1 (lacrimal absent) cannot be coded for these characters.</w:t>
      </w:r>
    </w:p>
    <w:p w14:paraId="75E84E77"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Character 22: Codes were corrected from 22–0 (lateral suture parallel to medial suture) for </w:t>
      </w:r>
      <w:r w:rsidRPr="00A155FA">
        <w:rPr>
          <w:rFonts w:ascii="Times New Roman" w:hAnsi="Times New Roman" w:cs="Times New Roman"/>
          <w:i/>
          <w:iCs/>
        </w:rPr>
        <w:t xml:space="preserve">Siderops, Batrachosuchus, </w:t>
      </w:r>
      <w:r w:rsidRPr="00A155FA">
        <w:rPr>
          <w:rFonts w:ascii="Times New Roman" w:hAnsi="Times New Roman" w:cs="Times New Roman"/>
        </w:rPr>
        <w:t>and</w:t>
      </w:r>
      <w:r w:rsidRPr="00A155FA">
        <w:rPr>
          <w:rFonts w:ascii="Times New Roman" w:hAnsi="Times New Roman" w:cs="Times New Roman"/>
          <w:i/>
          <w:iCs/>
        </w:rPr>
        <w:t xml:space="preserve"> Celtedens.</w:t>
      </w:r>
    </w:p>
    <w:p w14:paraId="6C172955"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Character 23: Codes were corrected from 23–0 (extending anterior to orbit) for </w:t>
      </w:r>
      <w:r w:rsidRPr="00A155FA">
        <w:rPr>
          <w:rFonts w:ascii="Times New Roman" w:hAnsi="Times New Roman" w:cs="Times New Roman"/>
          <w:i/>
          <w:iCs/>
        </w:rPr>
        <w:t>Celtedens</w:t>
      </w:r>
      <w:r w:rsidRPr="00A155FA">
        <w:rPr>
          <w:rFonts w:ascii="Times New Roman" w:hAnsi="Times New Roman" w:cs="Times New Roman"/>
        </w:rPr>
        <w:t xml:space="preserve">. </w:t>
      </w:r>
    </w:p>
    <w:p w14:paraId="4F9996B1"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Character 24: Codes were corrected from 24–0 (restricted to the antorbital region) for </w:t>
      </w:r>
      <w:r w:rsidRPr="00A155FA">
        <w:rPr>
          <w:rFonts w:ascii="Times New Roman" w:hAnsi="Times New Roman" w:cs="Times New Roman"/>
          <w:i/>
          <w:iCs/>
        </w:rPr>
        <w:t xml:space="preserve">Siderops, Batrachosuchus, </w:t>
      </w:r>
      <w:r w:rsidRPr="00A155FA">
        <w:rPr>
          <w:rFonts w:ascii="Times New Roman" w:hAnsi="Times New Roman" w:cs="Times New Roman"/>
        </w:rPr>
        <w:t>and</w:t>
      </w:r>
      <w:r w:rsidRPr="00A155FA">
        <w:rPr>
          <w:rFonts w:ascii="Times New Roman" w:hAnsi="Times New Roman" w:cs="Times New Roman"/>
          <w:i/>
          <w:iCs/>
        </w:rPr>
        <w:t xml:space="preserve"> Celtedens.</w:t>
      </w:r>
    </w:p>
    <w:p w14:paraId="5236E508" w14:textId="77777777" w:rsidR="00FA06B2" w:rsidRPr="007A0A6B"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Character 43: Codes were corrected from 43–0 (prefrontal-lacrimal suture simple) for </w:t>
      </w:r>
      <w:r w:rsidRPr="00A155FA">
        <w:rPr>
          <w:rFonts w:ascii="Times New Roman" w:hAnsi="Times New Roman" w:cs="Times New Roman"/>
          <w:i/>
          <w:iCs/>
        </w:rPr>
        <w:t xml:space="preserve">Siderops, Batrachosuchus, Celtedens </w:t>
      </w:r>
      <w:r w:rsidRPr="00A155FA">
        <w:rPr>
          <w:rFonts w:ascii="Times New Roman" w:hAnsi="Times New Roman" w:cs="Times New Roman"/>
        </w:rPr>
        <w:t xml:space="preserve">and </w:t>
      </w:r>
      <w:r w:rsidRPr="00A155FA">
        <w:rPr>
          <w:rFonts w:ascii="Times New Roman" w:hAnsi="Times New Roman" w:cs="Times New Roman"/>
          <w:i/>
          <w:iCs/>
        </w:rPr>
        <w:t>Ichthyophis</w:t>
      </w:r>
      <w:r w:rsidRPr="00A155FA">
        <w:rPr>
          <w:rFonts w:ascii="Times New Roman" w:hAnsi="Times New Roman" w:cs="Times New Roman"/>
        </w:rPr>
        <w:t xml:space="preserve">. </w:t>
      </w:r>
    </w:p>
    <w:p w14:paraId="1EFD50DB" w14:textId="77777777" w:rsidR="00FA06B2" w:rsidRPr="00A155FA" w:rsidRDefault="00FA06B2" w:rsidP="00A30351">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Character 59: Codes were corrected from 59–0 (jugal-lacrimal separated by orbit or palate bones) for </w:t>
      </w:r>
      <w:r w:rsidRPr="00A155FA">
        <w:rPr>
          <w:rFonts w:ascii="Times New Roman" w:hAnsi="Times New Roman" w:cs="Times New Roman"/>
          <w:i/>
          <w:iCs/>
        </w:rPr>
        <w:t xml:space="preserve">Celtedens </w:t>
      </w:r>
      <w:r w:rsidRPr="00A155FA">
        <w:rPr>
          <w:rFonts w:ascii="Times New Roman" w:hAnsi="Times New Roman" w:cs="Times New Roman"/>
        </w:rPr>
        <w:t xml:space="preserve">and </w:t>
      </w:r>
      <w:r w:rsidRPr="00A155FA">
        <w:rPr>
          <w:rFonts w:ascii="Times New Roman" w:hAnsi="Times New Roman" w:cs="Times New Roman"/>
          <w:i/>
          <w:iCs/>
        </w:rPr>
        <w:t>Chinlestegophis</w:t>
      </w:r>
      <w:r w:rsidRPr="00A155FA">
        <w:rPr>
          <w:rFonts w:ascii="Times New Roman" w:hAnsi="Times New Roman" w:cs="Times New Roman"/>
        </w:rPr>
        <w:t xml:space="preserve">. </w:t>
      </w:r>
    </w:p>
    <w:p w14:paraId="6ACD8C09" w14:textId="2332EE0E"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For all five characters, all taxa originally coded as unknown were updated to inapplicable for consistency.</w:t>
      </w:r>
    </w:p>
    <w:p w14:paraId="6A8217B9" w14:textId="77777777"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 xml:space="preserve">25 (orbit and naris); 35 (infraorbital sulcus); 44 (prefrontal-jugal); 45 (prefrontal-maxilla): </w:t>
      </w:r>
      <w:r w:rsidRPr="00A155FA">
        <w:rPr>
          <w:rFonts w:ascii="Times New Roman" w:hAnsi="Times New Roman" w:cs="Times New Roman"/>
        </w:rPr>
        <w:t>modified along the lines of character 20 to remove reference specifically to the lacrimal. No codes were changed.</w:t>
      </w:r>
    </w:p>
    <w:p w14:paraId="1BD50820" w14:textId="77777777" w:rsidR="00FA06B2" w:rsidRPr="00A155FA" w:rsidRDefault="00FA06B2" w:rsidP="00A30351">
      <w:pPr>
        <w:pStyle w:val="ListParagraph"/>
        <w:numPr>
          <w:ilvl w:val="0"/>
          <w:numId w:val="3"/>
        </w:numPr>
        <w:rPr>
          <w:rFonts w:ascii="Times New Roman" w:hAnsi="Times New Roman" w:cs="Times New Roman"/>
        </w:rPr>
      </w:pPr>
      <w:r w:rsidRPr="00A155FA">
        <w:rPr>
          <w:rFonts w:ascii="Times New Roman" w:hAnsi="Times New Roman" w:cs="Times New Roman"/>
          <w:b/>
          <w:bCs/>
        </w:rPr>
        <w:t xml:space="preserve">25 (orbit and naris): </w:t>
      </w:r>
      <w:r w:rsidRPr="00A155FA">
        <w:rPr>
          <w:rFonts w:ascii="Times New Roman" w:hAnsi="Times New Roman" w:cs="Times New Roman"/>
        </w:rPr>
        <w:t xml:space="preserve">state 25–1 (separated only by narrow gap of bone) was only coded for the dvinosaurs </w:t>
      </w:r>
      <w:r w:rsidRPr="00A155FA">
        <w:rPr>
          <w:rFonts w:ascii="Times New Roman" w:hAnsi="Times New Roman" w:cs="Times New Roman"/>
          <w:i/>
          <w:iCs/>
        </w:rPr>
        <w:t xml:space="preserve">Isodectes </w:t>
      </w:r>
      <w:r w:rsidRPr="00A155FA">
        <w:rPr>
          <w:rFonts w:ascii="Times New Roman" w:hAnsi="Times New Roman" w:cs="Times New Roman"/>
        </w:rPr>
        <w:t xml:space="preserve">and </w:t>
      </w:r>
      <w:r w:rsidRPr="00A155FA">
        <w:rPr>
          <w:rFonts w:ascii="Times New Roman" w:hAnsi="Times New Roman" w:cs="Times New Roman"/>
          <w:i/>
          <w:iCs/>
        </w:rPr>
        <w:t xml:space="preserve">Acroplous </w:t>
      </w:r>
      <w:r w:rsidRPr="00A155FA">
        <w:rPr>
          <w:rFonts w:ascii="Times New Roman" w:hAnsi="Times New Roman" w:cs="Times New Roman"/>
        </w:rPr>
        <w:t xml:space="preserve">(among temnospondyls) in previous derivates (neither was retained by Schoch et al., 2020). However, it is applicable to all trematopids, in which a posterior expansion of the naris incises into the lacrimal, creating a narrow separation of orbit and naris that is proportionately narrower than in those dvinosaurs (e.g., Berman et al., 1985, 1987, 2010, 2011; Dilkes, 1990; Sumida et al., 1998; Polley &amp; Reisz, 2011; Milner, 2018; Gee &amp; Reisz, 2020). The sampled trematopids were previously coded for 25–0 (well separated). </w:t>
      </w:r>
    </w:p>
    <w:p w14:paraId="56A56706" w14:textId="77777777" w:rsidR="00FA06B2" w:rsidRPr="00A155FA" w:rsidRDefault="00FA06B2" w:rsidP="00A30351">
      <w:pPr>
        <w:pStyle w:val="ListParagraph"/>
        <w:numPr>
          <w:ilvl w:val="1"/>
          <w:numId w:val="3"/>
        </w:numPr>
        <w:rPr>
          <w:rFonts w:ascii="Times New Roman" w:hAnsi="Times New Roman" w:cs="Times New Roman"/>
        </w:rPr>
      </w:pPr>
      <w:r w:rsidRPr="00A155FA">
        <w:rPr>
          <w:rFonts w:ascii="Times New Roman" w:hAnsi="Times New Roman" w:cs="Times New Roman"/>
          <w:i/>
          <w:iCs/>
        </w:rPr>
        <w:t xml:space="preserve">Acheloma </w:t>
      </w:r>
      <w:r w:rsidRPr="00A155FA">
        <w:rPr>
          <w:rFonts w:ascii="Times New Roman" w:hAnsi="Times New Roman" w:cs="Times New Roman"/>
        </w:rPr>
        <w:t>and</w:t>
      </w:r>
      <w:r w:rsidRPr="00A155FA">
        <w:rPr>
          <w:rFonts w:ascii="Times New Roman" w:hAnsi="Times New Roman" w:cs="Times New Roman"/>
          <w:i/>
          <w:iCs/>
        </w:rPr>
        <w:t xml:space="preserve"> Phonerpeton </w:t>
      </w:r>
      <w:r w:rsidRPr="00A155FA">
        <w:rPr>
          <w:rFonts w:ascii="Times New Roman" w:hAnsi="Times New Roman" w:cs="Times New Roman"/>
        </w:rPr>
        <w:t xml:space="preserve">were recoded to inapplicable from 25–0 to avoid redundancy because the elongate naris that typifies this clade is the result of posterior expansion towards the orbit and is captured in character 18. </w:t>
      </w:r>
    </w:p>
    <w:p w14:paraId="226E4240" w14:textId="77777777" w:rsidR="00FA06B2" w:rsidRPr="00A155FA" w:rsidRDefault="00FA06B2" w:rsidP="00A30351">
      <w:pPr>
        <w:pStyle w:val="ListParagraph"/>
        <w:numPr>
          <w:ilvl w:val="1"/>
          <w:numId w:val="3"/>
        </w:numPr>
        <w:rPr>
          <w:rFonts w:ascii="Times New Roman" w:hAnsi="Times New Roman" w:cs="Times New Roman"/>
        </w:rPr>
      </w:pPr>
      <w:r w:rsidRPr="00A155FA">
        <w:rPr>
          <w:rFonts w:ascii="Times New Roman" w:hAnsi="Times New Roman" w:cs="Times New Roman"/>
        </w:rPr>
        <w:t xml:space="preserve">State 25–1 is also applicable to some branchiosaurids (e.g., </w:t>
      </w:r>
      <w:r w:rsidRPr="00A155FA">
        <w:rPr>
          <w:rFonts w:ascii="Times New Roman" w:hAnsi="Times New Roman" w:cs="Times New Roman"/>
          <w:i/>
          <w:iCs/>
        </w:rPr>
        <w:t>Apateon pedestris</w:t>
      </w:r>
      <w:r w:rsidRPr="00A155FA">
        <w:rPr>
          <w:rFonts w:ascii="Times New Roman" w:hAnsi="Times New Roman" w:cs="Times New Roman"/>
        </w:rPr>
        <w:t xml:space="preserve">; Schoch &amp; Milner, 2008:fig. 1; Schoch &amp; Milner, 2014:fig. 26) and plagiosaurids (e.g., </w:t>
      </w:r>
      <w:r w:rsidRPr="00A155FA">
        <w:rPr>
          <w:rFonts w:ascii="Times New Roman" w:hAnsi="Times New Roman" w:cs="Times New Roman"/>
          <w:i/>
          <w:iCs/>
        </w:rPr>
        <w:t>Plagiosuchus</w:t>
      </w:r>
      <w:r w:rsidRPr="00A155FA">
        <w:rPr>
          <w:rFonts w:ascii="Times New Roman" w:hAnsi="Times New Roman" w:cs="Times New Roman"/>
        </w:rPr>
        <w:t xml:space="preserve">; Damiani et al. (2009:fig. 7A). In this matrix, </w:t>
      </w:r>
      <w:proofErr w:type="spellStart"/>
      <w:r w:rsidRPr="00A155FA">
        <w:rPr>
          <w:rFonts w:ascii="Times New Roman" w:hAnsi="Times New Roman" w:cs="Times New Roman"/>
          <w:i/>
          <w:iCs/>
        </w:rPr>
        <w:t>Apateons</w:t>
      </w:r>
      <w:proofErr w:type="spellEnd"/>
      <w:r w:rsidRPr="00A155FA">
        <w:rPr>
          <w:rFonts w:ascii="Times New Roman" w:hAnsi="Times New Roman" w:cs="Times New Roman"/>
        </w:rPr>
        <w:t xml:space="preserve">, </w:t>
      </w:r>
      <w:proofErr w:type="spellStart"/>
      <w:r w:rsidRPr="00A155FA">
        <w:rPr>
          <w:rFonts w:ascii="Times New Roman" w:hAnsi="Times New Roman" w:cs="Times New Roman"/>
          <w:i/>
          <w:iCs/>
        </w:rPr>
        <w:t>Gerrothorax</w:t>
      </w:r>
      <w:proofErr w:type="spellEnd"/>
      <w:r w:rsidRPr="00A155FA">
        <w:rPr>
          <w:rFonts w:ascii="Times New Roman" w:hAnsi="Times New Roman" w:cs="Times New Roman"/>
        </w:rPr>
        <w:t xml:space="preserve">, and </w:t>
      </w:r>
      <w:proofErr w:type="spellStart"/>
      <w:r w:rsidRPr="00A155FA">
        <w:rPr>
          <w:rFonts w:ascii="Times New Roman" w:hAnsi="Times New Roman" w:cs="Times New Roman"/>
          <w:i/>
          <w:iCs/>
        </w:rPr>
        <w:t>Plagiosuchus</w:t>
      </w:r>
      <w:proofErr w:type="spellEnd"/>
      <w:r w:rsidRPr="00A155FA">
        <w:rPr>
          <w:rFonts w:ascii="Times New Roman" w:hAnsi="Times New Roman" w:cs="Times New Roman"/>
          <w:i/>
          <w:iCs/>
        </w:rPr>
        <w:t xml:space="preserve"> </w:t>
      </w:r>
      <w:r w:rsidRPr="00A155FA">
        <w:rPr>
          <w:rFonts w:ascii="Times New Roman" w:hAnsi="Times New Roman" w:cs="Times New Roman"/>
        </w:rPr>
        <w:t xml:space="preserve">were changed to 25–1 from 25–0. </w:t>
      </w:r>
    </w:p>
    <w:p w14:paraId="7AF04865" w14:textId="77777777"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28 (palpebral ossifications):</w:t>
      </w:r>
      <w:r w:rsidRPr="00A155FA">
        <w:rPr>
          <w:rFonts w:ascii="Times New Roman" w:hAnsi="Times New Roman" w:cs="Times New Roman"/>
        </w:rPr>
        <w:t xml:space="preserve"> this is a complicated character to code because these ossifications, as well as the scleral ring, may be predisposed to be dislodged post-mortem. The previous </w:t>
      </w:r>
      <w:proofErr w:type="spellStart"/>
      <w:r w:rsidRPr="00A155FA">
        <w:rPr>
          <w:rFonts w:ascii="Times New Roman" w:hAnsi="Times New Roman" w:cs="Times New Roman"/>
        </w:rPr>
        <w:t>codings</w:t>
      </w:r>
      <w:proofErr w:type="spellEnd"/>
      <w:r w:rsidRPr="00A155FA">
        <w:rPr>
          <w:rFonts w:ascii="Times New Roman" w:hAnsi="Times New Roman" w:cs="Times New Roman"/>
        </w:rPr>
        <w:t xml:space="preserve"> are peculiar because nearly all temnospondyls, including some known from singletons and those without any known scleral rings, were coded (for 28</w:t>
      </w:r>
      <w:r w:rsidRPr="00A155FA">
        <w:rPr>
          <w:rFonts w:ascii="Times New Roman" w:hAnsi="Times New Roman" w:cs="Times New Roman"/>
        </w:rPr>
        <w:softHyphen/>
        <w:t xml:space="preserve">–0), but four dissorophoids were not: </w:t>
      </w:r>
      <w:r w:rsidRPr="00A155FA">
        <w:rPr>
          <w:rFonts w:ascii="Times New Roman" w:hAnsi="Times New Roman" w:cs="Times New Roman"/>
          <w:i/>
          <w:iCs/>
        </w:rPr>
        <w:t>Gerobatrachus</w:t>
      </w:r>
      <w:r w:rsidRPr="00A155FA">
        <w:rPr>
          <w:rFonts w:ascii="Times New Roman" w:hAnsi="Times New Roman" w:cs="Times New Roman"/>
        </w:rPr>
        <w:t xml:space="preserve">, </w:t>
      </w:r>
      <w:r w:rsidRPr="00A155FA">
        <w:rPr>
          <w:rFonts w:ascii="Times New Roman" w:hAnsi="Times New Roman" w:cs="Times New Roman"/>
          <w:i/>
          <w:iCs/>
        </w:rPr>
        <w:t xml:space="preserve">Cacops, Acheloma, </w:t>
      </w:r>
      <w:r w:rsidRPr="00A155FA">
        <w:rPr>
          <w:rFonts w:ascii="Times New Roman" w:hAnsi="Times New Roman" w:cs="Times New Roman"/>
        </w:rPr>
        <w:t xml:space="preserve">and </w:t>
      </w:r>
      <w:r w:rsidRPr="00A155FA">
        <w:rPr>
          <w:rFonts w:ascii="Times New Roman" w:hAnsi="Times New Roman" w:cs="Times New Roman"/>
          <w:i/>
          <w:iCs/>
        </w:rPr>
        <w:t>Phonerpeton</w:t>
      </w:r>
      <w:r w:rsidRPr="00A155FA">
        <w:rPr>
          <w:rFonts w:ascii="Times New Roman" w:hAnsi="Times New Roman" w:cs="Times New Roman"/>
        </w:rPr>
        <w:t>. This is conspicuous because most dissorophoids do have palpebral ossifications (28</w:t>
      </w:r>
      <w:r w:rsidRPr="00A155FA">
        <w:rPr>
          <w:rFonts w:ascii="Times New Roman" w:hAnsi="Times New Roman" w:cs="Times New Roman"/>
        </w:rPr>
        <w:softHyphen/>
      </w:r>
      <w:r w:rsidRPr="00A155FA">
        <w:rPr>
          <w:rFonts w:ascii="Times New Roman" w:hAnsi="Times New Roman" w:cs="Times New Roman"/>
        </w:rPr>
        <w:softHyphen/>
        <w:t xml:space="preserve">–1). There is clearly some discrepancy in coding philosophy here where </w:t>
      </w:r>
      <w:r w:rsidRPr="00A155FA">
        <w:rPr>
          <w:rFonts w:ascii="Times New Roman" w:hAnsi="Times New Roman" w:cs="Times New Roman"/>
        </w:rPr>
        <w:lastRenderedPageBreak/>
        <w:t>this character was probably left uncoded for these four taxa because palpebral ossifications are unknown from any specimen, but it could be reasonably inferred that they were present in life (i.e. coding them as ‘absent’ would produce hypothetically false conflicting information). There are two approaches that can be taken here: either to code the character as preserved, without considering the possibility of post-mortem loss; or to only code the character when sclerotic ring plates are at least partially preserved, as the absence of these plates would indicate that preservation was likely insufficient for palpebral ossifications to be preserved if present. The latter approach is taken here for two reasons: (1) it is more conservative and accounts for taphonomy; and (2) both states technically require scleral ring ossicles to be present to be coded.</w:t>
      </w:r>
    </w:p>
    <w:p w14:paraId="6F163EE7"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The following taxa were uncoded from 28–0 (no palpebral ossifications) because the literature does not establish the presence of sclerotic ring plates in these taxa: </w:t>
      </w:r>
      <w:r w:rsidRPr="00A155FA">
        <w:rPr>
          <w:rFonts w:ascii="Times New Roman" w:hAnsi="Times New Roman" w:cs="Times New Roman"/>
          <w:i/>
          <w:iCs/>
        </w:rPr>
        <w:t>Proterogyrinus, Greererpeton, Brachydectes, Batropetes, Rhynchonkos, Trimerorhachis, Zatrachys</w:t>
      </w:r>
      <w:r w:rsidRPr="00A155FA">
        <w:rPr>
          <w:rFonts w:ascii="Times New Roman" w:hAnsi="Times New Roman" w:cs="Times New Roman"/>
        </w:rPr>
        <w:t xml:space="preserve">, </w:t>
      </w:r>
      <w:r w:rsidRPr="00A155FA">
        <w:rPr>
          <w:rFonts w:ascii="Times New Roman" w:hAnsi="Times New Roman" w:cs="Times New Roman"/>
          <w:i/>
          <w:iCs/>
        </w:rPr>
        <w:t>Eryops, Glanochthon,</w:t>
      </w:r>
      <w:r w:rsidRPr="00A155FA">
        <w:rPr>
          <w:rFonts w:ascii="Times New Roman" w:hAnsi="Times New Roman" w:cs="Times New Roman"/>
        </w:rPr>
        <w:t xml:space="preserve"> </w:t>
      </w:r>
      <w:r w:rsidRPr="00A155FA">
        <w:rPr>
          <w:rFonts w:ascii="Times New Roman" w:hAnsi="Times New Roman" w:cs="Times New Roman"/>
          <w:i/>
          <w:iCs/>
        </w:rPr>
        <w:t>Lydekkerina,</w:t>
      </w:r>
      <w:r w:rsidRPr="00A155FA">
        <w:rPr>
          <w:rFonts w:ascii="Times New Roman" w:hAnsi="Times New Roman" w:cs="Times New Roman"/>
        </w:rPr>
        <w:t xml:space="preserve"> </w:t>
      </w:r>
      <w:r w:rsidRPr="00A155FA">
        <w:rPr>
          <w:rFonts w:ascii="Times New Roman" w:hAnsi="Times New Roman" w:cs="Times New Roman"/>
          <w:i/>
          <w:iCs/>
        </w:rPr>
        <w:t>Siderops, Batrachosuchus, Plagiosuchus, Sangaia, Gerrothorax</w:t>
      </w:r>
      <w:r w:rsidRPr="00A155FA">
        <w:rPr>
          <w:rFonts w:ascii="Times New Roman" w:hAnsi="Times New Roman" w:cs="Times New Roman"/>
        </w:rPr>
        <w:t xml:space="preserve">, </w:t>
      </w:r>
      <w:r w:rsidRPr="00A155FA">
        <w:rPr>
          <w:rFonts w:ascii="Times New Roman" w:hAnsi="Times New Roman" w:cs="Times New Roman"/>
          <w:i/>
          <w:iCs/>
        </w:rPr>
        <w:t>Edingerella, Benthosuchus, Trematosaurus, Trematolestes, Lyrocephaliscus, Callistomordax</w:t>
      </w:r>
      <w:r w:rsidRPr="00A155FA">
        <w:rPr>
          <w:rFonts w:ascii="Times New Roman" w:hAnsi="Times New Roman" w:cs="Times New Roman"/>
        </w:rPr>
        <w:t xml:space="preserve">, </w:t>
      </w:r>
      <w:r w:rsidRPr="00A155FA">
        <w:rPr>
          <w:rFonts w:ascii="Times New Roman" w:hAnsi="Times New Roman" w:cs="Times New Roman"/>
          <w:i/>
          <w:iCs/>
        </w:rPr>
        <w:t>Metoposaurus, Parotosuchus, Paracyclotosaurus, Mastodonsaurus</w:t>
      </w:r>
      <w:r w:rsidRPr="00A155FA">
        <w:rPr>
          <w:rFonts w:ascii="Times New Roman" w:hAnsi="Times New Roman" w:cs="Times New Roman"/>
        </w:rPr>
        <w:t xml:space="preserve">, and </w:t>
      </w:r>
      <w:r w:rsidRPr="00A155FA">
        <w:rPr>
          <w:rFonts w:ascii="Times New Roman" w:hAnsi="Times New Roman" w:cs="Times New Roman"/>
          <w:i/>
          <w:iCs/>
        </w:rPr>
        <w:t>Celtedens</w:t>
      </w:r>
      <w:r w:rsidRPr="00A155FA">
        <w:rPr>
          <w:rFonts w:ascii="Times New Roman" w:hAnsi="Times New Roman" w:cs="Times New Roman"/>
        </w:rPr>
        <w:t>.</w:t>
      </w:r>
    </w:p>
    <w:p w14:paraId="437819A1" w14:textId="77777777"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29 (pineal foramen); 33 (lateral line sulci); 154 (</w:t>
      </w:r>
      <w:proofErr w:type="spellStart"/>
      <w:r w:rsidRPr="00A155FA">
        <w:rPr>
          <w:rFonts w:ascii="Times New Roman" w:hAnsi="Times New Roman" w:cs="Times New Roman"/>
          <w:b/>
          <w:bCs/>
        </w:rPr>
        <w:t>ceratobranchials</w:t>
      </w:r>
      <w:proofErr w:type="spellEnd"/>
      <w:r w:rsidRPr="00A155FA">
        <w:rPr>
          <w:rFonts w:ascii="Times New Roman" w:hAnsi="Times New Roman" w:cs="Times New Roman"/>
          <w:b/>
          <w:bCs/>
        </w:rPr>
        <w:t xml:space="preserve">); 155 (basibranchial); 156 (hypobranchial elements); 188 (scapula); 191 (humerus, adult shaft); 356 (palatine): </w:t>
      </w:r>
      <w:r w:rsidRPr="00A155FA">
        <w:rPr>
          <w:rFonts w:ascii="Times New Roman" w:hAnsi="Times New Roman" w:cs="Times New Roman"/>
        </w:rPr>
        <w:t>all of these characters specifically invoke the condition of adults. This means any taxon represented only by juvenile individuals cannot be coded for these characters.</w:t>
      </w:r>
    </w:p>
    <w:p w14:paraId="717C1D1D" w14:textId="77777777" w:rsidR="00FA06B2" w:rsidRPr="00A155FA" w:rsidRDefault="00FA06B2" w:rsidP="005229E5">
      <w:pPr>
        <w:pStyle w:val="ListParagraph"/>
        <w:numPr>
          <w:ilvl w:val="1"/>
          <w:numId w:val="3"/>
        </w:numPr>
        <w:tabs>
          <w:tab w:val="left" w:pos="2860"/>
        </w:tabs>
        <w:rPr>
          <w:rFonts w:ascii="Times New Roman" w:hAnsi="Times New Roman" w:cs="Times New Roman"/>
        </w:rPr>
      </w:pPr>
      <w:r w:rsidRPr="00A155FA">
        <w:rPr>
          <w:rFonts w:ascii="Times New Roman" w:hAnsi="Times New Roman" w:cs="Times New Roman"/>
        </w:rPr>
        <w:t xml:space="preserve">Codes were corrected to unknown for characters 29, 154, 156, 188, 191, and 356 for </w:t>
      </w:r>
      <w:r w:rsidRPr="00A155FA">
        <w:rPr>
          <w:rFonts w:ascii="Times New Roman" w:hAnsi="Times New Roman" w:cs="Times New Roman"/>
          <w:i/>
          <w:iCs/>
        </w:rPr>
        <w:t>Gerobatrachus</w:t>
      </w:r>
      <w:r w:rsidRPr="00A155FA">
        <w:rPr>
          <w:rFonts w:ascii="Times New Roman" w:hAnsi="Times New Roman" w:cs="Times New Roman"/>
        </w:rPr>
        <w:t xml:space="preserve">, which Anderson et al. (2008:515) interpreted as represented by a holotype skeleton (the only specimen) that “belonged to a juvenile individual.” </w:t>
      </w:r>
    </w:p>
    <w:p w14:paraId="4175C364" w14:textId="77777777"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 xml:space="preserve">34 (sulci, skull roof); 35 (infraorbital sulcus); 36 (supraorbital sulcus): </w:t>
      </w:r>
      <w:r w:rsidRPr="00A155FA">
        <w:rPr>
          <w:rFonts w:ascii="Times New Roman" w:hAnsi="Times New Roman" w:cs="Times New Roman"/>
        </w:rPr>
        <w:t xml:space="preserve">any taxon coded for state 33–1 (lateral line sulci absent) cannot be coded for any of these characters. Codes for characters 34–36 are strange; for example, nearly all taxa coded for 33–1 were left uncoded for character 34, except for </w:t>
      </w:r>
      <w:r w:rsidRPr="00A155FA">
        <w:rPr>
          <w:rFonts w:ascii="Times New Roman" w:hAnsi="Times New Roman" w:cs="Times New Roman"/>
          <w:i/>
          <w:iCs/>
        </w:rPr>
        <w:t xml:space="preserve">Micropholis stowi </w:t>
      </w:r>
      <w:r w:rsidRPr="00A155FA">
        <w:rPr>
          <w:rFonts w:ascii="Times New Roman" w:hAnsi="Times New Roman" w:cs="Times New Roman"/>
        </w:rPr>
        <w:t xml:space="preserve">(34–0). All temnospondyls that were coded for 33–1 were also previously coded for both 35–0 and 36–0, but the three ‘lepospondyls’ coded for 33–1 were left uncoded for both characters. </w:t>
      </w:r>
    </w:p>
    <w:p w14:paraId="5DD5B5DB"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Character 34: Codes were corrected from 34–0 (sulci present throughout skull roof if present) for </w:t>
      </w:r>
      <w:r w:rsidRPr="00A155FA">
        <w:rPr>
          <w:rFonts w:ascii="Times New Roman" w:hAnsi="Times New Roman" w:cs="Times New Roman"/>
          <w:i/>
          <w:iCs/>
        </w:rPr>
        <w:t>Micropholis</w:t>
      </w:r>
      <w:r w:rsidRPr="00A155FA">
        <w:rPr>
          <w:rFonts w:ascii="Times New Roman" w:hAnsi="Times New Roman" w:cs="Times New Roman"/>
        </w:rPr>
        <w:t xml:space="preserve">. </w:t>
      </w:r>
    </w:p>
    <w:p w14:paraId="6AAE8D4A" w14:textId="1D18C66D"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Character 35: Codes were corrected from 35–0 (infraorbital sulcus with simple curve) for </w:t>
      </w:r>
      <w:r w:rsidRPr="00A155FA">
        <w:rPr>
          <w:rFonts w:ascii="Times New Roman" w:hAnsi="Times New Roman" w:cs="Times New Roman"/>
          <w:i/>
          <w:iCs/>
        </w:rPr>
        <w:t>Edops, Cochleosaurus, Dendrerpeton, Balanerpeton, Acanthostomatops, Zatrachys, Apateon, Micropholis, Platyrhinops, Doleserpeton, Amphibamus</w:t>
      </w:r>
      <w:r w:rsidRPr="00A155FA">
        <w:rPr>
          <w:rFonts w:ascii="Times New Roman" w:hAnsi="Times New Roman" w:cs="Times New Roman"/>
        </w:rPr>
        <w:t>,</w:t>
      </w:r>
      <w:r w:rsidRPr="00A155FA">
        <w:rPr>
          <w:rFonts w:ascii="Times New Roman" w:hAnsi="Times New Roman" w:cs="Times New Roman"/>
          <w:i/>
          <w:iCs/>
        </w:rPr>
        <w:t xml:space="preserve"> Dissorophus, Cacops, Broiliellus, Acheloma, Phonerpeton, Onchiodon, </w:t>
      </w:r>
      <w:r w:rsidRPr="00A155FA">
        <w:rPr>
          <w:rFonts w:ascii="Times New Roman" w:hAnsi="Times New Roman" w:cs="Times New Roman"/>
        </w:rPr>
        <w:t>and</w:t>
      </w:r>
      <w:r w:rsidRPr="00A155FA">
        <w:rPr>
          <w:rFonts w:ascii="Times New Roman" w:hAnsi="Times New Roman" w:cs="Times New Roman"/>
          <w:i/>
          <w:iCs/>
        </w:rPr>
        <w:t xml:space="preserve"> Eryops</w:t>
      </w:r>
      <w:r w:rsidRPr="00A155FA">
        <w:rPr>
          <w:rFonts w:ascii="Times New Roman" w:hAnsi="Times New Roman" w:cs="Times New Roman"/>
        </w:rPr>
        <w:t xml:space="preserve">. </w:t>
      </w:r>
    </w:p>
    <w:p w14:paraId="456F3DF4" w14:textId="73CC510E"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Character 36: Codes were corrected from 36–0 (supraorbital sulcus passing entirely through nasal) for </w:t>
      </w:r>
      <w:r w:rsidRPr="00A155FA">
        <w:rPr>
          <w:rFonts w:ascii="Times New Roman" w:hAnsi="Times New Roman" w:cs="Times New Roman"/>
          <w:i/>
          <w:iCs/>
        </w:rPr>
        <w:t>Edops, Cochleosaurus, Dendrerpeton, Balanerpeton, Acanthostomatops, Zatrachys, Apateon, Micropholis, Platyrhinops, Doleserpeton, Amphibamus</w:t>
      </w:r>
      <w:r w:rsidRPr="00A155FA">
        <w:rPr>
          <w:rFonts w:ascii="Times New Roman" w:hAnsi="Times New Roman" w:cs="Times New Roman"/>
        </w:rPr>
        <w:t>,</w:t>
      </w:r>
      <w:r w:rsidRPr="00A155FA">
        <w:rPr>
          <w:rFonts w:ascii="Times New Roman" w:hAnsi="Times New Roman" w:cs="Times New Roman"/>
          <w:i/>
          <w:iCs/>
        </w:rPr>
        <w:t xml:space="preserve"> Dissorophus, Cacops, Broiliellus, Acheloma, Phonerpeton, Onchiodon, </w:t>
      </w:r>
      <w:r w:rsidRPr="00A155FA">
        <w:rPr>
          <w:rFonts w:ascii="Times New Roman" w:hAnsi="Times New Roman" w:cs="Times New Roman"/>
        </w:rPr>
        <w:t>and</w:t>
      </w:r>
      <w:r w:rsidRPr="00A155FA">
        <w:rPr>
          <w:rFonts w:ascii="Times New Roman" w:hAnsi="Times New Roman" w:cs="Times New Roman"/>
          <w:i/>
          <w:iCs/>
        </w:rPr>
        <w:t xml:space="preserve"> Eryops</w:t>
      </w:r>
      <w:r w:rsidRPr="00A155FA">
        <w:rPr>
          <w:rFonts w:ascii="Times New Roman" w:hAnsi="Times New Roman" w:cs="Times New Roman"/>
        </w:rPr>
        <w:t xml:space="preserve">. </w:t>
      </w:r>
    </w:p>
    <w:p w14:paraId="57A88CF6" w14:textId="394A464E"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i/>
          <w:iCs/>
        </w:rPr>
        <w:lastRenderedPageBreak/>
        <w:t>Gerobatrachus hottoni</w:t>
      </w:r>
      <w:r w:rsidRPr="00A155FA">
        <w:rPr>
          <w:rFonts w:ascii="Times New Roman" w:hAnsi="Times New Roman" w:cs="Times New Roman"/>
        </w:rPr>
        <w:t xml:space="preserve"> was originally coded for 36–0 but uncoded for 33, 34, and 35. This was corrected to ‘?’ for character 36 (see above comments on coding of character 33 only for adults; note also that the single specimen is only exposed ventrally; Anderson et al., 2008</w:t>
      </w:r>
      <w:r w:rsidR="002639C2">
        <w:rPr>
          <w:rFonts w:ascii="Times New Roman" w:hAnsi="Times New Roman" w:cs="Times New Roman"/>
        </w:rPr>
        <w:t>b</w:t>
      </w:r>
      <w:r w:rsidRPr="00A155FA">
        <w:rPr>
          <w:rFonts w:ascii="Times New Roman" w:hAnsi="Times New Roman" w:cs="Times New Roman"/>
        </w:rPr>
        <w:t xml:space="preserve">). </w:t>
      </w:r>
    </w:p>
    <w:p w14:paraId="7834929B"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For all three characters, all taxa originally coded as unknown were updated to inapplicable for consistency.</w:t>
      </w:r>
    </w:p>
    <w:p w14:paraId="13E92AF7" w14:textId="77777777"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 xml:space="preserve">36 (supraorbital sulcus): </w:t>
      </w:r>
      <w:r w:rsidRPr="00A155FA">
        <w:rPr>
          <w:rFonts w:ascii="Times New Roman" w:hAnsi="Times New Roman" w:cs="Times New Roman"/>
        </w:rPr>
        <w:t xml:space="preserve">this character cannot be modified like characters 25 and 35 to omit the lacrimal as a reference point because there is a genuine difference between some taxa in which the groove passes onto the nasal and prefrontal but not the lacrimal (some capitosaurs) and others in which it passes onto these elements and the lacrimal (e.g., </w:t>
      </w:r>
      <w:r w:rsidRPr="00A155FA">
        <w:rPr>
          <w:rFonts w:ascii="Times New Roman" w:hAnsi="Times New Roman" w:cs="Times New Roman"/>
          <w:i/>
          <w:iCs/>
        </w:rPr>
        <w:t>Mastodonsaurus</w:t>
      </w:r>
      <w:r w:rsidRPr="00A155FA">
        <w:rPr>
          <w:rFonts w:ascii="Times New Roman" w:hAnsi="Times New Roman" w:cs="Times New Roman"/>
        </w:rPr>
        <w:t>). Additionally, the state in which it contacts the nasal and prefrontal is technically not captured. The character is modified to add a state for this. However, this character therefore cannot be coded for taxa without either lacrimals or prefrontals.</w:t>
      </w:r>
    </w:p>
    <w:p w14:paraId="7321F382" w14:textId="34B0605A"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Codes were corrected from 36–0 (supraorbital sulcus passing entirely through nasal) for </w:t>
      </w:r>
      <w:r w:rsidRPr="00A155FA">
        <w:rPr>
          <w:rFonts w:ascii="Times New Roman" w:hAnsi="Times New Roman" w:cs="Times New Roman"/>
          <w:i/>
          <w:iCs/>
        </w:rPr>
        <w:t xml:space="preserve">Siderops, Batrachosuchus, </w:t>
      </w:r>
      <w:r w:rsidRPr="00A155FA">
        <w:rPr>
          <w:rFonts w:ascii="Times New Roman" w:hAnsi="Times New Roman" w:cs="Times New Roman"/>
        </w:rPr>
        <w:t xml:space="preserve">and </w:t>
      </w:r>
      <w:r w:rsidRPr="00A155FA">
        <w:rPr>
          <w:rFonts w:ascii="Times New Roman" w:hAnsi="Times New Roman" w:cs="Times New Roman"/>
          <w:i/>
          <w:iCs/>
        </w:rPr>
        <w:t>Plagiosuchus</w:t>
      </w:r>
      <w:r w:rsidRPr="00A155FA">
        <w:rPr>
          <w:rFonts w:ascii="Times New Roman" w:hAnsi="Times New Roman" w:cs="Times New Roman"/>
        </w:rPr>
        <w:t xml:space="preserve">, which either lack lacrimals (21–1) or prefrontals (314–1). </w:t>
      </w:r>
      <w:r w:rsidRPr="00A155FA">
        <w:rPr>
          <w:rFonts w:ascii="Times New Roman" w:hAnsi="Times New Roman" w:cs="Times New Roman"/>
          <w:i/>
          <w:iCs/>
        </w:rPr>
        <w:t xml:space="preserve">Chinlestegophis, Leptodactylus, Xenopus, Celtedens, Ambystoma, Cryptobranchus, Ichthyophis, Epicrionops, </w:t>
      </w:r>
      <w:r w:rsidRPr="00A155FA">
        <w:rPr>
          <w:rFonts w:ascii="Times New Roman" w:hAnsi="Times New Roman" w:cs="Times New Roman"/>
        </w:rPr>
        <w:t xml:space="preserve">and </w:t>
      </w:r>
      <w:r w:rsidRPr="00A155FA">
        <w:rPr>
          <w:rFonts w:ascii="Times New Roman" w:hAnsi="Times New Roman" w:cs="Times New Roman"/>
          <w:i/>
          <w:iCs/>
        </w:rPr>
        <w:t>Eocaecilia</w:t>
      </w:r>
      <w:r w:rsidRPr="00A155FA">
        <w:rPr>
          <w:rFonts w:ascii="Times New Roman" w:hAnsi="Times New Roman" w:cs="Times New Roman"/>
        </w:rPr>
        <w:t xml:space="preserve"> were updated from unknown to inapplicable for consistency. </w:t>
      </w:r>
    </w:p>
    <w:p w14:paraId="7887C1C0"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Codes were recoded to 36–1 for </w:t>
      </w:r>
      <w:r w:rsidRPr="00A155FA">
        <w:rPr>
          <w:rFonts w:ascii="Times New Roman" w:hAnsi="Times New Roman" w:cs="Times New Roman"/>
          <w:i/>
          <w:iCs/>
        </w:rPr>
        <w:t>Greererpeton</w:t>
      </w:r>
      <w:r w:rsidRPr="00A155FA">
        <w:rPr>
          <w:rFonts w:ascii="Times New Roman" w:hAnsi="Times New Roman" w:cs="Times New Roman"/>
        </w:rPr>
        <w:t xml:space="preserve">, </w:t>
      </w:r>
      <w:r w:rsidRPr="00A155FA">
        <w:rPr>
          <w:rFonts w:ascii="Times New Roman" w:hAnsi="Times New Roman" w:cs="Times New Roman"/>
          <w:i/>
          <w:iCs/>
        </w:rPr>
        <w:t>Micromelerpeton</w:t>
      </w:r>
      <w:r w:rsidRPr="00A155FA">
        <w:rPr>
          <w:rFonts w:ascii="Times New Roman" w:hAnsi="Times New Roman" w:cs="Times New Roman"/>
        </w:rPr>
        <w:t xml:space="preserve">, </w:t>
      </w:r>
      <w:r w:rsidRPr="00A155FA">
        <w:rPr>
          <w:rFonts w:ascii="Times New Roman" w:hAnsi="Times New Roman" w:cs="Times New Roman"/>
          <w:i/>
          <w:iCs/>
        </w:rPr>
        <w:t>Archegosaurus</w:t>
      </w:r>
      <w:r w:rsidRPr="00A155FA">
        <w:rPr>
          <w:rFonts w:ascii="Times New Roman" w:hAnsi="Times New Roman" w:cs="Times New Roman"/>
        </w:rPr>
        <w:t xml:space="preserve">, </w:t>
      </w:r>
      <w:r w:rsidRPr="00A155FA">
        <w:rPr>
          <w:rFonts w:ascii="Times New Roman" w:hAnsi="Times New Roman" w:cs="Times New Roman"/>
          <w:i/>
          <w:iCs/>
        </w:rPr>
        <w:t>Uranocentrodon</w:t>
      </w:r>
      <w:r w:rsidRPr="00A155FA">
        <w:rPr>
          <w:rFonts w:ascii="Times New Roman" w:hAnsi="Times New Roman" w:cs="Times New Roman"/>
        </w:rPr>
        <w:t xml:space="preserve">, </w:t>
      </w:r>
      <w:r w:rsidRPr="00A155FA">
        <w:rPr>
          <w:rFonts w:ascii="Times New Roman" w:hAnsi="Times New Roman" w:cs="Times New Roman"/>
          <w:i/>
          <w:iCs/>
        </w:rPr>
        <w:t>Lydekkerina</w:t>
      </w:r>
      <w:r w:rsidRPr="00A155FA">
        <w:rPr>
          <w:rFonts w:ascii="Times New Roman" w:hAnsi="Times New Roman" w:cs="Times New Roman"/>
        </w:rPr>
        <w:t xml:space="preserve">, </w:t>
      </w:r>
      <w:r w:rsidRPr="00A155FA">
        <w:rPr>
          <w:rFonts w:ascii="Times New Roman" w:hAnsi="Times New Roman" w:cs="Times New Roman"/>
          <w:i/>
          <w:iCs/>
        </w:rPr>
        <w:t>Gerrothorax</w:t>
      </w:r>
      <w:r w:rsidRPr="00A155FA">
        <w:rPr>
          <w:rFonts w:ascii="Times New Roman" w:hAnsi="Times New Roman" w:cs="Times New Roman"/>
        </w:rPr>
        <w:t xml:space="preserve">, and </w:t>
      </w:r>
      <w:r w:rsidRPr="00A155FA">
        <w:rPr>
          <w:rFonts w:ascii="Times New Roman" w:hAnsi="Times New Roman" w:cs="Times New Roman"/>
          <w:i/>
          <w:iCs/>
        </w:rPr>
        <w:t>Parotosuchus,</w:t>
      </w:r>
    </w:p>
    <w:p w14:paraId="0B20E8F3"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Codes were recoded to 36–2 for </w:t>
      </w:r>
      <w:r w:rsidRPr="00A155FA">
        <w:rPr>
          <w:rFonts w:ascii="Times New Roman" w:hAnsi="Times New Roman" w:cs="Times New Roman"/>
          <w:i/>
          <w:iCs/>
        </w:rPr>
        <w:t>Sangaia</w:t>
      </w:r>
      <w:r w:rsidRPr="00A155FA">
        <w:rPr>
          <w:rFonts w:ascii="Times New Roman" w:hAnsi="Times New Roman" w:cs="Times New Roman"/>
        </w:rPr>
        <w:t xml:space="preserve">, </w:t>
      </w:r>
      <w:r w:rsidRPr="00A155FA">
        <w:rPr>
          <w:rFonts w:ascii="Times New Roman" w:hAnsi="Times New Roman" w:cs="Times New Roman"/>
          <w:i/>
          <w:iCs/>
        </w:rPr>
        <w:t>Edingerella</w:t>
      </w:r>
      <w:r w:rsidRPr="00A155FA">
        <w:rPr>
          <w:rFonts w:ascii="Times New Roman" w:hAnsi="Times New Roman" w:cs="Times New Roman"/>
        </w:rPr>
        <w:t xml:space="preserve">, </w:t>
      </w:r>
      <w:r w:rsidRPr="00A155FA">
        <w:rPr>
          <w:rFonts w:ascii="Times New Roman" w:hAnsi="Times New Roman" w:cs="Times New Roman"/>
          <w:i/>
          <w:iCs/>
        </w:rPr>
        <w:t>Benthosuchus</w:t>
      </w:r>
      <w:r w:rsidRPr="00A155FA">
        <w:rPr>
          <w:rFonts w:ascii="Times New Roman" w:hAnsi="Times New Roman" w:cs="Times New Roman"/>
        </w:rPr>
        <w:t xml:space="preserve">, </w:t>
      </w:r>
      <w:r w:rsidRPr="00A155FA">
        <w:rPr>
          <w:rFonts w:ascii="Times New Roman" w:hAnsi="Times New Roman" w:cs="Times New Roman"/>
          <w:i/>
          <w:iCs/>
        </w:rPr>
        <w:t>Trematosaurus</w:t>
      </w:r>
      <w:r w:rsidRPr="00A155FA">
        <w:rPr>
          <w:rFonts w:ascii="Times New Roman" w:hAnsi="Times New Roman" w:cs="Times New Roman"/>
        </w:rPr>
        <w:t xml:space="preserve">, </w:t>
      </w:r>
      <w:r w:rsidRPr="00A155FA">
        <w:rPr>
          <w:rFonts w:ascii="Times New Roman" w:hAnsi="Times New Roman" w:cs="Times New Roman"/>
          <w:i/>
          <w:iCs/>
        </w:rPr>
        <w:t>Lyrocephaliscus</w:t>
      </w:r>
      <w:r w:rsidRPr="00A155FA">
        <w:rPr>
          <w:rFonts w:ascii="Times New Roman" w:hAnsi="Times New Roman" w:cs="Times New Roman"/>
        </w:rPr>
        <w:t xml:space="preserve">, </w:t>
      </w:r>
      <w:r w:rsidRPr="00A155FA">
        <w:rPr>
          <w:rFonts w:ascii="Times New Roman" w:hAnsi="Times New Roman" w:cs="Times New Roman"/>
          <w:i/>
          <w:iCs/>
        </w:rPr>
        <w:t>Metoposaurus</w:t>
      </w:r>
      <w:r w:rsidRPr="00A155FA">
        <w:rPr>
          <w:rFonts w:ascii="Times New Roman" w:hAnsi="Times New Roman" w:cs="Times New Roman"/>
        </w:rPr>
        <w:t xml:space="preserve">, </w:t>
      </w:r>
      <w:r w:rsidRPr="00A155FA">
        <w:rPr>
          <w:rFonts w:ascii="Times New Roman" w:hAnsi="Times New Roman" w:cs="Times New Roman"/>
          <w:i/>
          <w:iCs/>
        </w:rPr>
        <w:t>Paracyclotosaurus</w:t>
      </w:r>
      <w:r w:rsidRPr="00A155FA">
        <w:rPr>
          <w:rFonts w:ascii="Times New Roman" w:hAnsi="Times New Roman" w:cs="Times New Roman"/>
        </w:rPr>
        <w:t xml:space="preserve">, and </w:t>
      </w:r>
      <w:r w:rsidRPr="00A155FA">
        <w:rPr>
          <w:rFonts w:ascii="Times New Roman" w:hAnsi="Times New Roman" w:cs="Times New Roman"/>
          <w:i/>
          <w:iCs/>
        </w:rPr>
        <w:t>Mastodonsaurus.</w:t>
      </w:r>
    </w:p>
    <w:p w14:paraId="0895720C"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i/>
          <w:iCs/>
        </w:rPr>
        <w:t xml:space="preserve">Trimerorhachis </w:t>
      </w:r>
      <w:r w:rsidRPr="00A155FA">
        <w:rPr>
          <w:rFonts w:ascii="Times New Roman" w:hAnsi="Times New Roman" w:cs="Times New Roman"/>
        </w:rPr>
        <w:t>was recoded as ‘1&amp;2’ (Milner &amp; Schoch, 2013:fig. 2).</w:t>
      </w:r>
    </w:p>
    <w:p w14:paraId="6844D993"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i/>
          <w:iCs/>
        </w:rPr>
        <w:t xml:space="preserve">Glanochthon </w:t>
      </w:r>
      <w:r w:rsidRPr="00A155FA">
        <w:rPr>
          <w:rFonts w:ascii="Times New Roman" w:hAnsi="Times New Roman" w:cs="Times New Roman"/>
        </w:rPr>
        <w:t xml:space="preserve">was uncoded as there is no explicit description or figuring of this specific sulcus (Schoch &amp; Witzmann, 2009b:126, fig. 2C). </w:t>
      </w:r>
    </w:p>
    <w:p w14:paraId="345BC47B" w14:textId="1AFEEE73"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 xml:space="preserve">39 (prefrontal, frontal): </w:t>
      </w:r>
      <w:r w:rsidRPr="00A155FA">
        <w:rPr>
          <w:rFonts w:ascii="Times New Roman" w:hAnsi="Times New Roman" w:cs="Times New Roman"/>
        </w:rPr>
        <w:t>this character did not encompass the state where the prefrontal terminates posterior to the anterior extent of the frontal. A third state was added for this. The language for 39</w:t>
      </w:r>
      <w:r w:rsidRPr="00A155FA">
        <w:rPr>
          <w:rFonts w:ascii="Times New Roman" w:hAnsi="Times New Roman" w:cs="Times New Roman"/>
        </w:rPr>
        <w:softHyphen/>
        <w:t>–0 was changed to more clearly indicate that this refers to the anterior extent, not the element’s length, which may have caused some previous confusion based on examination of codes added by Pardo et al. (2017a); because this is not certain, these corrections are listed in the taxon-specific section.</w:t>
      </w:r>
    </w:p>
    <w:p w14:paraId="3F8D61A0"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Codes were updated to 39–2 for </w:t>
      </w:r>
      <w:r w:rsidRPr="00A155FA">
        <w:rPr>
          <w:rFonts w:ascii="Times New Roman" w:hAnsi="Times New Roman" w:cs="Times New Roman"/>
          <w:i/>
          <w:iCs/>
        </w:rPr>
        <w:t xml:space="preserve">Rileymillerus </w:t>
      </w:r>
      <w:r w:rsidRPr="00A155FA">
        <w:rPr>
          <w:rFonts w:ascii="Times New Roman" w:hAnsi="Times New Roman" w:cs="Times New Roman"/>
        </w:rPr>
        <w:t xml:space="preserve">and </w:t>
      </w:r>
      <w:r w:rsidRPr="00A155FA">
        <w:rPr>
          <w:rFonts w:ascii="Times New Roman" w:hAnsi="Times New Roman" w:cs="Times New Roman"/>
          <w:i/>
          <w:iCs/>
        </w:rPr>
        <w:t>Cryptobranchus</w:t>
      </w:r>
      <w:r w:rsidRPr="00A155FA">
        <w:rPr>
          <w:rFonts w:ascii="Times New Roman" w:hAnsi="Times New Roman" w:cs="Times New Roman"/>
        </w:rPr>
        <w:t>.</w:t>
      </w:r>
    </w:p>
    <w:p w14:paraId="2DE700C8" w14:textId="77777777"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36 (supraorbital sulcus); 39 (prefrontal, frontal); 40 (prefrontal, anterior end); 41 (prefrontal, lateral suture); 42 (prefrontal-postfrontal); 43 (prefrontal, process); 44 (prefrontal-jugal); 45 (prefrontal-maxilla); 226 (prefrontal contributes to external naris)</w:t>
      </w:r>
      <w:r w:rsidRPr="00A155FA">
        <w:rPr>
          <w:rFonts w:ascii="Times New Roman" w:hAnsi="Times New Roman" w:cs="Times New Roman"/>
        </w:rPr>
        <w:t>: these characters cannot be coded for taxa coded as 314–1 (prefrontals absent).</w:t>
      </w:r>
    </w:p>
    <w:p w14:paraId="1215C157"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Codes were corrected from 36–0 (see above); 39–0 (prefrontal substantially longer than frontal); 40–1 (prefrontal anterior end wide and blunt); 41–0 (prefrontal lateral suture straight or concave); 42–1 (prefrontal-postfrontal separated by frontal); 43–0 (prefrontal-lacrimal suture simple); 44–1 (prefrontal-jugal in contact); and 45–0 (prefrontal-maxilla separated) for </w:t>
      </w:r>
      <w:r w:rsidRPr="00A155FA">
        <w:rPr>
          <w:rFonts w:ascii="Times New Roman" w:hAnsi="Times New Roman" w:cs="Times New Roman"/>
          <w:i/>
          <w:iCs/>
        </w:rPr>
        <w:t>Plagiosuchus</w:t>
      </w:r>
      <w:r w:rsidRPr="00A155FA">
        <w:rPr>
          <w:rFonts w:ascii="Times New Roman" w:hAnsi="Times New Roman" w:cs="Times New Roman"/>
        </w:rPr>
        <w:t xml:space="preserve">; the code for character 226 was changed from unknown to inapplicable for consistency for this taxon. </w:t>
      </w:r>
    </w:p>
    <w:p w14:paraId="67A6E16C"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Codes for all eight characters were updated from unknown to inapplicable for </w:t>
      </w:r>
      <w:r w:rsidRPr="00A155FA">
        <w:rPr>
          <w:rFonts w:ascii="Times New Roman" w:hAnsi="Times New Roman" w:cs="Times New Roman"/>
          <w:i/>
          <w:iCs/>
        </w:rPr>
        <w:t xml:space="preserve">Leptodactylus </w:t>
      </w:r>
      <w:r w:rsidRPr="00A155FA">
        <w:rPr>
          <w:rFonts w:ascii="Times New Roman" w:hAnsi="Times New Roman" w:cs="Times New Roman"/>
        </w:rPr>
        <w:t xml:space="preserve">and </w:t>
      </w:r>
      <w:r w:rsidRPr="00A155FA">
        <w:rPr>
          <w:rFonts w:ascii="Times New Roman" w:hAnsi="Times New Roman" w:cs="Times New Roman"/>
          <w:i/>
          <w:iCs/>
        </w:rPr>
        <w:t xml:space="preserve">Xenopus </w:t>
      </w:r>
      <w:r w:rsidRPr="00A155FA">
        <w:rPr>
          <w:rFonts w:ascii="Times New Roman" w:hAnsi="Times New Roman" w:cs="Times New Roman"/>
        </w:rPr>
        <w:t>for consistency.</w:t>
      </w:r>
    </w:p>
    <w:p w14:paraId="0822DCA1" w14:textId="77777777" w:rsidR="00FA06B2" w:rsidRPr="00A155FA" w:rsidRDefault="00FA06B2" w:rsidP="00A30351">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lastRenderedPageBreak/>
        <w:t xml:space="preserve">42 (prefrontal-postfrontal): </w:t>
      </w:r>
      <w:r w:rsidRPr="00A155FA">
        <w:rPr>
          <w:rFonts w:ascii="Times New Roman" w:hAnsi="Times New Roman" w:cs="Times New Roman"/>
        </w:rPr>
        <w:t xml:space="preserve">a large number of taxa originally coded for this character by Schoch (2013) were coded for the wrong state. This does not seem to be a random typographic error, but there is also no evidence for the character states having been merely inverted because some taxa were correctly coded. State 42–1 (separated by frontal) occurs in the majority of dissorophoids (but not in early-diverging Carboniferous taxa) and most capitosaurs. All dissorophoids were originally coded for 42–1, even though Carboniferous taxa like </w:t>
      </w:r>
      <w:r w:rsidRPr="00A155FA">
        <w:rPr>
          <w:rFonts w:ascii="Times New Roman" w:hAnsi="Times New Roman" w:cs="Times New Roman"/>
          <w:i/>
          <w:iCs/>
        </w:rPr>
        <w:t>Platyrhinops</w:t>
      </w:r>
      <w:r w:rsidRPr="00A155FA">
        <w:rPr>
          <w:rFonts w:ascii="Times New Roman" w:hAnsi="Times New Roman" w:cs="Times New Roman"/>
        </w:rPr>
        <w:t xml:space="preserve"> have a prefrontal-postfrontal contact (e.g., Clack &amp; Milner, 2010). Conversely, all capitosaurs were originally coded for 42–0, even though taxa like </w:t>
      </w:r>
      <w:r w:rsidRPr="00A155FA">
        <w:rPr>
          <w:rFonts w:ascii="Times New Roman" w:hAnsi="Times New Roman" w:cs="Times New Roman"/>
          <w:i/>
          <w:iCs/>
        </w:rPr>
        <w:t xml:space="preserve">Parotosuchus </w:t>
      </w:r>
      <w:r w:rsidRPr="00A155FA">
        <w:rPr>
          <w:rFonts w:ascii="Times New Roman" w:hAnsi="Times New Roman" w:cs="Times New Roman"/>
        </w:rPr>
        <w:t xml:space="preserve">and </w:t>
      </w:r>
      <w:r w:rsidRPr="00A155FA">
        <w:rPr>
          <w:rFonts w:ascii="Times New Roman" w:hAnsi="Times New Roman" w:cs="Times New Roman"/>
          <w:i/>
          <w:iCs/>
        </w:rPr>
        <w:t xml:space="preserve">Mastodonsaurus </w:t>
      </w:r>
      <w:r w:rsidRPr="00A155FA">
        <w:rPr>
          <w:rFonts w:ascii="Times New Roman" w:hAnsi="Times New Roman" w:cs="Times New Roman"/>
        </w:rPr>
        <w:t>lack this contact (e.g., Schoch, 1999, 2018). These observations lend further credence to the hypothesis that the errors are not random typographic errors.</w:t>
      </w:r>
    </w:p>
    <w:p w14:paraId="3C76D1A6" w14:textId="77777777" w:rsidR="00FA06B2" w:rsidRPr="00A155FA" w:rsidRDefault="00FA06B2" w:rsidP="00A30351">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The following taxa were corrected from 42–0 (prefrontal-postfrontal contact) to 42–1: </w:t>
      </w:r>
      <w:r w:rsidRPr="00A155FA">
        <w:rPr>
          <w:rFonts w:ascii="Times New Roman" w:hAnsi="Times New Roman" w:cs="Times New Roman"/>
          <w:i/>
          <w:iCs/>
        </w:rPr>
        <w:t>Edingerella</w:t>
      </w:r>
      <w:r w:rsidRPr="00A155FA">
        <w:rPr>
          <w:rFonts w:ascii="Times New Roman" w:hAnsi="Times New Roman" w:cs="Times New Roman"/>
        </w:rPr>
        <w:t xml:space="preserve">, </w:t>
      </w:r>
      <w:r w:rsidRPr="00A155FA">
        <w:rPr>
          <w:rFonts w:ascii="Times New Roman" w:hAnsi="Times New Roman" w:cs="Times New Roman"/>
          <w:i/>
          <w:iCs/>
        </w:rPr>
        <w:t>Parotosuchus</w:t>
      </w:r>
      <w:r w:rsidRPr="00A155FA">
        <w:rPr>
          <w:rFonts w:ascii="Times New Roman" w:hAnsi="Times New Roman" w:cs="Times New Roman"/>
        </w:rPr>
        <w:t xml:space="preserve">, </w:t>
      </w:r>
      <w:r w:rsidRPr="00A155FA">
        <w:rPr>
          <w:rFonts w:ascii="Times New Roman" w:hAnsi="Times New Roman" w:cs="Times New Roman"/>
          <w:i/>
          <w:iCs/>
        </w:rPr>
        <w:t>Paracyclotosaurus</w:t>
      </w:r>
      <w:r w:rsidRPr="00A155FA">
        <w:rPr>
          <w:rFonts w:ascii="Times New Roman" w:hAnsi="Times New Roman" w:cs="Times New Roman"/>
        </w:rPr>
        <w:t xml:space="preserve">, </w:t>
      </w:r>
      <w:r w:rsidRPr="00A155FA">
        <w:rPr>
          <w:rFonts w:ascii="Times New Roman" w:hAnsi="Times New Roman" w:cs="Times New Roman"/>
          <w:i/>
          <w:iCs/>
        </w:rPr>
        <w:t>Cyclotosaurus</w:t>
      </w:r>
      <w:r w:rsidRPr="00A155FA">
        <w:rPr>
          <w:rFonts w:ascii="Times New Roman" w:hAnsi="Times New Roman" w:cs="Times New Roman"/>
        </w:rPr>
        <w:t xml:space="preserve">, and </w:t>
      </w:r>
      <w:r w:rsidRPr="00A155FA">
        <w:rPr>
          <w:rFonts w:ascii="Times New Roman" w:hAnsi="Times New Roman" w:cs="Times New Roman"/>
          <w:i/>
          <w:iCs/>
        </w:rPr>
        <w:t>Mastodonsaurus</w:t>
      </w:r>
      <w:r w:rsidRPr="00A155FA">
        <w:rPr>
          <w:rFonts w:ascii="Times New Roman" w:hAnsi="Times New Roman" w:cs="Times New Roman"/>
        </w:rPr>
        <w:t>.</w:t>
      </w:r>
    </w:p>
    <w:p w14:paraId="355599E2" w14:textId="77777777" w:rsidR="00FA06B2" w:rsidRPr="00A155FA" w:rsidRDefault="00FA06B2" w:rsidP="00A30351">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The following taxa were corrected from 42–1 (prefrontal-postfrontal separated) to 42–0: </w:t>
      </w:r>
      <w:r w:rsidRPr="00A155FA">
        <w:rPr>
          <w:rFonts w:ascii="Times New Roman" w:hAnsi="Times New Roman" w:cs="Times New Roman"/>
          <w:i/>
          <w:iCs/>
        </w:rPr>
        <w:t>Greererpeton</w:t>
      </w:r>
      <w:r w:rsidRPr="00A155FA">
        <w:rPr>
          <w:rFonts w:ascii="Times New Roman" w:hAnsi="Times New Roman" w:cs="Times New Roman"/>
        </w:rPr>
        <w:t xml:space="preserve">, </w:t>
      </w:r>
      <w:r w:rsidRPr="00A155FA">
        <w:rPr>
          <w:rFonts w:ascii="Times New Roman" w:hAnsi="Times New Roman" w:cs="Times New Roman"/>
          <w:i/>
          <w:iCs/>
        </w:rPr>
        <w:t>Trimerorhachis</w:t>
      </w:r>
      <w:r w:rsidRPr="00A155FA">
        <w:rPr>
          <w:rFonts w:ascii="Times New Roman" w:hAnsi="Times New Roman" w:cs="Times New Roman"/>
        </w:rPr>
        <w:t xml:space="preserve">, </w:t>
      </w:r>
      <w:r w:rsidRPr="00A155FA">
        <w:rPr>
          <w:rFonts w:ascii="Times New Roman" w:hAnsi="Times New Roman" w:cs="Times New Roman"/>
          <w:i/>
          <w:iCs/>
        </w:rPr>
        <w:t>Acanthostomatops</w:t>
      </w:r>
      <w:r w:rsidRPr="00A155FA">
        <w:rPr>
          <w:rFonts w:ascii="Times New Roman" w:hAnsi="Times New Roman" w:cs="Times New Roman"/>
        </w:rPr>
        <w:t xml:space="preserve">, </w:t>
      </w:r>
      <w:r w:rsidRPr="00A155FA">
        <w:rPr>
          <w:rFonts w:ascii="Times New Roman" w:hAnsi="Times New Roman" w:cs="Times New Roman"/>
          <w:i/>
          <w:iCs/>
        </w:rPr>
        <w:t>Zatrachys</w:t>
      </w:r>
      <w:r w:rsidRPr="00A155FA">
        <w:rPr>
          <w:rFonts w:ascii="Times New Roman" w:hAnsi="Times New Roman" w:cs="Times New Roman"/>
        </w:rPr>
        <w:t xml:space="preserve">, </w:t>
      </w:r>
      <w:r w:rsidRPr="00A155FA">
        <w:rPr>
          <w:rFonts w:ascii="Times New Roman" w:hAnsi="Times New Roman" w:cs="Times New Roman"/>
          <w:i/>
          <w:iCs/>
        </w:rPr>
        <w:t>Platyrhinops</w:t>
      </w:r>
      <w:r w:rsidRPr="00A155FA">
        <w:rPr>
          <w:rFonts w:ascii="Times New Roman" w:hAnsi="Times New Roman" w:cs="Times New Roman"/>
        </w:rPr>
        <w:t xml:space="preserve">, </w:t>
      </w:r>
      <w:r w:rsidRPr="00A155FA">
        <w:rPr>
          <w:rFonts w:ascii="Times New Roman" w:hAnsi="Times New Roman" w:cs="Times New Roman"/>
          <w:i/>
          <w:iCs/>
        </w:rPr>
        <w:t>Amphibamus</w:t>
      </w:r>
      <w:r w:rsidRPr="00A155FA">
        <w:rPr>
          <w:rFonts w:ascii="Times New Roman" w:hAnsi="Times New Roman" w:cs="Times New Roman"/>
        </w:rPr>
        <w:t xml:space="preserve">, </w:t>
      </w:r>
      <w:r w:rsidRPr="00A155FA">
        <w:rPr>
          <w:rFonts w:ascii="Times New Roman" w:hAnsi="Times New Roman" w:cs="Times New Roman"/>
          <w:i/>
          <w:iCs/>
        </w:rPr>
        <w:t>Onchiodon</w:t>
      </w:r>
      <w:r w:rsidRPr="00A155FA">
        <w:rPr>
          <w:rFonts w:ascii="Times New Roman" w:hAnsi="Times New Roman" w:cs="Times New Roman"/>
        </w:rPr>
        <w:t xml:space="preserve">, </w:t>
      </w:r>
      <w:r w:rsidRPr="00A155FA">
        <w:rPr>
          <w:rFonts w:ascii="Times New Roman" w:hAnsi="Times New Roman" w:cs="Times New Roman"/>
          <w:i/>
          <w:iCs/>
        </w:rPr>
        <w:t>Eryops</w:t>
      </w:r>
      <w:r w:rsidRPr="00A155FA">
        <w:rPr>
          <w:rFonts w:ascii="Times New Roman" w:hAnsi="Times New Roman" w:cs="Times New Roman"/>
        </w:rPr>
        <w:t xml:space="preserve">, </w:t>
      </w:r>
      <w:r w:rsidRPr="00A155FA">
        <w:rPr>
          <w:rFonts w:ascii="Times New Roman" w:hAnsi="Times New Roman" w:cs="Times New Roman"/>
          <w:i/>
          <w:iCs/>
        </w:rPr>
        <w:t>Siderops</w:t>
      </w:r>
      <w:r w:rsidRPr="00A155FA">
        <w:rPr>
          <w:rFonts w:ascii="Times New Roman" w:hAnsi="Times New Roman" w:cs="Times New Roman"/>
        </w:rPr>
        <w:t xml:space="preserve">, and </w:t>
      </w:r>
      <w:r w:rsidRPr="00A155FA">
        <w:rPr>
          <w:rFonts w:ascii="Times New Roman" w:hAnsi="Times New Roman" w:cs="Times New Roman"/>
          <w:i/>
          <w:iCs/>
        </w:rPr>
        <w:t>Batrachosuchus</w:t>
      </w:r>
      <w:r w:rsidRPr="00A155FA">
        <w:rPr>
          <w:rFonts w:ascii="Times New Roman" w:hAnsi="Times New Roman" w:cs="Times New Roman"/>
        </w:rPr>
        <w:t>.</w:t>
      </w:r>
    </w:p>
    <w:p w14:paraId="2FFD3F01" w14:textId="77777777"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42 (prefrontal-postfrontal); 50 (postorbital, postfrontal); 61 (intertemporal and postorbital); 218 (postfrontal shape)</w:t>
      </w:r>
      <w:r w:rsidRPr="00A155FA">
        <w:rPr>
          <w:rFonts w:ascii="Times New Roman" w:hAnsi="Times New Roman" w:cs="Times New Roman"/>
        </w:rPr>
        <w:t>: these characters cannot be coded for taxa coded for 315–1 (postfrontals absent).</w:t>
      </w:r>
    </w:p>
    <w:p w14:paraId="2166E348"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Codes were corrected from 42–1 (see above); 50–0 (postorbital and postfrontal shorter than supratemporal and parietal); and 61–0 (postorbital lateral to postfrontal) for </w:t>
      </w:r>
      <w:r w:rsidRPr="00A155FA">
        <w:rPr>
          <w:rFonts w:ascii="Times New Roman" w:hAnsi="Times New Roman" w:cs="Times New Roman"/>
          <w:i/>
          <w:iCs/>
        </w:rPr>
        <w:t>Plagiosuchus</w:t>
      </w:r>
      <w:r w:rsidRPr="00A155FA">
        <w:rPr>
          <w:rFonts w:ascii="Times New Roman" w:hAnsi="Times New Roman" w:cs="Times New Roman"/>
        </w:rPr>
        <w:t xml:space="preserve">; the code for character 218 was changed from unknown to inapplicable for consistency for this taxon. </w:t>
      </w:r>
    </w:p>
    <w:p w14:paraId="0329F370"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Codes for all four characters were updated from unknown to inapplicable for consistency in </w:t>
      </w:r>
      <w:r w:rsidRPr="00A155FA">
        <w:rPr>
          <w:rFonts w:ascii="Times New Roman" w:hAnsi="Times New Roman" w:cs="Times New Roman"/>
          <w:i/>
          <w:iCs/>
        </w:rPr>
        <w:t>Brachydectes, Celtedens</w:t>
      </w:r>
      <w:r w:rsidRPr="00A155FA">
        <w:rPr>
          <w:rFonts w:ascii="Times New Roman" w:hAnsi="Times New Roman" w:cs="Times New Roman"/>
        </w:rPr>
        <w:t>,</w:t>
      </w:r>
      <w:r w:rsidRPr="00A155FA">
        <w:rPr>
          <w:rFonts w:ascii="Times New Roman" w:hAnsi="Times New Roman" w:cs="Times New Roman"/>
          <w:i/>
          <w:iCs/>
        </w:rPr>
        <w:t xml:space="preserve"> Triadobatrachus, Leptodactylus, Xenopus, Celtedens, Karaurus, Ambystoma, Hynobius, </w:t>
      </w:r>
      <w:r w:rsidRPr="00A155FA">
        <w:rPr>
          <w:rFonts w:ascii="Times New Roman" w:hAnsi="Times New Roman" w:cs="Times New Roman"/>
        </w:rPr>
        <w:t xml:space="preserve">and </w:t>
      </w:r>
      <w:r w:rsidRPr="00A155FA">
        <w:rPr>
          <w:rFonts w:ascii="Times New Roman" w:hAnsi="Times New Roman" w:cs="Times New Roman"/>
          <w:i/>
          <w:iCs/>
        </w:rPr>
        <w:t>Cryptobranchus</w:t>
      </w:r>
      <w:r w:rsidRPr="00A155FA">
        <w:rPr>
          <w:rFonts w:ascii="Times New Roman" w:hAnsi="Times New Roman" w:cs="Times New Roman"/>
        </w:rPr>
        <w:t>.</w:t>
      </w:r>
    </w:p>
    <w:p w14:paraId="3B0334EA" w14:textId="77777777"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 xml:space="preserve">47 (postorbital, shape); 48 (postorbital, end); 49 (postorbital); 50 (postorbital, postfrontal); 61 (intertemporal and postorbital); 231 (shape of postorbital); 232 (parietal-postorbital contact): </w:t>
      </w:r>
      <w:r w:rsidRPr="00A155FA">
        <w:rPr>
          <w:rFonts w:ascii="Times New Roman" w:hAnsi="Times New Roman" w:cs="Times New Roman"/>
        </w:rPr>
        <w:t>these characters cannot be coded for any taxon coded as 230–1 (postorbital absent).</w:t>
      </w:r>
    </w:p>
    <w:p w14:paraId="0511B7D9" w14:textId="77777777" w:rsidR="00FA06B2" w:rsidRPr="007A0A6B"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Codes were corrected from 47–0 (postorbital long triangular, wedged deeply between squamosal and supratemporal); 48–0 (posterior end acutely triangular); 49–0 (not wider than orbit); 50–0 (see above); 61–0 (see above) for </w:t>
      </w:r>
      <w:r w:rsidRPr="00A155FA">
        <w:rPr>
          <w:rFonts w:ascii="Times New Roman" w:hAnsi="Times New Roman" w:cs="Times New Roman"/>
          <w:i/>
          <w:iCs/>
        </w:rPr>
        <w:t>Plagiosuchus</w:t>
      </w:r>
      <w:r w:rsidRPr="00A155FA">
        <w:rPr>
          <w:rFonts w:ascii="Times New Roman" w:hAnsi="Times New Roman" w:cs="Times New Roman"/>
        </w:rPr>
        <w:t>; the codes for characters 231 and 232 were changed from unknown to inapplicable for consistency for this taxon</w:t>
      </w:r>
      <w:r w:rsidRPr="00A155FA">
        <w:rPr>
          <w:rFonts w:ascii="Times New Roman" w:hAnsi="Times New Roman" w:cs="Times New Roman"/>
          <w:i/>
          <w:iCs/>
        </w:rPr>
        <w:t>.</w:t>
      </w:r>
    </w:p>
    <w:p w14:paraId="38443A8F" w14:textId="77777777" w:rsidR="007448A4" w:rsidRPr="00020E87" w:rsidRDefault="007448A4" w:rsidP="007448A4">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Codes were corrected from </w:t>
      </w:r>
      <w:r>
        <w:rPr>
          <w:rFonts w:ascii="Times New Roman" w:hAnsi="Times New Roman" w:cs="Times New Roman"/>
        </w:rPr>
        <w:t>47</w:t>
      </w:r>
      <w:r w:rsidRPr="00A155FA">
        <w:rPr>
          <w:rFonts w:ascii="Times New Roman" w:hAnsi="Times New Roman" w:cs="Times New Roman"/>
        </w:rPr>
        <w:t>–</w:t>
      </w:r>
      <w:r>
        <w:rPr>
          <w:rFonts w:ascii="Times New Roman" w:hAnsi="Times New Roman" w:cs="Times New Roman"/>
        </w:rPr>
        <w:t>1</w:t>
      </w:r>
      <w:r w:rsidRPr="00A155FA">
        <w:rPr>
          <w:rFonts w:ascii="Times New Roman" w:hAnsi="Times New Roman" w:cs="Times New Roman"/>
        </w:rPr>
        <w:t xml:space="preserve"> for </w:t>
      </w:r>
      <w:r w:rsidRPr="00A155FA">
        <w:rPr>
          <w:rFonts w:ascii="Times New Roman" w:hAnsi="Times New Roman" w:cs="Times New Roman"/>
          <w:i/>
          <w:iCs/>
        </w:rPr>
        <w:t>Ichthyophis</w:t>
      </w:r>
      <w:r>
        <w:rPr>
          <w:rFonts w:ascii="Times New Roman" w:hAnsi="Times New Roman" w:cs="Times New Roman"/>
        </w:rPr>
        <w:t xml:space="preserve"> and</w:t>
      </w:r>
      <w:r w:rsidRPr="00A155FA">
        <w:rPr>
          <w:rFonts w:ascii="Times New Roman" w:hAnsi="Times New Roman" w:cs="Times New Roman"/>
        </w:rPr>
        <w:t xml:space="preserve"> </w:t>
      </w:r>
      <w:r w:rsidRPr="00A155FA">
        <w:rPr>
          <w:rFonts w:ascii="Times New Roman" w:hAnsi="Times New Roman" w:cs="Times New Roman"/>
          <w:i/>
          <w:iCs/>
        </w:rPr>
        <w:t>Epicrionops</w:t>
      </w:r>
      <w:r>
        <w:rPr>
          <w:rFonts w:ascii="Times New Roman" w:hAnsi="Times New Roman" w:cs="Times New Roman"/>
          <w:i/>
          <w:iCs/>
        </w:rPr>
        <w:t>.</w:t>
      </w:r>
    </w:p>
    <w:p w14:paraId="13C6B436"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Codes were corrected from 50–0 for </w:t>
      </w:r>
      <w:r w:rsidRPr="00A155FA">
        <w:rPr>
          <w:rFonts w:ascii="Times New Roman" w:hAnsi="Times New Roman" w:cs="Times New Roman"/>
          <w:i/>
          <w:iCs/>
        </w:rPr>
        <w:t>Ichthyophis</w:t>
      </w:r>
      <w:r w:rsidRPr="00A155FA">
        <w:rPr>
          <w:rFonts w:ascii="Times New Roman" w:hAnsi="Times New Roman" w:cs="Times New Roman"/>
        </w:rPr>
        <w:t xml:space="preserve">, </w:t>
      </w:r>
      <w:r w:rsidRPr="00A155FA">
        <w:rPr>
          <w:rFonts w:ascii="Times New Roman" w:hAnsi="Times New Roman" w:cs="Times New Roman"/>
          <w:i/>
          <w:iCs/>
        </w:rPr>
        <w:t>Epicrionops</w:t>
      </w:r>
      <w:r w:rsidRPr="00A155FA">
        <w:rPr>
          <w:rFonts w:ascii="Times New Roman" w:hAnsi="Times New Roman" w:cs="Times New Roman"/>
        </w:rPr>
        <w:t xml:space="preserve">, and </w:t>
      </w:r>
      <w:r w:rsidRPr="00A155FA">
        <w:rPr>
          <w:rFonts w:ascii="Times New Roman" w:hAnsi="Times New Roman" w:cs="Times New Roman"/>
          <w:i/>
          <w:iCs/>
        </w:rPr>
        <w:t>Eocaecilia</w:t>
      </w:r>
      <w:r w:rsidRPr="00A155FA">
        <w:rPr>
          <w:rFonts w:ascii="Times New Roman" w:hAnsi="Times New Roman" w:cs="Times New Roman"/>
        </w:rPr>
        <w:t>.</w:t>
      </w:r>
    </w:p>
    <w:p w14:paraId="48FC2DD2"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Codes for these seven characters were updated from unknown to inapplicable for </w:t>
      </w:r>
      <w:r w:rsidRPr="00A155FA">
        <w:rPr>
          <w:rFonts w:ascii="Times New Roman" w:hAnsi="Times New Roman" w:cs="Times New Roman"/>
          <w:i/>
          <w:iCs/>
        </w:rPr>
        <w:t xml:space="preserve">Triadobatrachus, Leptodactylus, Xenopus, Celtedens, Karaurus, Ambystoma, Hynobius, Cryptobranchus, </w:t>
      </w:r>
      <w:r w:rsidRPr="00A155FA">
        <w:rPr>
          <w:rFonts w:ascii="Times New Roman" w:hAnsi="Times New Roman" w:cs="Times New Roman"/>
        </w:rPr>
        <w:t xml:space="preserve">and </w:t>
      </w:r>
      <w:r w:rsidRPr="00A155FA">
        <w:rPr>
          <w:rFonts w:ascii="Times New Roman" w:hAnsi="Times New Roman" w:cs="Times New Roman"/>
          <w:i/>
          <w:iCs/>
        </w:rPr>
        <w:t xml:space="preserve">Eocaecilia </w:t>
      </w:r>
      <w:r w:rsidRPr="00A155FA">
        <w:rPr>
          <w:rFonts w:ascii="Times New Roman" w:hAnsi="Times New Roman" w:cs="Times New Roman"/>
        </w:rPr>
        <w:t xml:space="preserve">for consistency. </w:t>
      </w:r>
    </w:p>
    <w:p w14:paraId="0D769F98" w14:textId="77777777"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50 (postorbital, postfrontal); 53 (supratemporal); 54 (supratemporal, width); 56 (semilunar flange); 217 (supratemporal exposure on occiput)</w:t>
      </w:r>
      <w:r w:rsidRPr="00A155FA">
        <w:rPr>
          <w:rFonts w:ascii="Times New Roman" w:hAnsi="Times New Roman" w:cs="Times New Roman"/>
        </w:rPr>
        <w:t>: these characters cannot be coded for any taxon coded as 216–1 (supratemporal absent).</w:t>
      </w:r>
    </w:p>
    <w:p w14:paraId="1AD53694"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Character 50: Codes were corrected from 50–0 (postorbital and postfrontal shorter than supratemporal and parietal) for </w:t>
      </w:r>
      <w:r w:rsidRPr="00A155FA">
        <w:rPr>
          <w:rFonts w:ascii="Times New Roman" w:hAnsi="Times New Roman" w:cs="Times New Roman"/>
          <w:i/>
          <w:iCs/>
        </w:rPr>
        <w:t xml:space="preserve">Batropetes </w:t>
      </w:r>
      <w:r w:rsidRPr="00A155FA">
        <w:rPr>
          <w:rFonts w:ascii="Times New Roman" w:hAnsi="Times New Roman" w:cs="Times New Roman"/>
        </w:rPr>
        <w:t xml:space="preserve">and </w:t>
      </w:r>
      <w:r w:rsidRPr="00A155FA">
        <w:rPr>
          <w:rFonts w:ascii="Times New Roman" w:hAnsi="Times New Roman" w:cs="Times New Roman"/>
          <w:i/>
          <w:iCs/>
        </w:rPr>
        <w:t>Rhynchonkos</w:t>
      </w:r>
      <w:r w:rsidRPr="00A155FA">
        <w:rPr>
          <w:rFonts w:ascii="Times New Roman" w:hAnsi="Times New Roman" w:cs="Times New Roman"/>
        </w:rPr>
        <w:t xml:space="preserve">. </w:t>
      </w:r>
    </w:p>
    <w:p w14:paraId="009B93A0"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lastRenderedPageBreak/>
        <w:t xml:space="preserve">Character 56: Codes were corrected from 56–0 (supratemporal without ventral projection into otic notch) for </w:t>
      </w:r>
      <w:r w:rsidRPr="00A155FA">
        <w:rPr>
          <w:rFonts w:ascii="Times New Roman" w:hAnsi="Times New Roman" w:cs="Times New Roman"/>
          <w:i/>
          <w:iCs/>
        </w:rPr>
        <w:t>Batropetes, Rhynchonkos, Leptodactylus</w:t>
      </w:r>
      <w:r w:rsidRPr="00A155FA">
        <w:rPr>
          <w:rFonts w:ascii="Times New Roman" w:hAnsi="Times New Roman" w:cs="Times New Roman"/>
        </w:rPr>
        <w:t>,</w:t>
      </w:r>
      <w:r w:rsidRPr="00A155FA">
        <w:rPr>
          <w:rFonts w:ascii="Times New Roman" w:hAnsi="Times New Roman" w:cs="Times New Roman"/>
          <w:i/>
          <w:iCs/>
        </w:rPr>
        <w:t xml:space="preserve"> </w:t>
      </w:r>
      <w:r w:rsidRPr="00A155FA">
        <w:rPr>
          <w:rFonts w:ascii="Times New Roman" w:hAnsi="Times New Roman" w:cs="Times New Roman"/>
        </w:rPr>
        <w:t xml:space="preserve">and </w:t>
      </w:r>
      <w:r w:rsidRPr="00A155FA">
        <w:rPr>
          <w:rFonts w:ascii="Times New Roman" w:hAnsi="Times New Roman" w:cs="Times New Roman"/>
          <w:i/>
          <w:iCs/>
        </w:rPr>
        <w:t xml:space="preserve">Xenopus. </w:t>
      </w:r>
    </w:p>
    <w:p w14:paraId="6B7B1C04"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Character 217: Codes were corrected from 217–0 (supratemporal exposure on occiput absent) for </w:t>
      </w:r>
      <w:r w:rsidRPr="00A155FA">
        <w:rPr>
          <w:rFonts w:ascii="Times New Roman" w:hAnsi="Times New Roman" w:cs="Times New Roman"/>
          <w:i/>
          <w:iCs/>
        </w:rPr>
        <w:t>Batropetes, Brachydectes, Rhynchonkos</w:t>
      </w:r>
      <w:r w:rsidRPr="00A155FA">
        <w:rPr>
          <w:rFonts w:ascii="Times New Roman" w:hAnsi="Times New Roman" w:cs="Times New Roman"/>
        </w:rPr>
        <w:t xml:space="preserve">, and </w:t>
      </w:r>
      <w:r w:rsidRPr="00A155FA">
        <w:rPr>
          <w:rFonts w:ascii="Times New Roman" w:hAnsi="Times New Roman" w:cs="Times New Roman"/>
          <w:i/>
          <w:iCs/>
        </w:rPr>
        <w:t xml:space="preserve">Celtedens. </w:t>
      </w:r>
    </w:p>
    <w:p w14:paraId="6CEEBCD0"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Codes for these five characters were updated from unknown to inapplicable for the above taxa (when originally coded as unknown) as well as for </w:t>
      </w:r>
      <w:r w:rsidRPr="00A155FA">
        <w:rPr>
          <w:rFonts w:ascii="Times New Roman" w:hAnsi="Times New Roman" w:cs="Times New Roman"/>
          <w:i/>
          <w:iCs/>
        </w:rPr>
        <w:t>Triadobatrachus, Ichthyophis</w:t>
      </w:r>
      <w:r w:rsidRPr="00A155FA">
        <w:rPr>
          <w:rFonts w:ascii="Times New Roman" w:hAnsi="Times New Roman" w:cs="Times New Roman"/>
        </w:rPr>
        <w:t xml:space="preserve">, and </w:t>
      </w:r>
      <w:r w:rsidRPr="00A155FA">
        <w:rPr>
          <w:rFonts w:ascii="Times New Roman" w:hAnsi="Times New Roman" w:cs="Times New Roman"/>
          <w:i/>
          <w:iCs/>
        </w:rPr>
        <w:t xml:space="preserve">Epicrionops </w:t>
      </w:r>
      <w:r w:rsidRPr="00A155FA">
        <w:rPr>
          <w:rFonts w:ascii="Times New Roman" w:hAnsi="Times New Roman" w:cs="Times New Roman"/>
        </w:rPr>
        <w:t xml:space="preserve">for consistency. </w:t>
      </w:r>
    </w:p>
    <w:p w14:paraId="1DCE6A94" w14:textId="77777777"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 xml:space="preserve">52 (otic notch, position); 55 (supratympanic flange); 56 (semilunar flange); 229 (large otic notch approaching orbit): </w:t>
      </w:r>
      <w:r w:rsidRPr="00A155FA">
        <w:rPr>
          <w:rFonts w:ascii="Times New Roman" w:hAnsi="Times New Roman" w:cs="Times New Roman"/>
        </w:rPr>
        <w:t>any taxon coded for 51–1 (otic notch absent, straight transverse posterior skull margin) cannot be coded for these characters (as was properly applied originally for character 52: otic notch position).</w:t>
      </w:r>
    </w:p>
    <w:p w14:paraId="12DB82B7"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Character 55: Codes were corrected from 55–0 (squamosal continuously ornamented around margin of otic notch) for </w:t>
      </w:r>
      <w:r w:rsidRPr="00A155FA">
        <w:rPr>
          <w:rFonts w:ascii="Times New Roman" w:hAnsi="Times New Roman" w:cs="Times New Roman"/>
          <w:i/>
          <w:iCs/>
        </w:rPr>
        <w:t>Greererpeton</w:t>
      </w:r>
      <w:r w:rsidRPr="00A155FA">
        <w:rPr>
          <w:rFonts w:ascii="Times New Roman" w:hAnsi="Times New Roman" w:cs="Times New Roman"/>
        </w:rPr>
        <w:t xml:space="preserve">, </w:t>
      </w:r>
      <w:r w:rsidRPr="00A155FA">
        <w:rPr>
          <w:rFonts w:ascii="Times New Roman" w:hAnsi="Times New Roman" w:cs="Times New Roman"/>
          <w:i/>
          <w:iCs/>
        </w:rPr>
        <w:t xml:space="preserve">Siderops, Batrachosuchus, Plagiosuchus, Sangaia, </w:t>
      </w:r>
      <w:r w:rsidRPr="00A155FA">
        <w:rPr>
          <w:rFonts w:ascii="Times New Roman" w:hAnsi="Times New Roman" w:cs="Times New Roman"/>
        </w:rPr>
        <w:t xml:space="preserve">and </w:t>
      </w:r>
      <w:r w:rsidRPr="00A155FA">
        <w:rPr>
          <w:rFonts w:ascii="Times New Roman" w:hAnsi="Times New Roman" w:cs="Times New Roman"/>
          <w:i/>
          <w:iCs/>
        </w:rPr>
        <w:t>Gerrothorax</w:t>
      </w:r>
      <w:r w:rsidRPr="00A155FA">
        <w:rPr>
          <w:rFonts w:ascii="Times New Roman" w:hAnsi="Times New Roman" w:cs="Times New Roman"/>
        </w:rPr>
        <w:t xml:space="preserve">. </w:t>
      </w:r>
    </w:p>
    <w:p w14:paraId="0A325CE2"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Character 56: Codes were corrected from 56–0 (supratemporal without ventral projection into otic notch) for </w:t>
      </w:r>
      <w:r w:rsidRPr="00A155FA">
        <w:rPr>
          <w:rFonts w:ascii="Times New Roman" w:hAnsi="Times New Roman" w:cs="Times New Roman"/>
          <w:i/>
          <w:iCs/>
        </w:rPr>
        <w:t xml:space="preserve">Greererpeton, Siderops, Batrachosuchus, Plagiosuchus, Sangaia, </w:t>
      </w:r>
      <w:r w:rsidRPr="00A155FA">
        <w:rPr>
          <w:rFonts w:ascii="Times New Roman" w:hAnsi="Times New Roman" w:cs="Times New Roman"/>
        </w:rPr>
        <w:t xml:space="preserve">and </w:t>
      </w:r>
      <w:r w:rsidRPr="00A155FA">
        <w:rPr>
          <w:rFonts w:ascii="Times New Roman" w:hAnsi="Times New Roman" w:cs="Times New Roman"/>
          <w:i/>
          <w:iCs/>
        </w:rPr>
        <w:t>Gerrothorax</w:t>
      </w:r>
      <w:r w:rsidRPr="00A155FA">
        <w:rPr>
          <w:rFonts w:ascii="Times New Roman" w:hAnsi="Times New Roman" w:cs="Times New Roman"/>
        </w:rPr>
        <w:t xml:space="preserve">. </w:t>
      </w:r>
    </w:p>
    <w:p w14:paraId="4921F8A2"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Character 229: Codes were corrected from 229–0 (large otic notch approaching orbit absent) for </w:t>
      </w:r>
      <w:r w:rsidRPr="00A155FA">
        <w:rPr>
          <w:rFonts w:ascii="Times New Roman" w:hAnsi="Times New Roman" w:cs="Times New Roman"/>
          <w:i/>
          <w:iCs/>
        </w:rPr>
        <w:t>Greererpeton</w:t>
      </w:r>
      <w:r w:rsidRPr="00A155FA">
        <w:rPr>
          <w:rFonts w:ascii="Times New Roman" w:hAnsi="Times New Roman" w:cs="Times New Roman"/>
        </w:rPr>
        <w:t xml:space="preserve">, </w:t>
      </w:r>
      <w:r w:rsidRPr="00A155FA">
        <w:rPr>
          <w:rFonts w:ascii="Times New Roman" w:hAnsi="Times New Roman" w:cs="Times New Roman"/>
          <w:i/>
          <w:iCs/>
        </w:rPr>
        <w:t>Brachydectes, Batropetes, Rhynchonkos, Siderops, Batrachosuchus, Plagiosuchus, Sangaia</w:t>
      </w:r>
      <w:r w:rsidRPr="00A155FA">
        <w:rPr>
          <w:rFonts w:ascii="Times New Roman" w:hAnsi="Times New Roman" w:cs="Times New Roman"/>
        </w:rPr>
        <w:t xml:space="preserve">, </w:t>
      </w:r>
      <w:r w:rsidRPr="00A155FA">
        <w:rPr>
          <w:rFonts w:ascii="Times New Roman" w:hAnsi="Times New Roman" w:cs="Times New Roman"/>
          <w:i/>
          <w:iCs/>
        </w:rPr>
        <w:t xml:space="preserve">Gerrothorax, Rileymillerus, Celtedens, Ambystoma, Hynobius, Cryptobranchus, Ichthyophis, </w:t>
      </w:r>
      <w:r w:rsidRPr="00A155FA">
        <w:rPr>
          <w:rFonts w:ascii="Times New Roman" w:hAnsi="Times New Roman" w:cs="Times New Roman"/>
        </w:rPr>
        <w:t xml:space="preserve">and </w:t>
      </w:r>
      <w:r w:rsidRPr="00A155FA">
        <w:rPr>
          <w:rFonts w:ascii="Times New Roman" w:hAnsi="Times New Roman" w:cs="Times New Roman"/>
          <w:i/>
          <w:iCs/>
        </w:rPr>
        <w:t>Epicrionops</w:t>
      </w:r>
      <w:r w:rsidRPr="00A155FA">
        <w:rPr>
          <w:rFonts w:ascii="Times New Roman" w:hAnsi="Times New Roman" w:cs="Times New Roman"/>
        </w:rPr>
        <w:t xml:space="preserve">. Note that state 0 here is not a redundant state with 51–1; 229–0 is coded for many taxa with otic notches, including most temnospondyls. </w:t>
      </w:r>
    </w:p>
    <w:p w14:paraId="374C30F9"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Codes for these four characters were updated from unknown to inapplicable for the above taxa (when originally coded as unknown) as well as for </w:t>
      </w:r>
      <w:r w:rsidRPr="00A155FA">
        <w:rPr>
          <w:rFonts w:ascii="Times New Roman" w:hAnsi="Times New Roman" w:cs="Times New Roman"/>
          <w:i/>
          <w:iCs/>
        </w:rPr>
        <w:t xml:space="preserve">Karaurus </w:t>
      </w:r>
      <w:r w:rsidRPr="00A155FA">
        <w:rPr>
          <w:rFonts w:ascii="Times New Roman" w:hAnsi="Times New Roman" w:cs="Times New Roman"/>
        </w:rPr>
        <w:t xml:space="preserve">and </w:t>
      </w:r>
      <w:r w:rsidRPr="00A155FA">
        <w:rPr>
          <w:rFonts w:ascii="Times New Roman" w:hAnsi="Times New Roman" w:cs="Times New Roman"/>
          <w:i/>
          <w:iCs/>
        </w:rPr>
        <w:t xml:space="preserve">Kokartus </w:t>
      </w:r>
      <w:r w:rsidRPr="00A155FA">
        <w:rPr>
          <w:rFonts w:ascii="Times New Roman" w:hAnsi="Times New Roman" w:cs="Times New Roman"/>
        </w:rPr>
        <w:t xml:space="preserve">for consistency. </w:t>
      </w:r>
    </w:p>
    <w:p w14:paraId="00FF9D4C" w14:textId="77777777" w:rsidR="00FA06B2" w:rsidRPr="00A155FA" w:rsidRDefault="00FA06B2" w:rsidP="00A30351">
      <w:pPr>
        <w:pStyle w:val="ListParagraph"/>
        <w:numPr>
          <w:ilvl w:val="0"/>
          <w:numId w:val="3"/>
        </w:numPr>
        <w:rPr>
          <w:rFonts w:ascii="Times New Roman" w:hAnsi="Times New Roman" w:cs="Times New Roman"/>
        </w:rPr>
      </w:pPr>
      <w:r w:rsidRPr="00A155FA">
        <w:rPr>
          <w:rFonts w:ascii="Times New Roman" w:hAnsi="Times New Roman" w:cs="Times New Roman"/>
          <w:b/>
          <w:bCs/>
        </w:rPr>
        <w:t xml:space="preserve">61 (intertemporal and postorbital); 232 (parietal-postorbital): </w:t>
      </w:r>
      <w:r w:rsidRPr="00A155FA">
        <w:rPr>
          <w:rFonts w:ascii="Times New Roman" w:hAnsi="Times New Roman" w:cs="Times New Roman"/>
        </w:rPr>
        <w:t>the language for character 61 is somewhat vague, but it expresses the same fundamental feature as character 232 –postorbital-parietal contact (original definitions shown below).</w:t>
      </w:r>
    </w:p>
    <w:p w14:paraId="6942221B" w14:textId="77777777" w:rsidR="00FA06B2" w:rsidRPr="00A155FA" w:rsidRDefault="00FA06B2" w:rsidP="00A30351">
      <w:pPr>
        <w:pStyle w:val="ListParagraph"/>
        <w:numPr>
          <w:ilvl w:val="1"/>
          <w:numId w:val="3"/>
        </w:numPr>
        <w:rPr>
          <w:rFonts w:ascii="Times New Roman" w:eastAsia="Times New Roman" w:hAnsi="Times New Roman" w:cs="Times New Roman"/>
          <w:color w:val="222222"/>
        </w:rPr>
      </w:pPr>
      <w:r w:rsidRPr="00A155FA">
        <w:rPr>
          <w:rFonts w:ascii="Times New Roman" w:eastAsia="Times New Roman" w:hAnsi="Times New Roman" w:cs="Times New Roman"/>
          <w:b/>
          <w:bCs/>
          <w:color w:val="222222"/>
        </w:rPr>
        <w:t>61. Intertemporal and postorbital.</w:t>
      </w:r>
      <w:r w:rsidRPr="00A155FA">
        <w:rPr>
          <w:rFonts w:ascii="Times New Roman" w:eastAsia="Times New Roman" w:hAnsi="Times New Roman" w:cs="Times New Roman"/>
          <w:color w:val="222222"/>
        </w:rPr>
        <w:t xml:space="preserve"> Postorbital lateral to postfrontal (0), or expanding medially to replace intertemporal, contacting parietal (1). [</w:t>
      </w:r>
      <w:r w:rsidRPr="00A155FA">
        <w:rPr>
          <w:rFonts w:ascii="Times New Roman" w:eastAsia="Times New Roman" w:hAnsi="Times New Roman" w:cs="Times New Roman"/>
          <w:i/>
          <w:iCs/>
          <w:color w:val="222222"/>
        </w:rPr>
        <w:t>added by Schoch, 2013</w:t>
      </w:r>
      <w:r w:rsidRPr="00A155FA">
        <w:rPr>
          <w:rFonts w:ascii="Times New Roman" w:eastAsia="Times New Roman" w:hAnsi="Times New Roman" w:cs="Times New Roman"/>
          <w:color w:val="222222"/>
        </w:rPr>
        <w:t>]</w:t>
      </w:r>
    </w:p>
    <w:p w14:paraId="29235A2D" w14:textId="77777777" w:rsidR="00FA06B2" w:rsidRPr="00A155FA" w:rsidRDefault="00FA06B2" w:rsidP="00A30351">
      <w:pPr>
        <w:pStyle w:val="ListParagraph"/>
        <w:numPr>
          <w:ilvl w:val="1"/>
          <w:numId w:val="3"/>
        </w:numPr>
        <w:rPr>
          <w:rFonts w:ascii="Times New Roman" w:eastAsia="Times New Roman" w:hAnsi="Times New Roman" w:cs="Times New Roman"/>
          <w:color w:val="222222"/>
        </w:rPr>
      </w:pPr>
      <w:r w:rsidRPr="00A155FA">
        <w:rPr>
          <w:rFonts w:ascii="Times New Roman" w:eastAsia="Times New Roman" w:hAnsi="Times New Roman" w:cs="Times New Roman"/>
          <w:b/>
          <w:bCs/>
          <w:color w:val="222222"/>
        </w:rPr>
        <w:t>232. Parietal-postorbital contact.</w:t>
      </w:r>
      <w:r w:rsidRPr="00A155FA">
        <w:rPr>
          <w:rFonts w:ascii="Times New Roman" w:eastAsia="Times New Roman" w:hAnsi="Times New Roman" w:cs="Times New Roman"/>
          <w:color w:val="222222"/>
        </w:rPr>
        <w:t xml:space="preserve"> Absent (0), present (1). [</w:t>
      </w:r>
      <w:r w:rsidRPr="00A155FA">
        <w:rPr>
          <w:rFonts w:ascii="Times New Roman" w:eastAsia="Times New Roman" w:hAnsi="Times New Roman" w:cs="Times New Roman"/>
          <w:i/>
          <w:iCs/>
          <w:color w:val="222222"/>
        </w:rPr>
        <w:t>added by Pardo et al., 2017</w:t>
      </w:r>
      <w:r w:rsidRPr="00A155FA">
        <w:rPr>
          <w:rFonts w:ascii="Times New Roman" w:eastAsia="Times New Roman" w:hAnsi="Times New Roman" w:cs="Times New Roman"/>
          <w:color w:val="222222"/>
        </w:rPr>
        <w:t>]</w:t>
      </w:r>
    </w:p>
    <w:p w14:paraId="4C4732A9" w14:textId="3E56C9A0" w:rsidR="00FA06B2" w:rsidRPr="00A155FA" w:rsidRDefault="00FA06B2" w:rsidP="00A30351">
      <w:pPr>
        <w:pStyle w:val="ListParagraph"/>
        <w:rPr>
          <w:rFonts w:ascii="Times New Roman" w:hAnsi="Times New Roman" w:cs="Times New Roman"/>
        </w:rPr>
      </w:pPr>
      <w:r w:rsidRPr="00A155FA">
        <w:rPr>
          <w:rFonts w:ascii="Times New Roman" w:hAnsi="Times New Roman" w:cs="Times New Roman"/>
        </w:rPr>
        <w:t xml:space="preserve">Character 61 is maintained in its position but is replaced by the wording of character 232 for clarity, and character 232 was not modified or replaced by a new character (its position is omitted). The only coding change was to the newly substituted </w:t>
      </w:r>
      <w:r w:rsidRPr="00A155FA">
        <w:rPr>
          <w:rFonts w:ascii="Times New Roman" w:hAnsi="Times New Roman" w:cs="Times New Roman"/>
          <w:i/>
          <w:iCs/>
        </w:rPr>
        <w:t>M. krasiejowensis</w:t>
      </w:r>
      <w:r w:rsidRPr="00A155FA">
        <w:rPr>
          <w:rFonts w:ascii="Times New Roman" w:hAnsi="Times New Roman" w:cs="Times New Roman"/>
        </w:rPr>
        <w:t>, which</w:t>
      </w:r>
      <w:r w:rsidRPr="00A155FA">
        <w:rPr>
          <w:rFonts w:ascii="Times New Roman" w:hAnsi="Times New Roman" w:cs="Times New Roman"/>
          <w:i/>
          <w:iCs/>
        </w:rPr>
        <w:t xml:space="preserve"> </w:t>
      </w:r>
      <w:r w:rsidRPr="00A155FA">
        <w:rPr>
          <w:rFonts w:ascii="Times New Roman" w:hAnsi="Times New Roman" w:cs="Times New Roman"/>
        </w:rPr>
        <w:t>is now coded as polymorphic. All other codes were unchanged as the character states are directly equivalent (i.e.</w:t>
      </w:r>
      <w:r w:rsidR="005B2503">
        <w:rPr>
          <w:rFonts w:ascii="Times New Roman" w:hAnsi="Times New Roman" w:cs="Times New Roman"/>
        </w:rPr>
        <w:t>,</w:t>
      </w:r>
      <w:r w:rsidRPr="00A155FA">
        <w:rPr>
          <w:rFonts w:ascii="Times New Roman" w:hAnsi="Times New Roman" w:cs="Times New Roman"/>
        </w:rPr>
        <w:t xml:space="preserve"> both 61–1 and 232–1 were for parietal-postorbital contact). </w:t>
      </w:r>
    </w:p>
    <w:p w14:paraId="626F4DB7" w14:textId="77777777"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 xml:space="preserve">62 (squamosal-tabular); 63 (tabular and squamosal); 65 (tabular, horn); 66 (tabular, extension); 67 (tabular, ventral crest); 71 (posterior skull rim); 234 (parietal-tabular): </w:t>
      </w:r>
      <w:r w:rsidRPr="00A155FA">
        <w:rPr>
          <w:rFonts w:ascii="Times New Roman" w:hAnsi="Times New Roman" w:cs="Times New Roman"/>
        </w:rPr>
        <w:t>these characters cannot be coded for taxa coded for 239–1 (tabular absent; exclusive to lissamphibians).</w:t>
      </w:r>
    </w:p>
    <w:p w14:paraId="63055AE4"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lastRenderedPageBreak/>
        <w:t xml:space="preserve">Character 63: Codes were corrected from 63–0 (tabular and squamosal forming either squamosal embayment or straight posterior margin) for </w:t>
      </w:r>
      <w:r w:rsidRPr="00A155FA">
        <w:rPr>
          <w:rFonts w:ascii="Times New Roman" w:hAnsi="Times New Roman" w:cs="Times New Roman"/>
          <w:i/>
          <w:iCs/>
        </w:rPr>
        <w:t>Karaurus</w:t>
      </w:r>
      <w:r w:rsidRPr="00A155FA">
        <w:rPr>
          <w:rFonts w:ascii="Times New Roman" w:hAnsi="Times New Roman" w:cs="Times New Roman"/>
        </w:rPr>
        <w:t xml:space="preserve">, </w:t>
      </w:r>
      <w:r w:rsidRPr="00A155FA">
        <w:rPr>
          <w:rFonts w:ascii="Times New Roman" w:hAnsi="Times New Roman" w:cs="Times New Roman"/>
          <w:i/>
          <w:iCs/>
        </w:rPr>
        <w:t>Kokartus</w:t>
      </w:r>
      <w:r w:rsidRPr="00A155FA">
        <w:rPr>
          <w:rFonts w:ascii="Times New Roman" w:hAnsi="Times New Roman" w:cs="Times New Roman"/>
        </w:rPr>
        <w:t xml:space="preserve">, </w:t>
      </w:r>
      <w:r w:rsidRPr="00A155FA">
        <w:rPr>
          <w:rFonts w:ascii="Times New Roman" w:hAnsi="Times New Roman" w:cs="Times New Roman"/>
          <w:i/>
          <w:iCs/>
        </w:rPr>
        <w:t>Ambystoma</w:t>
      </w:r>
      <w:r w:rsidRPr="00A155FA">
        <w:rPr>
          <w:rFonts w:ascii="Times New Roman" w:hAnsi="Times New Roman" w:cs="Times New Roman"/>
        </w:rPr>
        <w:t xml:space="preserve">, </w:t>
      </w:r>
      <w:r w:rsidRPr="00A155FA">
        <w:rPr>
          <w:rFonts w:ascii="Times New Roman" w:hAnsi="Times New Roman" w:cs="Times New Roman"/>
          <w:i/>
          <w:iCs/>
        </w:rPr>
        <w:t>Hynobius</w:t>
      </w:r>
      <w:r w:rsidRPr="00A155FA">
        <w:rPr>
          <w:rFonts w:ascii="Times New Roman" w:hAnsi="Times New Roman" w:cs="Times New Roman"/>
        </w:rPr>
        <w:t xml:space="preserve">, and </w:t>
      </w:r>
      <w:r w:rsidRPr="00A155FA">
        <w:rPr>
          <w:rFonts w:ascii="Times New Roman" w:hAnsi="Times New Roman" w:cs="Times New Roman"/>
          <w:i/>
          <w:iCs/>
        </w:rPr>
        <w:t>Cryptobranchus</w:t>
      </w:r>
      <w:r w:rsidRPr="00A155FA">
        <w:rPr>
          <w:rFonts w:ascii="Times New Roman" w:hAnsi="Times New Roman" w:cs="Times New Roman"/>
        </w:rPr>
        <w:t xml:space="preserve">. </w:t>
      </w:r>
    </w:p>
    <w:p w14:paraId="5F7CCEDE"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Character 71: Codes were corrected from 71–0 (quadrate </w:t>
      </w:r>
      <w:proofErr w:type="spellStart"/>
      <w:r w:rsidRPr="00A155FA">
        <w:rPr>
          <w:rFonts w:ascii="Times New Roman" w:hAnsi="Times New Roman" w:cs="Times New Roman"/>
        </w:rPr>
        <w:t>trochea</w:t>
      </w:r>
      <w:proofErr w:type="spellEnd"/>
      <w:r w:rsidRPr="00A155FA">
        <w:rPr>
          <w:rFonts w:ascii="Times New Roman" w:hAnsi="Times New Roman" w:cs="Times New Roman"/>
        </w:rPr>
        <w:t xml:space="preserve"> posterior to tabular horns) for </w:t>
      </w:r>
      <w:r w:rsidRPr="00A155FA">
        <w:rPr>
          <w:rFonts w:ascii="Times New Roman" w:hAnsi="Times New Roman" w:cs="Times New Roman"/>
          <w:i/>
          <w:iCs/>
        </w:rPr>
        <w:t xml:space="preserve">Triadobatrachus. </w:t>
      </w:r>
      <w:r w:rsidRPr="00A155FA">
        <w:rPr>
          <w:rFonts w:ascii="Times New Roman" w:hAnsi="Times New Roman" w:cs="Times New Roman"/>
        </w:rPr>
        <w:t xml:space="preserve">Codes were corrected from 71–1 (quadrate trochlea at one level or anterior to tabular horns) for </w:t>
      </w:r>
      <w:r w:rsidRPr="00A155FA">
        <w:rPr>
          <w:rFonts w:ascii="Times New Roman" w:hAnsi="Times New Roman" w:cs="Times New Roman"/>
          <w:i/>
          <w:iCs/>
        </w:rPr>
        <w:t xml:space="preserve">Leptodactylus, Xenopus, Celtedens, Karaurus, Kokartus, Ambystoma, Hynobius, </w:t>
      </w:r>
      <w:r w:rsidRPr="00A155FA">
        <w:rPr>
          <w:rFonts w:ascii="Times New Roman" w:hAnsi="Times New Roman" w:cs="Times New Roman"/>
        </w:rPr>
        <w:t xml:space="preserve">and </w:t>
      </w:r>
      <w:r w:rsidRPr="00A155FA">
        <w:rPr>
          <w:rFonts w:ascii="Times New Roman" w:hAnsi="Times New Roman" w:cs="Times New Roman"/>
          <w:i/>
          <w:iCs/>
        </w:rPr>
        <w:t>Cryptobranchus.</w:t>
      </w:r>
    </w:p>
    <w:p w14:paraId="52190605"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Codes for these seven characters were updated from unknown to inapplicable for the above taxa (when originally coded as unknown) as well as for </w:t>
      </w:r>
      <w:r w:rsidRPr="00A155FA">
        <w:rPr>
          <w:rFonts w:ascii="Times New Roman" w:hAnsi="Times New Roman" w:cs="Times New Roman"/>
          <w:i/>
          <w:iCs/>
        </w:rPr>
        <w:t xml:space="preserve">Ichthyophis </w:t>
      </w:r>
      <w:r w:rsidRPr="00A155FA">
        <w:rPr>
          <w:rFonts w:ascii="Times New Roman" w:hAnsi="Times New Roman" w:cs="Times New Roman"/>
        </w:rPr>
        <w:t xml:space="preserve">and </w:t>
      </w:r>
      <w:r w:rsidRPr="00A155FA">
        <w:rPr>
          <w:rFonts w:ascii="Times New Roman" w:hAnsi="Times New Roman" w:cs="Times New Roman"/>
          <w:i/>
          <w:iCs/>
        </w:rPr>
        <w:t xml:space="preserve">Epicrionops </w:t>
      </w:r>
      <w:r w:rsidRPr="00A155FA">
        <w:rPr>
          <w:rFonts w:ascii="Times New Roman" w:hAnsi="Times New Roman" w:cs="Times New Roman"/>
        </w:rPr>
        <w:t xml:space="preserve">for consistency. </w:t>
      </w:r>
    </w:p>
    <w:p w14:paraId="2508D2D2" w14:textId="77777777" w:rsidR="00FA06B2" w:rsidRPr="00A155FA" w:rsidRDefault="00FA06B2" w:rsidP="00A30351">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65 (tabular, horn); 66 (tabular, extension)</w:t>
      </w:r>
      <w:r w:rsidRPr="00A155FA">
        <w:rPr>
          <w:rFonts w:ascii="Times New Roman" w:hAnsi="Times New Roman" w:cs="Times New Roman"/>
        </w:rPr>
        <w:t>: character 66 cannot be coded for taxa coded for 65–1 (tabular horn absent).</w:t>
      </w:r>
    </w:p>
    <w:p w14:paraId="5E8C966F" w14:textId="77777777" w:rsidR="00FA06B2" w:rsidRPr="00A155FA" w:rsidRDefault="00FA06B2" w:rsidP="00A30351">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Character 66: Codes were corrected from 66–0 (tabular horn pointing posteriorly if present) for </w:t>
      </w:r>
      <w:r w:rsidRPr="00A155FA">
        <w:rPr>
          <w:rFonts w:ascii="Times New Roman" w:hAnsi="Times New Roman" w:cs="Times New Roman"/>
          <w:i/>
          <w:iCs/>
        </w:rPr>
        <w:t xml:space="preserve">Greererpeton, Brachydectes, Batropetes, Rhynchonkos, Batrachosuchus, Plagiosuchus, </w:t>
      </w:r>
      <w:r w:rsidRPr="00A155FA">
        <w:rPr>
          <w:rFonts w:ascii="Times New Roman" w:hAnsi="Times New Roman" w:cs="Times New Roman"/>
        </w:rPr>
        <w:t xml:space="preserve">and </w:t>
      </w:r>
      <w:r w:rsidRPr="00A155FA">
        <w:rPr>
          <w:rFonts w:ascii="Times New Roman" w:hAnsi="Times New Roman" w:cs="Times New Roman"/>
          <w:i/>
          <w:iCs/>
        </w:rPr>
        <w:t>Gerrothorax</w:t>
      </w:r>
      <w:r w:rsidRPr="00A155FA">
        <w:rPr>
          <w:rFonts w:ascii="Times New Roman" w:hAnsi="Times New Roman" w:cs="Times New Roman"/>
        </w:rPr>
        <w:t xml:space="preserve">. </w:t>
      </w:r>
    </w:p>
    <w:p w14:paraId="5273F97D" w14:textId="77777777" w:rsidR="00FA06B2" w:rsidRPr="00A155FA" w:rsidRDefault="00FA06B2" w:rsidP="00A30351">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i/>
          <w:iCs/>
        </w:rPr>
        <w:t xml:space="preserve">Chinlestegophis </w:t>
      </w:r>
      <w:r w:rsidRPr="00A155FA">
        <w:rPr>
          <w:rFonts w:ascii="Times New Roman" w:hAnsi="Times New Roman" w:cs="Times New Roman"/>
        </w:rPr>
        <w:t xml:space="preserve">was recoded to 65–1 because Pardo et al. (2017) expressly questioned whether this was homologous with the tabular horn of other temnospondyls given its occipital position, as with brachyopoids (they cited </w:t>
      </w:r>
      <w:r w:rsidRPr="00A155FA">
        <w:rPr>
          <w:rFonts w:ascii="Times New Roman" w:hAnsi="Times New Roman" w:cs="Times New Roman"/>
          <w:i/>
          <w:iCs/>
        </w:rPr>
        <w:t>Batrachosuchus</w:t>
      </w:r>
      <w:r w:rsidRPr="00A155FA">
        <w:rPr>
          <w:rFonts w:ascii="Times New Roman" w:hAnsi="Times New Roman" w:cs="Times New Roman"/>
        </w:rPr>
        <w:t>, which was coded as lacking a tabular horn [65–1] in their matrix). It was then recoded as inapplicable for character 66.</w:t>
      </w:r>
    </w:p>
    <w:p w14:paraId="46371018" w14:textId="77777777" w:rsidR="00FA06B2" w:rsidRPr="00A155FA" w:rsidRDefault="00FA06B2" w:rsidP="00A30351">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The code for character 66 was updated from unknown to inapplicable for </w:t>
      </w:r>
      <w:r w:rsidRPr="00A155FA">
        <w:rPr>
          <w:rFonts w:ascii="Times New Roman" w:hAnsi="Times New Roman" w:cs="Times New Roman"/>
          <w:i/>
          <w:iCs/>
        </w:rPr>
        <w:t>Rileymillerus</w:t>
      </w:r>
      <w:r w:rsidRPr="00A155FA">
        <w:rPr>
          <w:rFonts w:ascii="Times New Roman" w:hAnsi="Times New Roman" w:cs="Times New Roman"/>
        </w:rPr>
        <w:t>.</w:t>
      </w:r>
    </w:p>
    <w:p w14:paraId="497140D6" w14:textId="20152FD7" w:rsidR="00FA06B2" w:rsidRPr="00A155FA" w:rsidRDefault="00FA06B2" w:rsidP="00A30351">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The treatment of rhytidosteids for these characters is complicated. Some workers consider there to be a tabular horn when the tabular extends posterolaterally (e.g., in </w:t>
      </w:r>
      <w:r w:rsidRPr="00A155FA">
        <w:rPr>
          <w:rFonts w:ascii="Times New Roman" w:hAnsi="Times New Roman" w:cs="Times New Roman"/>
          <w:i/>
          <w:iCs/>
        </w:rPr>
        <w:t>Sangaia</w:t>
      </w:r>
      <w:r w:rsidRPr="00A155FA">
        <w:rPr>
          <w:rFonts w:ascii="Times New Roman" w:hAnsi="Times New Roman" w:cs="Times New Roman"/>
        </w:rPr>
        <w:t xml:space="preserve">; Dias-da-Silva et al., 2006) such that the posterior skull margin is not straight or posteriorly convex (in contrast to brachyopoids and plagiosaurids, which definitively lack tabular horns). In this interpretation, the tabular horn is present and merely not ‘separate’; instead, it is jointly formed by the squamosal, precluding an otic notch. </w:t>
      </w:r>
      <w:r w:rsidRPr="00A155FA">
        <w:rPr>
          <w:rFonts w:ascii="Times New Roman" w:hAnsi="Times New Roman" w:cs="Times New Roman"/>
          <w:i/>
          <w:iCs/>
        </w:rPr>
        <w:t xml:space="preserve">Laidleria </w:t>
      </w:r>
      <w:r w:rsidRPr="00A155FA">
        <w:rPr>
          <w:rFonts w:ascii="Times New Roman" w:hAnsi="Times New Roman" w:cs="Times New Roman"/>
        </w:rPr>
        <w:t>(sampled in previous derivates but not by Schoch et al., 2020)</w:t>
      </w:r>
      <w:r w:rsidRPr="00A155FA">
        <w:rPr>
          <w:rFonts w:ascii="Times New Roman" w:hAnsi="Times New Roman" w:cs="Times New Roman"/>
          <w:i/>
          <w:iCs/>
        </w:rPr>
        <w:t xml:space="preserve"> </w:t>
      </w:r>
      <w:r w:rsidRPr="00A155FA">
        <w:rPr>
          <w:rFonts w:ascii="Times New Roman" w:hAnsi="Times New Roman" w:cs="Times New Roman"/>
        </w:rPr>
        <w:t>also has this condition, but Warren (1998</w:t>
      </w:r>
      <w:r w:rsidR="00F60417">
        <w:rPr>
          <w:rFonts w:ascii="Times New Roman" w:hAnsi="Times New Roman" w:cs="Times New Roman"/>
        </w:rPr>
        <w:t>b</w:t>
      </w:r>
      <w:r w:rsidRPr="00A155FA">
        <w:rPr>
          <w:rFonts w:ascii="Times New Roman" w:hAnsi="Times New Roman" w:cs="Times New Roman"/>
        </w:rPr>
        <w:t xml:space="preserve">) did not consider it to have a tabular horn. Here, </w:t>
      </w:r>
      <w:r w:rsidRPr="00A155FA">
        <w:rPr>
          <w:rFonts w:ascii="Times New Roman" w:hAnsi="Times New Roman" w:cs="Times New Roman"/>
          <w:i/>
          <w:iCs/>
        </w:rPr>
        <w:t xml:space="preserve">Sangaia </w:t>
      </w:r>
      <w:r w:rsidRPr="00A155FA">
        <w:rPr>
          <w:rFonts w:ascii="Times New Roman" w:hAnsi="Times New Roman" w:cs="Times New Roman"/>
        </w:rPr>
        <w:t xml:space="preserve">is considered to have tabular horns and is recoded to 65–0 and 66–0. </w:t>
      </w:r>
    </w:p>
    <w:p w14:paraId="1319948C" w14:textId="4601D9C9"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 xml:space="preserve">69 (quadratojugal-maxilla): </w:t>
      </w:r>
      <w:r w:rsidRPr="00A155FA">
        <w:rPr>
          <w:rFonts w:ascii="Times New Roman" w:hAnsi="Times New Roman" w:cs="Times New Roman"/>
        </w:rPr>
        <w:t xml:space="preserve">codes for this binary character appear to be reversed because taxa without this contact (separation by jugal) are largely coded for 69–0 (in contact), such as the majority of stereospondyls, while taxa with this contact are largely coded for 69–1 (contact absent), such as </w:t>
      </w:r>
      <w:r w:rsidRPr="00A155FA">
        <w:rPr>
          <w:rFonts w:ascii="Times New Roman" w:hAnsi="Times New Roman" w:cs="Times New Roman"/>
          <w:i/>
          <w:iCs/>
        </w:rPr>
        <w:t xml:space="preserve">Greererpeton </w:t>
      </w:r>
      <w:r w:rsidRPr="00A155FA">
        <w:rPr>
          <w:rFonts w:ascii="Times New Roman" w:hAnsi="Times New Roman" w:cs="Times New Roman"/>
        </w:rPr>
        <w:t xml:space="preserve">and dissorophoids. This pattern only appeared among taxa first sampled by Schoch (2013); taxa subsequently added to the matrix have no pattern of unsubstantiated codes. Because some taxa were correctly coded originally (e.g., </w:t>
      </w:r>
      <w:r w:rsidRPr="00A155FA">
        <w:rPr>
          <w:rFonts w:ascii="Times New Roman" w:hAnsi="Times New Roman" w:cs="Times New Roman"/>
          <w:i/>
          <w:iCs/>
        </w:rPr>
        <w:t>Gerrothorax, Trematolestes</w:t>
      </w:r>
      <w:r w:rsidRPr="00A155FA">
        <w:rPr>
          <w:rFonts w:ascii="Times New Roman" w:hAnsi="Times New Roman" w:cs="Times New Roman"/>
        </w:rPr>
        <w:t xml:space="preserve">), the codes in the matrix were checked and subsequently reversed for most taxa, rather than automatically reversing codes for all taxa originally coded by Schoch (2013). </w:t>
      </w:r>
    </w:p>
    <w:p w14:paraId="576474A8" w14:textId="73C145C6"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Codes were reversed (corrected) for </w:t>
      </w:r>
      <w:r w:rsidRPr="00A155FA">
        <w:rPr>
          <w:rFonts w:ascii="Times New Roman" w:hAnsi="Times New Roman" w:cs="Times New Roman"/>
          <w:i/>
          <w:iCs/>
        </w:rPr>
        <w:t>Proterogyrinus</w:t>
      </w:r>
      <w:r w:rsidRPr="00A155FA">
        <w:rPr>
          <w:rFonts w:ascii="Times New Roman" w:hAnsi="Times New Roman" w:cs="Times New Roman"/>
        </w:rPr>
        <w:t xml:space="preserve">, </w:t>
      </w:r>
      <w:r w:rsidRPr="00A155FA">
        <w:rPr>
          <w:rFonts w:ascii="Times New Roman" w:hAnsi="Times New Roman" w:cs="Times New Roman"/>
          <w:i/>
          <w:iCs/>
        </w:rPr>
        <w:t xml:space="preserve">Greererpeton, Edops, Cochleosaurus, Dendrerpeton, Balanerpeton, Trimerorhachis, Acanthostomatops, Zatrachys, Micromelerpeton, Apateon, Micropholis, Platyrhinops, Doleserpeton, Amphibamus, Gerobatrachus, Dissorophus, Cacops, Broiliellus, Acheloma, Phonerpeton, Onchiodon, Eryops, Sclerocephalus, Glanochthon, Archegosaurus, </w:t>
      </w:r>
      <w:r w:rsidRPr="00A155FA">
        <w:rPr>
          <w:rFonts w:ascii="Times New Roman" w:hAnsi="Times New Roman" w:cs="Times New Roman"/>
          <w:i/>
          <w:iCs/>
        </w:rPr>
        <w:lastRenderedPageBreak/>
        <w:t xml:space="preserve">Uranocentrodon, Lydekkerina, Plagiosuchus, Edingerella, Metoposaurus, Paracyclotosaurus, </w:t>
      </w:r>
      <w:r w:rsidRPr="00A155FA">
        <w:rPr>
          <w:rFonts w:ascii="Times New Roman" w:hAnsi="Times New Roman" w:cs="Times New Roman"/>
        </w:rPr>
        <w:t xml:space="preserve">and </w:t>
      </w:r>
      <w:r w:rsidRPr="00A155FA">
        <w:rPr>
          <w:rFonts w:ascii="Times New Roman" w:hAnsi="Times New Roman" w:cs="Times New Roman"/>
          <w:i/>
          <w:iCs/>
        </w:rPr>
        <w:t xml:space="preserve">Cyclotosaurus. </w:t>
      </w:r>
    </w:p>
    <w:p w14:paraId="43DC3AE8"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Codes were changed to unknown (corrected) for </w:t>
      </w:r>
      <w:r w:rsidRPr="00A155FA">
        <w:rPr>
          <w:rFonts w:ascii="Times New Roman" w:hAnsi="Times New Roman" w:cs="Times New Roman"/>
          <w:i/>
          <w:iCs/>
        </w:rPr>
        <w:t xml:space="preserve">Rhynchonkos </w:t>
      </w:r>
      <w:r w:rsidRPr="00A155FA">
        <w:rPr>
          <w:rFonts w:ascii="Times New Roman" w:hAnsi="Times New Roman" w:cs="Times New Roman"/>
        </w:rPr>
        <w:t xml:space="preserve">(no quadratojugal is known; Szostakiwskyj et al., 2015:10); </w:t>
      </w:r>
      <w:r w:rsidRPr="00A155FA">
        <w:rPr>
          <w:rFonts w:ascii="Times New Roman" w:hAnsi="Times New Roman" w:cs="Times New Roman"/>
          <w:i/>
          <w:iCs/>
        </w:rPr>
        <w:t xml:space="preserve">Siderops </w:t>
      </w:r>
      <w:r w:rsidRPr="00A155FA">
        <w:rPr>
          <w:rFonts w:ascii="Times New Roman" w:hAnsi="Times New Roman" w:cs="Times New Roman"/>
        </w:rPr>
        <w:t xml:space="preserve">(lateral and palatal surfaces of the quadratojugal are unknown; Warren &amp; Hutchinson, 1983:6); and </w:t>
      </w:r>
      <w:r w:rsidRPr="00A155FA">
        <w:rPr>
          <w:rFonts w:ascii="Times New Roman" w:hAnsi="Times New Roman" w:cs="Times New Roman"/>
          <w:i/>
          <w:iCs/>
        </w:rPr>
        <w:t xml:space="preserve">Batrachosuchus </w:t>
      </w:r>
      <w:r w:rsidRPr="00A155FA">
        <w:rPr>
          <w:rFonts w:ascii="Times New Roman" w:hAnsi="Times New Roman" w:cs="Times New Roman"/>
        </w:rPr>
        <w:t xml:space="preserve">(no maxillary sutures are discernible or preserved; Chernin, 1977:102). </w:t>
      </w:r>
    </w:p>
    <w:p w14:paraId="72CCA301" w14:textId="77777777" w:rsidR="00FA06B2" w:rsidRPr="00A155FA" w:rsidRDefault="00FA06B2" w:rsidP="00A30351">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 xml:space="preserve">71 (posterior skull rim): </w:t>
      </w:r>
      <w:r w:rsidRPr="00A155FA">
        <w:rPr>
          <w:rFonts w:ascii="Times New Roman" w:hAnsi="Times New Roman" w:cs="Times New Roman"/>
        </w:rPr>
        <w:t xml:space="preserve">this character originally specified two reference points: the tabular horns and the quadrate condyles. However, not all taxa have tabular horns (65–1), yet such taxa were coded for this character (e.g., ‘lepospondyls’, </w:t>
      </w:r>
      <w:r w:rsidRPr="00A155FA">
        <w:rPr>
          <w:rFonts w:ascii="Times New Roman" w:hAnsi="Times New Roman" w:cs="Times New Roman"/>
          <w:i/>
          <w:iCs/>
        </w:rPr>
        <w:t>Batrachosuchus</w:t>
      </w:r>
      <w:r w:rsidRPr="00A155FA">
        <w:rPr>
          <w:rFonts w:ascii="Times New Roman" w:hAnsi="Times New Roman" w:cs="Times New Roman"/>
        </w:rPr>
        <w:t xml:space="preserve">, </w:t>
      </w:r>
      <w:r w:rsidRPr="00A155FA">
        <w:rPr>
          <w:rFonts w:ascii="Times New Roman" w:hAnsi="Times New Roman" w:cs="Times New Roman"/>
          <w:i/>
          <w:iCs/>
        </w:rPr>
        <w:t>Plagiosuchus</w:t>
      </w:r>
      <w:r w:rsidRPr="00A155FA">
        <w:rPr>
          <w:rFonts w:ascii="Times New Roman" w:hAnsi="Times New Roman" w:cs="Times New Roman"/>
        </w:rPr>
        <w:t>). The original codes were correct if the ‘tabular horn’ reference point was changed to the ‘posteriormost extent of the tabular’; in taxa with horns, the horn is the posteriormost extent, and taxa without horns could then be properly coded. This change was implemented and did not require any coding modifications beyond those noted above for other dependencies.</w:t>
      </w:r>
    </w:p>
    <w:p w14:paraId="2F965D91" w14:textId="77777777"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 xml:space="preserve">72 (occipital flange); 73 (postparietal-exoccipital); 236 (postparietal-squamosal); 237 (postparietal length): </w:t>
      </w:r>
      <w:r w:rsidRPr="00A155FA">
        <w:rPr>
          <w:rFonts w:ascii="Times New Roman" w:hAnsi="Times New Roman" w:cs="Times New Roman"/>
        </w:rPr>
        <w:t>these characters cannot be coded for any taxon coded for 235–2 (postparietals absent).</w:t>
      </w:r>
    </w:p>
    <w:p w14:paraId="3690556C"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Character 72: Codes were corrected from 72–0 (descending flange of occipital portion of postparietals forming a bulge) for </w:t>
      </w:r>
      <w:r w:rsidRPr="00A155FA">
        <w:rPr>
          <w:rFonts w:ascii="Times New Roman" w:hAnsi="Times New Roman" w:cs="Times New Roman"/>
          <w:i/>
          <w:iCs/>
        </w:rPr>
        <w:t>Batropetes</w:t>
      </w:r>
      <w:r w:rsidRPr="00A155FA">
        <w:rPr>
          <w:rFonts w:ascii="Times New Roman" w:hAnsi="Times New Roman" w:cs="Times New Roman"/>
        </w:rPr>
        <w:t xml:space="preserve">. </w:t>
      </w:r>
    </w:p>
    <w:p w14:paraId="5A29F097"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Character 73: Codes were corrected from 73–0 (no postparietal-exoccipital contact) for </w:t>
      </w:r>
      <w:r w:rsidRPr="00A155FA">
        <w:rPr>
          <w:rFonts w:ascii="Times New Roman" w:hAnsi="Times New Roman" w:cs="Times New Roman"/>
          <w:i/>
          <w:iCs/>
        </w:rPr>
        <w:t>Batropetes</w:t>
      </w:r>
      <w:r w:rsidRPr="00A155FA">
        <w:rPr>
          <w:rFonts w:ascii="Times New Roman" w:hAnsi="Times New Roman" w:cs="Times New Roman"/>
        </w:rPr>
        <w:t xml:space="preserve">. </w:t>
      </w:r>
    </w:p>
    <w:p w14:paraId="15FFC153"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Character 236: Codes were corrected from 236–0 (postparietal-squamosal contact absent) for </w:t>
      </w:r>
      <w:r w:rsidRPr="00A155FA">
        <w:rPr>
          <w:rFonts w:ascii="Times New Roman" w:hAnsi="Times New Roman" w:cs="Times New Roman"/>
          <w:i/>
          <w:iCs/>
        </w:rPr>
        <w:t>Batropetes</w:t>
      </w:r>
      <w:r w:rsidRPr="00A155FA">
        <w:rPr>
          <w:rFonts w:ascii="Times New Roman" w:hAnsi="Times New Roman" w:cs="Times New Roman"/>
        </w:rPr>
        <w:t xml:space="preserve">. </w:t>
      </w:r>
    </w:p>
    <w:p w14:paraId="0FA85948"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Codes for these four characters were updated from unknown to inapplicable for </w:t>
      </w:r>
      <w:r w:rsidRPr="00A155FA">
        <w:rPr>
          <w:rFonts w:ascii="Times New Roman" w:hAnsi="Times New Roman" w:cs="Times New Roman"/>
          <w:i/>
          <w:iCs/>
        </w:rPr>
        <w:t>Batropetes</w:t>
      </w:r>
      <w:r w:rsidRPr="00A155FA">
        <w:rPr>
          <w:rFonts w:ascii="Times New Roman" w:hAnsi="Times New Roman" w:cs="Times New Roman"/>
        </w:rPr>
        <w:t xml:space="preserve"> (for character 237) as well as for </w:t>
      </w:r>
      <w:r w:rsidRPr="00A155FA">
        <w:rPr>
          <w:rFonts w:ascii="Times New Roman" w:hAnsi="Times New Roman" w:cs="Times New Roman"/>
          <w:i/>
          <w:iCs/>
        </w:rPr>
        <w:t xml:space="preserve">Triadobatrachus, Leptodactylus, Xenopus, Karaurus, Ambystoma, Hynobius, Cryptobranchus, Ichthyophis, Epicrionops </w:t>
      </w:r>
      <w:r w:rsidRPr="00A155FA">
        <w:rPr>
          <w:rFonts w:ascii="Times New Roman" w:hAnsi="Times New Roman" w:cs="Times New Roman"/>
        </w:rPr>
        <w:t xml:space="preserve">for consistency. </w:t>
      </w:r>
    </w:p>
    <w:p w14:paraId="4875E79D" w14:textId="2DEEC9BC"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78 (dentition, upper jaw):</w:t>
      </w:r>
      <w:r w:rsidRPr="00A155FA">
        <w:rPr>
          <w:rFonts w:ascii="Times New Roman" w:hAnsi="Times New Roman" w:cs="Times New Roman"/>
        </w:rPr>
        <w:t xml:space="preserve"> The two states of this character were not clearly differentiated. State 78–1 (caniniform) was coded only for the trematopids </w:t>
      </w:r>
      <w:r w:rsidRPr="00A155FA">
        <w:rPr>
          <w:rFonts w:ascii="Times New Roman" w:hAnsi="Times New Roman" w:cs="Times New Roman"/>
          <w:i/>
          <w:iCs/>
        </w:rPr>
        <w:t xml:space="preserve">Acheloma </w:t>
      </w:r>
      <w:r w:rsidRPr="00A155FA">
        <w:rPr>
          <w:rFonts w:ascii="Times New Roman" w:hAnsi="Times New Roman" w:cs="Times New Roman"/>
        </w:rPr>
        <w:t xml:space="preserve">and </w:t>
      </w:r>
      <w:r w:rsidRPr="00A155FA">
        <w:rPr>
          <w:rFonts w:ascii="Times New Roman" w:hAnsi="Times New Roman" w:cs="Times New Roman"/>
          <w:i/>
          <w:iCs/>
        </w:rPr>
        <w:t>Phonerpeton</w:t>
      </w:r>
      <w:r w:rsidRPr="00A155FA">
        <w:rPr>
          <w:rFonts w:ascii="Times New Roman" w:hAnsi="Times New Roman" w:cs="Times New Roman"/>
        </w:rPr>
        <w:t xml:space="preserve">. Caniniform dentition in the form of a region of proportionately enlarged teeth on the anterior part of the maxilla is common to trematopids and differentiates them from their sister group (dissorophids), but short regions of enlarged teeth also occur in taxa like eryopoids and </w:t>
      </w:r>
      <w:r w:rsidRPr="00A155FA">
        <w:rPr>
          <w:rFonts w:ascii="Times New Roman" w:hAnsi="Times New Roman" w:cs="Times New Roman"/>
          <w:i/>
          <w:iCs/>
        </w:rPr>
        <w:t xml:space="preserve">Sclerocephalus </w:t>
      </w:r>
      <w:r w:rsidRPr="00A155FA">
        <w:rPr>
          <w:rFonts w:ascii="Times New Roman" w:hAnsi="Times New Roman" w:cs="Times New Roman"/>
        </w:rPr>
        <w:t xml:space="preserve">(e.g., Sawin, 1941; Boy, 1990; Schoch &amp; Witzmann, 2009a). This accounts for the morphology captured in state 37–1 (maxilla anterior margin laterally convex due to enlarged teeth). Based on this redundancy, it might be presumed that ‘caniniform’ refers to a morphology, not to size, as 78–0 is ‘conical to slightly curved inwards.’ This does not clearly invoke a contrasting morphology like a compressed tooth with a keel or with carinae (which occurs in some stereospondyls, like </w:t>
      </w:r>
      <w:r w:rsidRPr="00A155FA">
        <w:rPr>
          <w:rFonts w:ascii="Times New Roman" w:hAnsi="Times New Roman" w:cs="Times New Roman"/>
          <w:i/>
          <w:iCs/>
        </w:rPr>
        <w:t xml:space="preserve">Metoposaurus </w:t>
      </w:r>
      <w:r w:rsidRPr="00A155FA">
        <w:rPr>
          <w:rFonts w:ascii="Times New Roman" w:hAnsi="Times New Roman" w:cs="Times New Roman"/>
        </w:rPr>
        <w:t xml:space="preserve">and </w:t>
      </w:r>
      <w:r w:rsidRPr="00A155FA">
        <w:rPr>
          <w:rFonts w:ascii="Times New Roman" w:hAnsi="Times New Roman" w:cs="Times New Roman"/>
          <w:i/>
          <w:iCs/>
        </w:rPr>
        <w:t>Siderops</w:t>
      </w:r>
      <w:r w:rsidRPr="00A155FA">
        <w:rPr>
          <w:rFonts w:ascii="Times New Roman" w:hAnsi="Times New Roman" w:cs="Times New Roman"/>
        </w:rPr>
        <w:t>; Warren &amp; Hutchinson, 1983; Milner &amp; Schoch, 2004), and in any event, trematopids do have conical teeth that curve slightly inwards (e.g., Gee et al., 2019:fig. 3). This character is therefore omitted.</w:t>
      </w:r>
    </w:p>
    <w:p w14:paraId="6E433E4F" w14:textId="77777777" w:rsidR="00FA06B2" w:rsidRPr="00A155FA" w:rsidRDefault="00FA06B2" w:rsidP="00A30351">
      <w:pPr>
        <w:pStyle w:val="ListParagraph"/>
        <w:numPr>
          <w:ilvl w:val="0"/>
          <w:numId w:val="3"/>
        </w:numPr>
        <w:rPr>
          <w:rFonts w:ascii="Times New Roman" w:eastAsia="Times New Roman" w:hAnsi="Times New Roman" w:cs="Times New Roman"/>
          <w:color w:val="222222"/>
        </w:rPr>
      </w:pPr>
      <w:r w:rsidRPr="00A155FA">
        <w:rPr>
          <w:rFonts w:ascii="Times New Roman" w:eastAsia="Times New Roman" w:hAnsi="Times New Roman" w:cs="Times New Roman"/>
          <w:b/>
          <w:bCs/>
          <w:color w:val="222222"/>
        </w:rPr>
        <w:t xml:space="preserve">81 (dentition, vomer); 251 (denticles on vomer): </w:t>
      </w:r>
      <w:r w:rsidRPr="00A155FA">
        <w:rPr>
          <w:rFonts w:ascii="Times New Roman" w:eastAsia="Times New Roman" w:hAnsi="Times New Roman" w:cs="Times New Roman"/>
          <w:color w:val="222222"/>
        </w:rPr>
        <w:t xml:space="preserve">these characters refer to the same feature, although worded differently. </w:t>
      </w:r>
    </w:p>
    <w:p w14:paraId="24BA5975" w14:textId="77777777" w:rsidR="00FA06B2" w:rsidRPr="00A155FA" w:rsidRDefault="00FA06B2" w:rsidP="00A30351">
      <w:pPr>
        <w:pStyle w:val="ListParagraph"/>
        <w:numPr>
          <w:ilvl w:val="1"/>
          <w:numId w:val="3"/>
        </w:numPr>
        <w:rPr>
          <w:rFonts w:ascii="Times New Roman" w:eastAsia="Times New Roman" w:hAnsi="Times New Roman" w:cs="Times New Roman"/>
          <w:color w:val="222222"/>
        </w:rPr>
      </w:pPr>
      <w:r w:rsidRPr="00A155FA">
        <w:rPr>
          <w:rFonts w:ascii="Times New Roman" w:eastAsia="Times New Roman" w:hAnsi="Times New Roman" w:cs="Times New Roman"/>
          <w:b/>
          <w:bCs/>
          <w:color w:val="222222"/>
        </w:rPr>
        <w:t xml:space="preserve">81. Dentition (vomer). </w:t>
      </w:r>
      <w:r w:rsidRPr="00A155FA">
        <w:rPr>
          <w:rFonts w:ascii="Times New Roman" w:eastAsia="Times New Roman" w:hAnsi="Times New Roman" w:cs="Times New Roman"/>
          <w:color w:val="222222"/>
        </w:rPr>
        <w:t>Tooth patches present at least in small specimens (0), or dentition entirely restricted to vomerine fangs (1). [</w:t>
      </w:r>
      <w:r w:rsidRPr="00A155FA">
        <w:rPr>
          <w:rFonts w:ascii="Times New Roman" w:eastAsia="Times New Roman" w:hAnsi="Times New Roman" w:cs="Times New Roman"/>
          <w:i/>
          <w:iCs/>
          <w:color w:val="222222"/>
        </w:rPr>
        <w:t xml:space="preserve">added by </w:t>
      </w:r>
      <w:r w:rsidRPr="00A155FA">
        <w:rPr>
          <w:rFonts w:ascii="Times New Roman" w:eastAsia="Times New Roman" w:hAnsi="Times New Roman" w:cs="Times New Roman"/>
          <w:color w:val="222222"/>
        </w:rPr>
        <w:t>Schoch, 2013]</w:t>
      </w:r>
    </w:p>
    <w:p w14:paraId="1C06A19E" w14:textId="77777777" w:rsidR="00FA06B2" w:rsidRPr="00A155FA" w:rsidRDefault="00FA06B2" w:rsidP="00A30351">
      <w:pPr>
        <w:pStyle w:val="ListParagraph"/>
        <w:numPr>
          <w:ilvl w:val="1"/>
          <w:numId w:val="3"/>
        </w:numPr>
        <w:rPr>
          <w:rFonts w:ascii="Times New Roman" w:eastAsia="Times New Roman" w:hAnsi="Times New Roman" w:cs="Times New Roman"/>
          <w:color w:val="000000" w:themeColor="text1"/>
        </w:rPr>
      </w:pPr>
      <w:r w:rsidRPr="00A155FA">
        <w:rPr>
          <w:rFonts w:ascii="Times New Roman" w:eastAsia="Times New Roman" w:hAnsi="Times New Roman" w:cs="Times New Roman"/>
          <w:b/>
          <w:bCs/>
          <w:color w:val="000000" w:themeColor="text1"/>
        </w:rPr>
        <w:lastRenderedPageBreak/>
        <w:t xml:space="preserve">251. Denticles on vomers. </w:t>
      </w:r>
      <w:r w:rsidRPr="00A155FA">
        <w:rPr>
          <w:rFonts w:ascii="Times New Roman" w:eastAsia="Times New Roman" w:hAnsi="Times New Roman" w:cs="Times New Roman"/>
          <w:color w:val="000000" w:themeColor="text1"/>
        </w:rPr>
        <w:t>Present (0), absent (1). [</w:t>
      </w:r>
      <w:r w:rsidRPr="00A155FA">
        <w:rPr>
          <w:rFonts w:ascii="Times New Roman" w:eastAsia="Times New Roman" w:hAnsi="Times New Roman" w:cs="Times New Roman"/>
          <w:i/>
          <w:iCs/>
          <w:color w:val="000000" w:themeColor="text1"/>
        </w:rPr>
        <w:t>added by Pardo et al., 2017</w:t>
      </w:r>
      <w:r w:rsidRPr="00A155FA">
        <w:rPr>
          <w:rFonts w:ascii="Times New Roman" w:eastAsia="Times New Roman" w:hAnsi="Times New Roman" w:cs="Times New Roman"/>
          <w:color w:val="000000" w:themeColor="text1"/>
        </w:rPr>
        <w:t>]</w:t>
      </w:r>
    </w:p>
    <w:p w14:paraId="4572E225" w14:textId="77777777" w:rsidR="00FA06B2" w:rsidRPr="007A0A6B" w:rsidRDefault="00FA06B2" w:rsidP="007A0A6B">
      <w:pPr>
        <w:pStyle w:val="ListParagraph"/>
        <w:numPr>
          <w:ilvl w:val="1"/>
          <w:numId w:val="3"/>
        </w:numPr>
        <w:tabs>
          <w:tab w:val="left" w:pos="2860"/>
        </w:tabs>
        <w:rPr>
          <w:rFonts w:ascii="Times New Roman" w:hAnsi="Times New Roman" w:cs="Times New Roman"/>
          <w:b/>
          <w:bCs/>
          <w:u w:val="single"/>
        </w:rPr>
      </w:pPr>
      <w:r w:rsidRPr="00A155FA">
        <w:rPr>
          <w:rFonts w:ascii="Times New Roman" w:eastAsia="Times New Roman" w:hAnsi="Times New Roman" w:cs="Times New Roman"/>
          <w:i/>
          <w:iCs/>
          <w:color w:val="000000" w:themeColor="text1"/>
        </w:rPr>
        <w:t xml:space="preserve">Gerobatrachus </w:t>
      </w:r>
      <w:r w:rsidRPr="00A155FA">
        <w:rPr>
          <w:rFonts w:ascii="Times New Roman" w:eastAsia="Times New Roman" w:hAnsi="Times New Roman" w:cs="Times New Roman"/>
          <w:color w:val="000000" w:themeColor="text1"/>
        </w:rPr>
        <w:t xml:space="preserve">was uncoded from 81–1; Anderson et al. (2008) mention a few rows of teeth medial to the choana, which based on their figure, appear closer to the size of typical denticles than other forms of vomerine dentition. </w:t>
      </w:r>
      <w:r w:rsidRPr="00A155FA">
        <w:rPr>
          <w:rFonts w:ascii="Times New Roman" w:hAnsi="Times New Roman" w:cs="Times New Roman"/>
          <w:i/>
          <w:iCs/>
          <w:color w:val="000000" w:themeColor="text1"/>
        </w:rPr>
        <w:t xml:space="preserve">Sangaia </w:t>
      </w:r>
      <w:r w:rsidRPr="00A155FA">
        <w:rPr>
          <w:rFonts w:ascii="Times New Roman" w:hAnsi="Times New Roman" w:cs="Times New Roman"/>
          <w:color w:val="000000" w:themeColor="text1"/>
        </w:rPr>
        <w:t xml:space="preserve">was uncoded from 81–1 because there is no indication that the vomers are known from any specimen (Dias-da-Silva et al., 2006). </w:t>
      </w:r>
    </w:p>
    <w:p w14:paraId="635A84AC" w14:textId="77777777" w:rsidR="00FA06B2" w:rsidRPr="00A155FA" w:rsidRDefault="00FA06B2" w:rsidP="007A0A6B">
      <w:pPr>
        <w:pStyle w:val="ListParagraph"/>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It is interpreted that “tooth” in character 81 refers only to a shagreen of denticles, as this character was coded as 81–1 (dentition entirely restricted to vomerine fangs) in </w:t>
      </w:r>
      <w:r w:rsidRPr="00A155FA">
        <w:rPr>
          <w:rFonts w:ascii="Times New Roman" w:eastAsia="Times New Roman" w:hAnsi="Times New Roman" w:cs="Times New Roman"/>
          <w:i/>
          <w:iCs/>
          <w:color w:val="222222"/>
        </w:rPr>
        <w:t xml:space="preserve">Limnogyrinus </w:t>
      </w:r>
      <w:r w:rsidRPr="00A155FA">
        <w:rPr>
          <w:rFonts w:ascii="Times New Roman" w:eastAsia="Times New Roman" w:hAnsi="Times New Roman" w:cs="Times New Roman"/>
          <w:color w:val="222222"/>
        </w:rPr>
        <w:t xml:space="preserve">and </w:t>
      </w:r>
      <w:r w:rsidRPr="00A155FA">
        <w:rPr>
          <w:rFonts w:ascii="Times New Roman" w:eastAsia="Times New Roman" w:hAnsi="Times New Roman" w:cs="Times New Roman"/>
          <w:i/>
          <w:iCs/>
          <w:color w:val="222222"/>
        </w:rPr>
        <w:t xml:space="preserve">Apateon </w:t>
      </w:r>
      <w:r w:rsidRPr="00A155FA">
        <w:rPr>
          <w:rFonts w:ascii="Times New Roman" w:eastAsia="Times New Roman" w:hAnsi="Times New Roman" w:cs="Times New Roman"/>
          <w:color w:val="222222"/>
        </w:rPr>
        <w:t xml:space="preserve">(the former sampled in previous derivates but not retained by Schoch et al., 2020), which have teeth larger than denticles, but smaller than the marginal teeth, on the vomer, and in most stereospondyls, which frequently have transvomerine and parachoanal dentition that is of a similar relative size. Character 251 is maintained as is, and character 81 is omitted. </w:t>
      </w:r>
    </w:p>
    <w:p w14:paraId="22A0B585" w14:textId="77777777" w:rsidR="00FA06B2" w:rsidRPr="007A0A6B"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 xml:space="preserve">87 (parasphenoid, shagreen); 253 (denticles on parasphenoid): </w:t>
      </w:r>
      <w:r w:rsidRPr="00A155FA">
        <w:rPr>
          <w:rFonts w:ascii="Times New Roman" w:hAnsi="Times New Roman" w:cs="Times New Roman"/>
        </w:rPr>
        <w:t>characters 87 and 253 are clearly redundant and both express binary ‘presence/absence’ conditions, with 87–0 and 253–0 as ‘present’ and 87–1 and 253–1 as ‘absent.’</w:t>
      </w:r>
    </w:p>
    <w:p w14:paraId="0A606C89" w14:textId="77777777" w:rsidR="00FA06B2" w:rsidRPr="007A0A6B" w:rsidRDefault="00FA06B2" w:rsidP="00A30351">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b/>
          <w:bCs/>
        </w:rPr>
        <w:t xml:space="preserve">87. Parasphenoid (shagreen). </w:t>
      </w:r>
      <w:r w:rsidRPr="00A155FA">
        <w:rPr>
          <w:rFonts w:ascii="Times New Roman" w:hAnsi="Times New Roman" w:cs="Times New Roman"/>
        </w:rPr>
        <w:t>Tooth patches present (0), or absent (1). [</w:t>
      </w:r>
      <w:r w:rsidRPr="00A155FA">
        <w:rPr>
          <w:rFonts w:ascii="Times New Roman" w:hAnsi="Times New Roman" w:cs="Times New Roman"/>
          <w:i/>
          <w:iCs/>
        </w:rPr>
        <w:t>added by Schoch, 2013</w:t>
      </w:r>
      <w:r w:rsidRPr="00A155FA">
        <w:rPr>
          <w:rFonts w:ascii="Times New Roman" w:hAnsi="Times New Roman" w:cs="Times New Roman"/>
        </w:rPr>
        <w:t>]</w:t>
      </w:r>
    </w:p>
    <w:p w14:paraId="3030869B" w14:textId="77777777" w:rsidR="00FA06B2" w:rsidRPr="007A0A6B" w:rsidRDefault="00FA06B2" w:rsidP="007A0A6B">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b/>
          <w:bCs/>
        </w:rPr>
        <w:t xml:space="preserve">253. Denticles on parasphenoid. </w:t>
      </w:r>
      <w:r w:rsidRPr="00A155FA">
        <w:rPr>
          <w:rFonts w:ascii="Times New Roman" w:hAnsi="Times New Roman" w:cs="Times New Roman"/>
        </w:rPr>
        <w:t>Present (0), absent (1). [</w:t>
      </w:r>
      <w:r w:rsidRPr="00A155FA">
        <w:rPr>
          <w:rFonts w:ascii="Times New Roman" w:hAnsi="Times New Roman" w:cs="Times New Roman"/>
          <w:i/>
          <w:iCs/>
        </w:rPr>
        <w:t>added by Pardo et al., 2017a</w:t>
      </w:r>
      <w:r w:rsidRPr="00A155FA">
        <w:rPr>
          <w:rFonts w:ascii="Times New Roman" w:hAnsi="Times New Roman" w:cs="Times New Roman"/>
        </w:rPr>
        <w:t>]</w:t>
      </w:r>
    </w:p>
    <w:p w14:paraId="50A8C30C" w14:textId="03F8B8D5" w:rsidR="00FA06B2" w:rsidRPr="00A155FA" w:rsidRDefault="00FA06B2" w:rsidP="007A0A6B">
      <w:pPr>
        <w:pStyle w:val="ListParagraph"/>
        <w:tabs>
          <w:tab w:val="left" w:pos="2860"/>
        </w:tabs>
        <w:rPr>
          <w:rFonts w:ascii="Times New Roman" w:hAnsi="Times New Roman" w:cs="Times New Roman"/>
          <w:b/>
          <w:bCs/>
          <w:u w:val="single"/>
        </w:rPr>
      </w:pPr>
      <w:r w:rsidRPr="00A155FA">
        <w:rPr>
          <w:rFonts w:ascii="Times New Roman" w:hAnsi="Times New Roman" w:cs="Times New Roman"/>
        </w:rPr>
        <w:t>That most taxa are coded the same for both characters (e.g., 87–0 and 253–0) indicates that both have been consistently interpreted as referring to specifically denticles (rather than character 87 referring to non-denticle dentition). Character 87 is retained simply because it occurs earlier in the matrix. However, coded states differ for several taxa between them:</w:t>
      </w:r>
    </w:p>
    <w:p w14:paraId="754F7BEC"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i/>
          <w:iCs/>
        </w:rPr>
        <w:t xml:space="preserve">Trimerorhachis </w:t>
      </w:r>
      <w:r w:rsidRPr="00A155FA">
        <w:rPr>
          <w:rFonts w:ascii="Times New Roman" w:hAnsi="Times New Roman" w:cs="Times New Roman"/>
        </w:rPr>
        <w:t>was most recently described by Milner &amp; Schoch (2013:107), who stated that “the presence of a denticle field on the ventral side of the basal plate of the parasphenoid is not clear; if present, it must have been small and faintly developed.” The conservative way to reconcile the differences (87–0, 253–1) is to code it as unknown, but with the addition of a third state (see below for character 352), this can be coded as partial uncertainty for states 0 and 1.</w:t>
      </w:r>
    </w:p>
    <w:p w14:paraId="05520167" w14:textId="1B5A6512"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i/>
          <w:iCs/>
        </w:rPr>
        <w:t xml:space="preserve">Dissorophus multicinctus </w:t>
      </w:r>
      <w:r w:rsidRPr="00A155FA">
        <w:rPr>
          <w:rFonts w:ascii="Times New Roman" w:hAnsi="Times New Roman" w:cs="Times New Roman"/>
        </w:rPr>
        <w:t xml:space="preserve">has not been redescribed since DeMar (1968:1217) who stated that only vomerine palatal teeth could be confidently identified. Schoch (2012:fig. 3D) reconstructed this taxon without </w:t>
      </w:r>
      <w:proofErr w:type="spellStart"/>
      <w:r w:rsidRPr="00A155FA">
        <w:rPr>
          <w:rFonts w:ascii="Times New Roman" w:hAnsi="Times New Roman" w:cs="Times New Roman"/>
        </w:rPr>
        <w:t>parasphenoidal</w:t>
      </w:r>
      <w:proofErr w:type="spellEnd"/>
      <w:r w:rsidRPr="00A155FA">
        <w:rPr>
          <w:rFonts w:ascii="Times New Roman" w:hAnsi="Times New Roman" w:cs="Times New Roman"/>
        </w:rPr>
        <w:t xml:space="preserve"> dentition, as with most dissorophids, but no primary data have been newly provided to substantiate this (Milner’s 2003 redescription of a junior synonym, “</w:t>
      </w:r>
      <w:proofErr w:type="spellStart"/>
      <w:r w:rsidRPr="00A155FA">
        <w:rPr>
          <w:rFonts w:ascii="Times New Roman" w:hAnsi="Times New Roman" w:cs="Times New Roman"/>
          <w:i/>
          <w:iCs/>
        </w:rPr>
        <w:t>Longiscitula</w:t>
      </w:r>
      <w:proofErr w:type="spellEnd"/>
      <w:r w:rsidRPr="00A155FA">
        <w:rPr>
          <w:rFonts w:ascii="Times New Roman" w:hAnsi="Times New Roman" w:cs="Times New Roman"/>
          <w:i/>
          <w:iCs/>
        </w:rPr>
        <w:t xml:space="preserve"> </w:t>
      </w:r>
      <w:proofErr w:type="spellStart"/>
      <w:r w:rsidRPr="00A155FA">
        <w:rPr>
          <w:rFonts w:ascii="Times New Roman" w:hAnsi="Times New Roman" w:cs="Times New Roman"/>
          <w:i/>
          <w:iCs/>
        </w:rPr>
        <w:t>houghae</w:t>
      </w:r>
      <w:proofErr w:type="spellEnd"/>
      <w:r w:rsidRPr="00A155FA">
        <w:rPr>
          <w:rFonts w:ascii="Times New Roman" w:hAnsi="Times New Roman" w:cs="Times New Roman"/>
        </w:rPr>
        <w:t>” does not address this). The conservative way to reconcile the differences (87–0, 253–1) is to code it as unknown.</w:t>
      </w:r>
    </w:p>
    <w:p w14:paraId="360C78DA"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i/>
          <w:iCs/>
        </w:rPr>
        <w:t xml:space="preserve">Cacops aspidephorus </w:t>
      </w:r>
      <w:r w:rsidRPr="00A155FA">
        <w:rPr>
          <w:rFonts w:ascii="Times New Roman" w:hAnsi="Times New Roman" w:cs="Times New Roman"/>
        </w:rPr>
        <w:t xml:space="preserve">was most recently described by Anderson et al. (2020:7) who stated that a small surface area between the basal tubera and the basicranial articulation is covered by a shagreen of denticles, in contrast to other species of </w:t>
      </w:r>
      <w:r w:rsidRPr="00A155FA">
        <w:rPr>
          <w:rFonts w:ascii="Times New Roman" w:hAnsi="Times New Roman" w:cs="Times New Roman"/>
          <w:i/>
          <w:iCs/>
        </w:rPr>
        <w:t>Cacops</w:t>
      </w:r>
      <w:r w:rsidRPr="00A155FA">
        <w:rPr>
          <w:rFonts w:ascii="Times New Roman" w:hAnsi="Times New Roman" w:cs="Times New Roman"/>
        </w:rPr>
        <w:t>. This code is corrected to 87–0 from 87–1 and is considered a mischaracterization.</w:t>
      </w:r>
    </w:p>
    <w:p w14:paraId="17851206"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i/>
          <w:iCs/>
        </w:rPr>
        <w:t xml:space="preserve">Sclerocephalus haeuseri </w:t>
      </w:r>
      <w:r w:rsidRPr="00A155FA">
        <w:rPr>
          <w:rFonts w:ascii="Times New Roman" w:hAnsi="Times New Roman" w:cs="Times New Roman"/>
        </w:rPr>
        <w:t xml:space="preserve">was most recently described by Schoch &amp; Witzmann (2009a:148), who made no comment on dentition of the parasphenoid but who did remark that there are denticles on the rest of the palatal bones. Schoch (2003) </w:t>
      </w:r>
      <w:r w:rsidRPr="00A155FA">
        <w:rPr>
          <w:rFonts w:ascii="Times New Roman" w:hAnsi="Times New Roman" w:cs="Times New Roman"/>
        </w:rPr>
        <w:lastRenderedPageBreak/>
        <w:t xml:space="preserve">noted a decrease in the presence of denticles on this element throughout early ontogeny, which was visually shown by Boy (1988:figs. 3–4). We feel that this is sufficient to correct the code to 87–1 from 87–0 and is considered a mischaracterization. </w:t>
      </w:r>
    </w:p>
    <w:p w14:paraId="671126F3"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i/>
          <w:iCs/>
        </w:rPr>
        <w:t xml:space="preserve">Uranocentrodon senekalensis </w:t>
      </w:r>
      <w:r w:rsidRPr="00A155FA">
        <w:rPr>
          <w:rFonts w:ascii="Times New Roman" w:hAnsi="Times New Roman" w:cs="Times New Roman"/>
        </w:rPr>
        <w:t xml:space="preserve">has not been appreciably redescribed since Broom (1930:fig. 2), who depicted denticles on the parasphenoid. This is in agreement with both earlier work (e.g., Haughton, 1925:228) and the phylogenetic coding by Marsicano et al. (2017), the most recent revision of Rhinesuchidae. This is considered sufficient to maintain the code as 87–0. </w:t>
      </w:r>
    </w:p>
    <w:p w14:paraId="18103004"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i/>
          <w:iCs/>
        </w:rPr>
        <w:t xml:space="preserve">Edingerella madagascariensis </w:t>
      </w:r>
      <w:r w:rsidRPr="00A155FA">
        <w:rPr>
          <w:rFonts w:ascii="Times New Roman" w:hAnsi="Times New Roman" w:cs="Times New Roman"/>
        </w:rPr>
        <w:t>was most recently described by Maganuco et al. (2009:18) who stated that there are no denticles on the parasphenoid, only a granular surface. This is considered sufficient to maintain the code as 87–1.</w:t>
      </w:r>
    </w:p>
    <w:p w14:paraId="400EC6F8"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i/>
          <w:iCs/>
        </w:rPr>
        <w:t xml:space="preserve">Benthosuchus sushkini </w:t>
      </w:r>
      <w:r w:rsidRPr="00A155FA">
        <w:rPr>
          <w:rFonts w:ascii="Times New Roman" w:hAnsi="Times New Roman" w:cs="Times New Roman"/>
        </w:rPr>
        <w:t xml:space="preserve">has not been appreciably redescribed since work by Bystrow &amp; Efremov (1940:figs. 67–69), in which it is repeatedly figured with denticle fields on the parasphenoid. This follows how previous workers have coded the taxon in phylogenetic analyses (e.g., Damiani, 2001; Schoch, 2008a), although it is not always figured as such. Novikov (2012b:402–403), in describing a new species of </w:t>
      </w:r>
      <w:r w:rsidRPr="00A155FA">
        <w:rPr>
          <w:rFonts w:ascii="Times New Roman" w:hAnsi="Times New Roman" w:cs="Times New Roman"/>
          <w:i/>
          <w:iCs/>
        </w:rPr>
        <w:t>Benthosuchus</w:t>
      </w:r>
      <w:r w:rsidRPr="00A155FA">
        <w:rPr>
          <w:rFonts w:ascii="Times New Roman" w:hAnsi="Times New Roman" w:cs="Times New Roman"/>
        </w:rPr>
        <w:t>, lists parasphenoid denticles as being present on the parasphenoid. This is considered sufficient to maintain the code as 87–0.</w:t>
      </w:r>
    </w:p>
    <w:p w14:paraId="11F3F6CE"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i/>
          <w:iCs/>
        </w:rPr>
        <w:t xml:space="preserve">Trematosaurus brauni </w:t>
      </w:r>
      <w:r w:rsidRPr="00A155FA">
        <w:rPr>
          <w:rFonts w:ascii="Times New Roman" w:hAnsi="Times New Roman" w:cs="Times New Roman"/>
        </w:rPr>
        <w:t>was most recently described by Schoch (2019b:51) who compared the topography of the basal plate to other stereospondyls with fine pitting and denticles; this taxon has also been previously reconstructed as having denticles (e.g., Schoch &amp; Milner, 2000:fig. 77). This is considered sufficient to maintain the code as 87–0.</w:t>
      </w:r>
    </w:p>
    <w:p w14:paraId="57500717"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proofErr w:type="spellStart"/>
      <w:r w:rsidRPr="00A155FA">
        <w:rPr>
          <w:rFonts w:ascii="Times New Roman" w:hAnsi="Times New Roman" w:cs="Times New Roman"/>
          <w:i/>
          <w:iCs/>
        </w:rPr>
        <w:t>Lyrocephaliscus</w:t>
      </w:r>
      <w:proofErr w:type="spellEnd"/>
      <w:r w:rsidRPr="00A155FA">
        <w:rPr>
          <w:rFonts w:ascii="Times New Roman" w:hAnsi="Times New Roman" w:cs="Times New Roman"/>
          <w:i/>
          <w:iCs/>
        </w:rPr>
        <w:t xml:space="preserve"> </w:t>
      </w:r>
      <w:proofErr w:type="spellStart"/>
      <w:r w:rsidRPr="00A155FA">
        <w:rPr>
          <w:rFonts w:ascii="Times New Roman" w:hAnsi="Times New Roman" w:cs="Times New Roman"/>
          <w:i/>
          <w:iCs/>
        </w:rPr>
        <w:t>euri</w:t>
      </w:r>
      <w:proofErr w:type="spellEnd"/>
      <w:r w:rsidRPr="00A155FA">
        <w:rPr>
          <w:rFonts w:ascii="Times New Roman" w:hAnsi="Times New Roman" w:cs="Times New Roman"/>
          <w:i/>
          <w:iCs/>
        </w:rPr>
        <w:t xml:space="preserve"> </w:t>
      </w:r>
      <w:r w:rsidRPr="00A155FA">
        <w:rPr>
          <w:rFonts w:ascii="Times New Roman" w:hAnsi="Times New Roman" w:cs="Times New Roman"/>
        </w:rPr>
        <w:t xml:space="preserve">was most recently described by </w:t>
      </w:r>
      <w:proofErr w:type="spellStart"/>
      <w:r w:rsidRPr="00A155FA">
        <w:rPr>
          <w:rFonts w:ascii="Times New Roman" w:hAnsi="Times New Roman" w:cs="Times New Roman"/>
        </w:rPr>
        <w:t>Mazin</w:t>
      </w:r>
      <w:proofErr w:type="spellEnd"/>
      <w:r w:rsidRPr="00A155FA">
        <w:rPr>
          <w:rFonts w:ascii="Times New Roman" w:hAnsi="Times New Roman" w:cs="Times New Roman"/>
        </w:rPr>
        <w:t xml:space="preserve"> &amp; Janvier (1983:16,19), who stated that denticles are found on the parasphenoid, as also depicted by Schoch &amp; Milner (2000:fig. 83) and described by Save-Söderbergh (1935:23). This is considered sufficient to maintain the code as 87–0.</w:t>
      </w:r>
    </w:p>
    <w:p w14:paraId="342CD76C"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The following taxa were coded for character 87 but not for character 253 and are left as is for character 87: </w:t>
      </w:r>
      <w:r w:rsidRPr="00A155FA">
        <w:rPr>
          <w:rFonts w:ascii="Times New Roman" w:hAnsi="Times New Roman" w:cs="Times New Roman"/>
          <w:i/>
          <w:iCs/>
        </w:rPr>
        <w:t>Micromelerpeton, Platyrhinops, Broiliellus, Acheloma, Phonerpeton, Eryops, Sangaia, Celtedens, Kokartus</w:t>
      </w:r>
      <w:r w:rsidRPr="00A155FA">
        <w:rPr>
          <w:rFonts w:ascii="Times New Roman" w:hAnsi="Times New Roman" w:cs="Times New Roman"/>
        </w:rPr>
        <w:t xml:space="preserve">, and </w:t>
      </w:r>
      <w:r w:rsidRPr="00A155FA">
        <w:rPr>
          <w:rFonts w:ascii="Times New Roman" w:hAnsi="Times New Roman" w:cs="Times New Roman"/>
          <w:i/>
          <w:iCs/>
        </w:rPr>
        <w:t>Triassurus</w:t>
      </w:r>
      <w:r w:rsidRPr="00A155FA">
        <w:rPr>
          <w:rFonts w:ascii="Times New Roman" w:hAnsi="Times New Roman" w:cs="Times New Roman"/>
        </w:rPr>
        <w:t>.</w:t>
      </w:r>
    </w:p>
    <w:p w14:paraId="37510A73"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The following taxa were coded for character 253 but not for character 87, and the code of the former (denticles absent) is newly applied to the latter: </w:t>
      </w:r>
      <w:r w:rsidRPr="00A155FA">
        <w:rPr>
          <w:rFonts w:ascii="Times New Roman" w:hAnsi="Times New Roman" w:cs="Times New Roman"/>
          <w:i/>
          <w:iCs/>
        </w:rPr>
        <w:t>Karaurus</w:t>
      </w:r>
      <w:r w:rsidRPr="00A155FA">
        <w:rPr>
          <w:rFonts w:ascii="Times New Roman" w:hAnsi="Times New Roman" w:cs="Times New Roman"/>
        </w:rPr>
        <w:t>.</w:t>
      </w:r>
    </w:p>
    <w:p w14:paraId="3B0AAACE" w14:textId="77777777"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87 (parasphenoid, shagreen); 115 (cultriform process, dentition); 352 (denticle field on parasphenoid):</w:t>
      </w:r>
      <w:r w:rsidRPr="00A155FA">
        <w:rPr>
          <w:rFonts w:ascii="Times New Roman" w:hAnsi="Times New Roman" w:cs="Times New Roman"/>
        </w:rPr>
        <w:t xml:space="preserve"> character 352 is meant to capture the expanded denticle field of some taxa, but it is already captured in character 115 (cultriform process, dentition). States 115–1 (with elongate tooth patch) and 352–1 (greatly expanded anteriorly along cultriform process) are synonymized and subsequently appended to character 87 as a new state 2, and characters 115 and 352 are omitted. </w:t>
      </w:r>
    </w:p>
    <w:p w14:paraId="23477030" w14:textId="77777777" w:rsidR="00FA06B2" w:rsidRPr="00A155FA" w:rsidRDefault="00FA06B2" w:rsidP="00A30351">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b/>
          <w:bCs/>
        </w:rPr>
        <w:t xml:space="preserve">87. Parasphenoid (shagreen). </w:t>
      </w:r>
      <w:r w:rsidRPr="00A155FA">
        <w:rPr>
          <w:rFonts w:ascii="Times New Roman" w:hAnsi="Times New Roman" w:cs="Times New Roman"/>
        </w:rPr>
        <w:t>Tooth patches present (0), or absent (1). [</w:t>
      </w:r>
      <w:r w:rsidRPr="00A155FA">
        <w:rPr>
          <w:rFonts w:ascii="Times New Roman" w:hAnsi="Times New Roman" w:cs="Times New Roman"/>
          <w:i/>
          <w:iCs/>
        </w:rPr>
        <w:t>added by Schoch, 2013</w:t>
      </w:r>
      <w:r w:rsidRPr="00A155FA">
        <w:rPr>
          <w:rFonts w:ascii="Times New Roman" w:hAnsi="Times New Roman" w:cs="Times New Roman"/>
        </w:rPr>
        <w:t>]</w:t>
      </w:r>
    </w:p>
    <w:p w14:paraId="06A7A2A1" w14:textId="77777777" w:rsidR="00FA06B2" w:rsidRPr="007A0A6B"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b/>
          <w:bCs/>
        </w:rPr>
        <w:t xml:space="preserve">115. Cultriform process (dentition). </w:t>
      </w:r>
      <w:r w:rsidRPr="00A155FA">
        <w:rPr>
          <w:rFonts w:ascii="Times New Roman" w:hAnsi="Times New Roman" w:cs="Times New Roman"/>
        </w:rPr>
        <w:t>Main shaft edentulous except for base (0), or with elongate tooth patch (1). [</w:t>
      </w:r>
      <w:r w:rsidRPr="00A155FA">
        <w:rPr>
          <w:rFonts w:ascii="Times New Roman" w:hAnsi="Times New Roman" w:cs="Times New Roman"/>
          <w:i/>
          <w:iCs/>
        </w:rPr>
        <w:t>added by Schoch, 2013</w:t>
      </w:r>
      <w:r w:rsidRPr="00A155FA">
        <w:rPr>
          <w:rFonts w:ascii="Times New Roman" w:hAnsi="Times New Roman" w:cs="Times New Roman"/>
        </w:rPr>
        <w:t>]</w:t>
      </w:r>
    </w:p>
    <w:p w14:paraId="6816AF03" w14:textId="77777777" w:rsidR="00FA06B2" w:rsidRPr="007A0A6B"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b/>
          <w:bCs/>
        </w:rPr>
        <w:t>352. (</w:t>
      </w:r>
      <w:r w:rsidRPr="007A0A6B">
        <w:rPr>
          <w:rFonts w:ascii="Times New Roman" w:hAnsi="Times New Roman" w:cs="Times New Roman"/>
          <w:b/>
          <w:bCs/>
          <w:i/>
          <w:iCs/>
        </w:rPr>
        <w:t>no character name</w:t>
      </w:r>
      <w:r w:rsidRPr="00A155FA">
        <w:rPr>
          <w:rFonts w:ascii="Times New Roman" w:hAnsi="Times New Roman" w:cs="Times New Roman"/>
          <w:b/>
          <w:bCs/>
        </w:rPr>
        <w:t xml:space="preserve">). </w:t>
      </w:r>
      <w:r w:rsidRPr="00A155FA">
        <w:rPr>
          <w:rFonts w:ascii="Times New Roman" w:hAnsi="Times New Roman" w:cs="Times New Roman"/>
        </w:rPr>
        <w:t>Denticle field on basal plate present or not (0), or greatly expanded anteriorly along cultriform process (1). [</w:t>
      </w:r>
      <w:r w:rsidRPr="00A155FA">
        <w:rPr>
          <w:rFonts w:ascii="Times New Roman" w:hAnsi="Times New Roman" w:cs="Times New Roman"/>
          <w:i/>
          <w:iCs/>
        </w:rPr>
        <w:t>added by Schoch et al., 2020</w:t>
      </w:r>
      <w:r w:rsidRPr="00A155FA">
        <w:rPr>
          <w:rFonts w:ascii="Times New Roman" w:hAnsi="Times New Roman" w:cs="Times New Roman"/>
        </w:rPr>
        <w:t>]</w:t>
      </w:r>
    </w:p>
    <w:p w14:paraId="4944EC97"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lastRenderedPageBreak/>
        <w:t>All taxa coded for 352–1 were coded as 87–2 (</w:t>
      </w:r>
      <w:r w:rsidRPr="00A155FA">
        <w:rPr>
          <w:rFonts w:ascii="Times New Roman" w:hAnsi="Times New Roman" w:cs="Times New Roman"/>
          <w:i/>
          <w:iCs/>
        </w:rPr>
        <w:t>Micropholis, Amphibamus, Platyrhinops, Eocaecilia</w:t>
      </w:r>
      <w:r w:rsidRPr="00A155FA">
        <w:rPr>
          <w:rFonts w:ascii="Times New Roman" w:hAnsi="Times New Roman" w:cs="Times New Roman"/>
        </w:rPr>
        <w:t xml:space="preserve">). </w:t>
      </w:r>
      <w:r w:rsidRPr="00A155FA">
        <w:rPr>
          <w:rFonts w:ascii="Times New Roman" w:hAnsi="Times New Roman" w:cs="Times New Roman"/>
          <w:i/>
          <w:iCs/>
        </w:rPr>
        <w:t xml:space="preserve">Acanthostomatops </w:t>
      </w:r>
      <w:r w:rsidRPr="00A155FA">
        <w:rPr>
          <w:rFonts w:ascii="Times New Roman" w:hAnsi="Times New Roman" w:cs="Times New Roman"/>
        </w:rPr>
        <w:t xml:space="preserve">and </w:t>
      </w:r>
      <w:r w:rsidRPr="00A155FA">
        <w:rPr>
          <w:rFonts w:ascii="Times New Roman" w:hAnsi="Times New Roman" w:cs="Times New Roman"/>
          <w:i/>
          <w:iCs/>
        </w:rPr>
        <w:t xml:space="preserve">Zatrachys </w:t>
      </w:r>
      <w:r w:rsidRPr="00A155FA">
        <w:rPr>
          <w:rFonts w:ascii="Times New Roman" w:hAnsi="Times New Roman" w:cs="Times New Roman"/>
        </w:rPr>
        <w:t>were changed from state 0 to the new state 2, as these taxa also have extensive denticle fields (e.g., Schoch, 1997; Witzmann &amp; Schoch, 2006; originally coded for state 115</w:t>
      </w:r>
      <w:r w:rsidRPr="00A155FA">
        <w:rPr>
          <w:rFonts w:ascii="Times New Roman" w:hAnsi="Times New Roman" w:cs="Times New Roman"/>
        </w:rPr>
        <w:softHyphen/>
        <w:t xml:space="preserve">–1). These are treated as unsubstantiated codes. </w:t>
      </w:r>
      <w:r w:rsidRPr="00A155FA">
        <w:rPr>
          <w:rFonts w:ascii="Times New Roman" w:hAnsi="Times New Roman" w:cs="Times New Roman"/>
          <w:i/>
          <w:iCs/>
        </w:rPr>
        <w:t xml:space="preserve">Micromelerpeton </w:t>
      </w:r>
      <w:r w:rsidRPr="00A155FA">
        <w:rPr>
          <w:rFonts w:ascii="Times New Roman" w:hAnsi="Times New Roman" w:cs="Times New Roman"/>
        </w:rPr>
        <w:t>is coded as polymorphic for states 0 and 2 (Boy, 1995:fig. 3).</w:t>
      </w:r>
    </w:p>
    <w:p w14:paraId="74354946" w14:textId="77777777"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 xml:space="preserve">88 (ectopterygoid, fangs); 123 (pterygoid, ectopterygoid); 124 (pterygoid-palatine-ectopterygoid); 125 (palatine, ectopterygoid); 128 (palatine, ectopterygoid, ontogeny); 129 (palatine, ectopterygoid, width); 130 (palatine, ectopterygoid, continuous tooth row); 131 (ectopterygoid length); 132 (laterally exposed ectopterygoid, LEE); 133 (ectopterygoid, Y-shaped): </w:t>
      </w:r>
      <w:r w:rsidRPr="00A155FA">
        <w:rPr>
          <w:rFonts w:ascii="Times New Roman" w:hAnsi="Times New Roman" w:cs="Times New Roman"/>
        </w:rPr>
        <w:t>any taxon coded for state 346–1 (ectopterygoid absent) cannot be coded for this character.</w:t>
      </w:r>
    </w:p>
    <w:p w14:paraId="3B48FC44"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Character 88: Codes were corrected from 88–1 (ectopterygoid fangs absent) for </w:t>
      </w:r>
      <w:r w:rsidRPr="00A155FA">
        <w:rPr>
          <w:rFonts w:ascii="Times New Roman" w:hAnsi="Times New Roman" w:cs="Times New Roman"/>
          <w:i/>
          <w:iCs/>
        </w:rPr>
        <w:t>Triadobatrachus</w:t>
      </w:r>
      <w:r w:rsidRPr="00A155FA">
        <w:rPr>
          <w:rFonts w:ascii="Times New Roman" w:hAnsi="Times New Roman" w:cs="Times New Roman"/>
        </w:rPr>
        <w:t xml:space="preserve">, </w:t>
      </w:r>
      <w:r w:rsidRPr="00A155FA">
        <w:rPr>
          <w:rFonts w:ascii="Times New Roman" w:hAnsi="Times New Roman" w:cs="Times New Roman"/>
          <w:i/>
          <w:iCs/>
        </w:rPr>
        <w:t>Celtedens</w:t>
      </w:r>
      <w:r w:rsidRPr="00A155FA">
        <w:rPr>
          <w:rFonts w:ascii="Times New Roman" w:hAnsi="Times New Roman" w:cs="Times New Roman"/>
        </w:rPr>
        <w:t xml:space="preserve">, and </w:t>
      </w:r>
      <w:r w:rsidRPr="00A155FA">
        <w:rPr>
          <w:rFonts w:ascii="Times New Roman" w:hAnsi="Times New Roman" w:cs="Times New Roman"/>
          <w:i/>
          <w:iCs/>
        </w:rPr>
        <w:t>Eocaecilia</w:t>
      </w:r>
      <w:r w:rsidRPr="00A155FA">
        <w:rPr>
          <w:rFonts w:ascii="Times New Roman" w:hAnsi="Times New Roman" w:cs="Times New Roman"/>
        </w:rPr>
        <w:t xml:space="preserve">. </w:t>
      </w:r>
    </w:p>
    <w:p w14:paraId="7A027DAA"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Character 123: Codes were corrected from 123–0 (palatine ramus exclusively formed by pterygoid) for </w:t>
      </w:r>
      <w:r w:rsidRPr="00A155FA">
        <w:rPr>
          <w:rFonts w:ascii="Times New Roman" w:hAnsi="Times New Roman" w:cs="Times New Roman"/>
          <w:i/>
          <w:iCs/>
        </w:rPr>
        <w:t>Brachydectes</w:t>
      </w:r>
      <w:r w:rsidRPr="00A155FA">
        <w:rPr>
          <w:rFonts w:ascii="Times New Roman" w:hAnsi="Times New Roman" w:cs="Times New Roman"/>
        </w:rPr>
        <w:t xml:space="preserve">, </w:t>
      </w:r>
      <w:r w:rsidRPr="00A155FA">
        <w:rPr>
          <w:rFonts w:ascii="Times New Roman" w:hAnsi="Times New Roman" w:cs="Times New Roman"/>
          <w:i/>
          <w:iCs/>
        </w:rPr>
        <w:t>Triadobatrachus, Leptodactylus, Xenopus, Celtedens, Ambystoma, Hynobius</w:t>
      </w:r>
      <w:r w:rsidRPr="00A155FA">
        <w:rPr>
          <w:rFonts w:ascii="Times New Roman" w:hAnsi="Times New Roman" w:cs="Times New Roman"/>
        </w:rPr>
        <w:t xml:space="preserve">, </w:t>
      </w:r>
      <w:r w:rsidRPr="00A155FA">
        <w:rPr>
          <w:rFonts w:ascii="Times New Roman" w:hAnsi="Times New Roman" w:cs="Times New Roman"/>
          <w:i/>
          <w:iCs/>
        </w:rPr>
        <w:t>Ichthyophis</w:t>
      </w:r>
      <w:r w:rsidRPr="00A155FA">
        <w:rPr>
          <w:rFonts w:ascii="Times New Roman" w:hAnsi="Times New Roman" w:cs="Times New Roman"/>
        </w:rPr>
        <w:t xml:space="preserve">, </w:t>
      </w:r>
      <w:r w:rsidRPr="00A155FA">
        <w:rPr>
          <w:rFonts w:ascii="Times New Roman" w:hAnsi="Times New Roman" w:cs="Times New Roman"/>
          <w:i/>
          <w:iCs/>
        </w:rPr>
        <w:t>Epicrionops</w:t>
      </w:r>
      <w:r w:rsidRPr="00A155FA">
        <w:rPr>
          <w:rFonts w:ascii="Times New Roman" w:hAnsi="Times New Roman" w:cs="Times New Roman"/>
        </w:rPr>
        <w:t xml:space="preserve">, and </w:t>
      </w:r>
      <w:r w:rsidRPr="00A155FA">
        <w:rPr>
          <w:rFonts w:ascii="Times New Roman" w:hAnsi="Times New Roman" w:cs="Times New Roman"/>
          <w:i/>
          <w:iCs/>
        </w:rPr>
        <w:t xml:space="preserve">Eocaecilia. </w:t>
      </w:r>
    </w:p>
    <w:p w14:paraId="4C9BCF1B"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Character 124: Codes were corrected from 124–0 for (pterygoid contacting both ectopterygoid and palatine) for </w:t>
      </w:r>
      <w:r w:rsidRPr="00A155FA">
        <w:rPr>
          <w:rFonts w:ascii="Times New Roman" w:hAnsi="Times New Roman" w:cs="Times New Roman"/>
          <w:i/>
          <w:iCs/>
        </w:rPr>
        <w:t>Leptodactylus</w:t>
      </w:r>
      <w:r w:rsidRPr="00A155FA">
        <w:rPr>
          <w:rFonts w:ascii="Times New Roman" w:hAnsi="Times New Roman" w:cs="Times New Roman"/>
        </w:rPr>
        <w:t xml:space="preserve">, </w:t>
      </w:r>
      <w:r w:rsidRPr="00A155FA">
        <w:rPr>
          <w:rFonts w:ascii="Times New Roman" w:hAnsi="Times New Roman" w:cs="Times New Roman"/>
          <w:i/>
          <w:iCs/>
        </w:rPr>
        <w:t>Ichthyophis</w:t>
      </w:r>
      <w:r w:rsidRPr="00A155FA">
        <w:rPr>
          <w:rFonts w:ascii="Times New Roman" w:hAnsi="Times New Roman" w:cs="Times New Roman"/>
        </w:rPr>
        <w:t xml:space="preserve">, and </w:t>
      </w:r>
      <w:r w:rsidRPr="00A155FA">
        <w:rPr>
          <w:rFonts w:ascii="Times New Roman" w:hAnsi="Times New Roman" w:cs="Times New Roman"/>
          <w:i/>
          <w:iCs/>
        </w:rPr>
        <w:t>Epicrionops</w:t>
      </w:r>
      <w:r w:rsidRPr="00A155FA">
        <w:rPr>
          <w:rFonts w:ascii="Times New Roman" w:hAnsi="Times New Roman" w:cs="Times New Roman"/>
        </w:rPr>
        <w:t xml:space="preserve">. Codes were corrected from 124–1 (pterygoid only contacting ectopterygoid) for </w:t>
      </w:r>
      <w:r w:rsidRPr="00A155FA">
        <w:rPr>
          <w:rFonts w:ascii="Times New Roman" w:hAnsi="Times New Roman" w:cs="Times New Roman"/>
          <w:i/>
          <w:iCs/>
        </w:rPr>
        <w:t>Triadobatrachus</w:t>
      </w:r>
      <w:r w:rsidRPr="00A155FA">
        <w:rPr>
          <w:rFonts w:ascii="Times New Roman" w:hAnsi="Times New Roman" w:cs="Times New Roman"/>
        </w:rPr>
        <w:t>.</w:t>
      </w:r>
    </w:p>
    <w:p w14:paraId="10650B77"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Character 125: Codes were corrected from 125–0 (palatine and ectopterygoid with simple, transverse suture) for </w:t>
      </w:r>
      <w:r w:rsidRPr="00A155FA">
        <w:rPr>
          <w:rFonts w:ascii="Times New Roman" w:hAnsi="Times New Roman" w:cs="Times New Roman"/>
          <w:i/>
          <w:iCs/>
        </w:rPr>
        <w:t xml:space="preserve">Brachydectes </w:t>
      </w:r>
      <w:r w:rsidRPr="00A155FA">
        <w:rPr>
          <w:rFonts w:ascii="Times New Roman" w:hAnsi="Times New Roman" w:cs="Times New Roman"/>
        </w:rPr>
        <w:t xml:space="preserve">and </w:t>
      </w:r>
      <w:r w:rsidRPr="00A155FA">
        <w:rPr>
          <w:rFonts w:ascii="Times New Roman" w:hAnsi="Times New Roman" w:cs="Times New Roman"/>
          <w:i/>
          <w:iCs/>
        </w:rPr>
        <w:t>Triadobatrachus</w:t>
      </w:r>
      <w:r w:rsidRPr="00A155FA">
        <w:rPr>
          <w:rFonts w:ascii="Times New Roman" w:hAnsi="Times New Roman" w:cs="Times New Roman"/>
        </w:rPr>
        <w:t>.</w:t>
      </w:r>
    </w:p>
    <w:p w14:paraId="0F7580BE"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Character 128: Codes were corrected from 128–0 (palatine and ectopterygoid maintain their width throughout ontogeny) for </w:t>
      </w:r>
      <w:r w:rsidRPr="00A155FA">
        <w:rPr>
          <w:rFonts w:ascii="Times New Roman" w:hAnsi="Times New Roman" w:cs="Times New Roman"/>
          <w:i/>
          <w:iCs/>
        </w:rPr>
        <w:t>Brachydectes</w:t>
      </w:r>
      <w:r w:rsidRPr="00A155FA">
        <w:rPr>
          <w:rFonts w:ascii="Times New Roman" w:hAnsi="Times New Roman" w:cs="Times New Roman"/>
        </w:rPr>
        <w:t xml:space="preserve">, </w:t>
      </w:r>
      <w:r w:rsidRPr="00A155FA">
        <w:rPr>
          <w:rFonts w:ascii="Times New Roman" w:hAnsi="Times New Roman" w:cs="Times New Roman"/>
          <w:i/>
          <w:iCs/>
        </w:rPr>
        <w:t xml:space="preserve">Ichthyophis </w:t>
      </w:r>
      <w:r w:rsidRPr="00A155FA">
        <w:rPr>
          <w:rFonts w:ascii="Times New Roman" w:hAnsi="Times New Roman" w:cs="Times New Roman"/>
        </w:rPr>
        <w:t xml:space="preserve">and </w:t>
      </w:r>
      <w:r w:rsidRPr="00A155FA">
        <w:rPr>
          <w:rFonts w:ascii="Times New Roman" w:hAnsi="Times New Roman" w:cs="Times New Roman"/>
          <w:i/>
          <w:iCs/>
        </w:rPr>
        <w:t>Epicrionops</w:t>
      </w:r>
      <w:r w:rsidRPr="00A155FA">
        <w:rPr>
          <w:rFonts w:ascii="Times New Roman" w:hAnsi="Times New Roman" w:cs="Times New Roman"/>
        </w:rPr>
        <w:t xml:space="preserve">. </w:t>
      </w:r>
    </w:p>
    <w:p w14:paraId="29D8A874"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Character 129: Codes were corrected from 129–0 (palatine and ectopterygoid much wider than maxilla) for </w:t>
      </w:r>
      <w:r w:rsidRPr="00A155FA">
        <w:rPr>
          <w:rFonts w:ascii="Times New Roman" w:hAnsi="Times New Roman" w:cs="Times New Roman"/>
          <w:i/>
          <w:iCs/>
        </w:rPr>
        <w:t>Brachydectes, Ichthyophis, Epicrionops</w:t>
      </w:r>
      <w:r w:rsidRPr="00A155FA">
        <w:rPr>
          <w:rFonts w:ascii="Times New Roman" w:hAnsi="Times New Roman" w:cs="Times New Roman"/>
        </w:rPr>
        <w:t xml:space="preserve">, and </w:t>
      </w:r>
      <w:r w:rsidRPr="00A155FA">
        <w:rPr>
          <w:rFonts w:ascii="Times New Roman" w:hAnsi="Times New Roman" w:cs="Times New Roman"/>
          <w:i/>
          <w:iCs/>
        </w:rPr>
        <w:t>Eocaecilia</w:t>
      </w:r>
      <w:r w:rsidRPr="00A155FA">
        <w:rPr>
          <w:rFonts w:ascii="Times New Roman" w:hAnsi="Times New Roman" w:cs="Times New Roman"/>
        </w:rPr>
        <w:t xml:space="preserve">. Codes were corrected from 129–1 (palatine and ectopterygoid as narrow as maxilla) </w:t>
      </w:r>
      <w:r w:rsidRPr="00A155FA">
        <w:rPr>
          <w:rFonts w:ascii="Times New Roman" w:hAnsi="Times New Roman" w:cs="Times New Roman"/>
          <w:i/>
          <w:iCs/>
        </w:rPr>
        <w:t xml:space="preserve">Triadobatrachus </w:t>
      </w:r>
      <w:r w:rsidRPr="00A155FA">
        <w:rPr>
          <w:rFonts w:ascii="Times New Roman" w:hAnsi="Times New Roman" w:cs="Times New Roman"/>
        </w:rPr>
        <w:t xml:space="preserve">and </w:t>
      </w:r>
      <w:r w:rsidRPr="00A155FA">
        <w:rPr>
          <w:rFonts w:ascii="Times New Roman" w:hAnsi="Times New Roman" w:cs="Times New Roman"/>
          <w:i/>
          <w:iCs/>
        </w:rPr>
        <w:t>Leptodactylus</w:t>
      </w:r>
      <w:r w:rsidRPr="00A155FA">
        <w:rPr>
          <w:rFonts w:ascii="Times New Roman" w:hAnsi="Times New Roman" w:cs="Times New Roman"/>
        </w:rPr>
        <w:t xml:space="preserve">. </w:t>
      </w:r>
    </w:p>
    <w:p w14:paraId="77C34327"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Character 130: Codes were corrected from 130–0 (palatine and ectopterygoid without continuous tooth row) for </w:t>
      </w:r>
      <w:r w:rsidRPr="00A155FA">
        <w:rPr>
          <w:rFonts w:ascii="Times New Roman" w:hAnsi="Times New Roman" w:cs="Times New Roman"/>
          <w:i/>
          <w:iCs/>
        </w:rPr>
        <w:t>Brachydectes, Triadobatrachus, Leptodactylus</w:t>
      </w:r>
      <w:r w:rsidRPr="00A155FA">
        <w:rPr>
          <w:rFonts w:ascii="Times New Roman" w:hAnsi="Times New Roman" w:cs="Times New Roman"/>
        </w:rPr>
        <w:t xml:space="preserve">, and </w:t>
      </w:r>
      <w:r w:rsidRPr="00A155FA">
        <w:rPr>
          <w:rFonts w:ascii="Times New Roman" w:hAnsi="Times New Roman" w:cs="Times New Roman"/>
          <w:i/>
          <w:iCs/>
        </w:rPr>
        <w:t>Eocaecilia</w:t>
      </w:r>
      <w:r w:rsidRPr="00A155FA">
        <w:rPr>
          <w:rFonts w:ascii="Times New Roman" w:hAnsi="Times New Roman" w:cs="Times New Roman"/>
        </w:rPr>
        <w:t xml:space="preserve">. Codes were corrected from 130–1 (palatine and ectopterygoid with continuous tooth row) for </w:t>
      </w:r>
      <w:r w:rsidRPr="00A155FA">
        <w:rPr>
          <w:rFonts w:ascii="Times New Roman" w:hAnsi="Times New Roman" w:cs="Times New Roman"/>
          <w:i/>
          <w:iCs/>
        </w:rPr>
        <w:t xml:space="preserve">Ichthyophis </w:t>
      </w:r>
      <w:r w:rsidRPr="00A155FA">
        <w:rPr>
          <w:rFonts w:ascii="Times New Roman" w:hAnsi="Times New Roman" w:cs="Times New Roman"/>
        </w:rPr>
        <w:t xml:space="preserve">and </w:t>
      </w:r>
      <w:r w:rsidRPr="00A155FA">
        <w:rPr>
          <w:rFonts w:ascii="Times New Roman" w:hAnsi="Times New Roman" w:cs="Times New Roman"/>
          <w:i/>
          <w:iCs/>
        </w:rPr>
        <w:t>Epicrionops</w:t>
      </w:r>
      <w:r w:rsidRPr="00A155FA">
        <w:rPr>
          <w:rFonts w:ascii="Times New Roman" w:hAnsi="Times New Roman" w:cs="Times New Roman"/>
        </w:rPr>
        <w:t xml:space="preserve">. </w:t>
      </w:r>
    </w:p>
    <w:p w14:paraId="18F42748"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Character 131: Codes were corrected from 131–1 (ectopterygoid markedly shorter than palatine) for </w:t>
      </w:r>
      <w:r w:rsidRPr="00A155FA">
        <w:rPr>
          <w:rFonts w:ascii="Times New Roman" w:hAnsi="Times New Roman" w:cs="Times New Roman"/>
          <w:i/>
          <w:iCs/>
        </w:rPr>
        <w:t>Triadobatrachus</w:t>
      </w:r>
      <w:r w:rsidRPr="00A155FA">
        <w:rPr>
          <w:rFonts w:ascii="Times New Roman" w:hAnsi="Times New Roman" w:cs="Times New Roman"/>
        </w:rPr>
        <w:t xml:space="preserve">. </w:t>
      </w:r>
    </w:p>
    <w:p w14:paraId="6993AF39"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Character 132: Codes were corrected from 132–0 (lateral exposure of ectopterygoid absent) for </w:t>
      </w:r>
      <w:r w:rsidRPr="00A155FA">
        <w:rPr>
          <w:rFonts w:ascii="Times New Roman" w:hAnsi="Times New Roman" w:cs="Times New Roman"/>
          <w:i/>
          <w:iCs/>
        </w:rPr>
        <w:t>Triadobatrachus</w:t>
      </w:r>
      <w:r w:rsidRPr="00A155FA">
        <w:rPr>
          <w:rFonts w:ascii="Times New Roman" w:hAnsi="Times New Roman" w:cs="Times New Roman"/>
        </w:rPr>
        <w:t xml:space="preserve">. </w:t>
      </w:r>
    </w:p>
    <w:p w14:paraId="61B61524"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Character 133: Codes were corrected from 133–0 (ectopterygoid with continuous maxillary suture) for </w:t>
      </w:r>
      <w:r w:rsidRPr="00A155FA">
        <w:rPr>
          <w:rFonts w:ascii="Times New Roman" w:hAnsi="Times New Roman" w:cs="Times New Roman"/>
          <w:i/>
          <w:iCs/>
        </w:rPr>
        <w:t>Triadobatrachus</w:t>
      </w:r>
      <w:r w:rsidRPr="00A155FA">
        <w:rPr>
          <w:rFonts w:ascii="Times New Roman" w:hAnsi="Times New Roman" w:cs="Times New Roman"/>
        </w:rPr>
        <w:t xml:space="preserve">. </w:t>
      </w:r>
    </w:p>
    <w:p w14:paraId="2155F473"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Codes for these 10 characters were updated from unknown to inapplicable for the above taxa (when originally coded as unknown) as well as for </w:t>
      </w:r>
      <w:r w:rsidRPr="00A155FA">
        <w:rPr>
          <w:rFonts w:ascii="Times New Roman" w:hAnsi="Times New Roman" w:cs="Times New Roman"/>
          <w:i/>
          <w:iCs/>
        </w:rPr>
        <w:t xml:space="preserve">Karaurus, Kokartus, </w:t>
      </w:r>
      <w:r w:rsidRPr="00A155FA">
        <w:rPr>
          <w:rFonts w:ascii="Times New Roman" w:hAnsi="Times New Roman" w:cs="Times New Roman"/>
        </w:rPr>
        <w:t xml:space="preserve">and </w:t>
      </w:r>
      <w:r w:rsidRPr="00A155FA">
        <w:rPr>
          <w:rFonts w:ascii="Times New Roman" w:hAnsi="Times New Roman" w:cs="Times New Roman"/>
          <w:i/>
          <w:iCs/>
        </w:rPr>
        <w:t xml:space="preserve">Cryptobranchus </w:t>
      </w:r>
      <w:r w:rsidRPr="00A155FA">
        <w:rPr>
          <w:rFonts w:ascii="Times New Roman" w:hAnsi="Times New Roman" w:cs="Times New Roman"/>
        </w:rPr>
        <w:t>for consistency.</w:t>
      </w:r>
    </w:p>
    <w:p w14:paraId="798FA89B" w14:textId="77777777"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 xml:space="preserve">92 (anterior palatal opening(s)): </w:t>
      </w:r>
      <w:r w:rsidRPr="00A155FA">
        <w:rPr>
          <w:rFonts w:ascii="Times New Roman" w:hAnsi="Times New Roman" w:cs="Times New Roman"/>
        </w:rPr>
        <w:t xml:space="preserve">this character requires at least one palatal opening to be present between the vomer and premaxilla; the identical name to character 91 </w:t>
      </w:r>
      <w:r w:rsidRPr="00A155FA">
        <w:rPr>
          <w:rFonts w:ascii="Times New Roman" w:hAnsi="Times New Roman" w:cs="Times New Roman"/>
        </w:rPr>
        <w:lastRenderedPageBreak/>
        <w:t>evidences that they are linked. Taxa coded for state 91–0 (vomer and premaxilla with continuous suture) cannot be coded for this character.</w:t>
      </w:r>
    </w:p>
    <w:p w14:paraId="1744316E" w14:textId="7F3C19CD"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Codes were changed corrected 92–0 (opening unpaired if present) for </w:t>
      </w:r>
      <w:r w:rsidRPr="00A155FA">
        <w:rPr>
          <w:rFonts w:ascii="Times New Roman" w:hAnsi="Times New Roman" w:cs="Times New Roman"/>
          <w:i/>
          <w:iCs/>
        </w:rPr>
        <w:t>Proterogyrinus, Brachydectes, Rhynchonkos, Edops, Cochleosaurus, Dendrerpeton, Balanerpeton, Acanthostomatops, Zatrachys, Micromelerpeton, Apateon, Micropholis, Platyrhinops, Doleserpeton</w:t>
      </w:r>
      <w:r w:rsidRPr="00A155FA">
        <w:rPr>
          <w:rFonts w:ascii="Times New Roman" w:hAnsi="Times New Roman" w:cs="Times New Roman"/>
        </w:rPr>
        <w:t xml:space="preserve">, </w:t>
      </w:r>
      <w:r w:rsidRPr="00A155FA">
        <w:rPr>
          <w:rFonts w:ascii="Times New Roman" w:hAnsi="Times New Roman" w:cs="Times New Roman"/>
          <w:i/>
          <w:iCs/>
        </w:rPr>
        <w:t xml:space="preserve">Amphibamus, Gerobatrachus, Dissorophus, Cacops, Broiliellus, Acheloma, Phonerpeton, Onchiodon, Eryops, Sclerocephalus, Glanochthon, Archegosaurus, Plagiosuchus, Gerrothorax, Paracyclotosaurus, Leptodactylus, Ambystoma, </w:t>
      </w:r>
      <w:r w:rsidRPr="00A155FA">
        <w:rPr>
          <w:rFonts w:ascii="Times New Roman" w:hAnsi="Times New Roman" w:cs="Times New Roman"/>
        </w:rPr>
        <w:t>and</w:t>
      </w:r>
      <w:r w:rsidRPr="00A155FA">
        <w:rPr>
          <w:rFonts w:ascii="Times New Roman" w:hAnsi="Times New Roman" w:cs="Times New Roman"/>
          <w:i/>
          <w:iCs/>
        </w:rPr>
        <w:t xml:space="preserve"> Hynobius, </w:t>
      </w:r>
    </w:p>
    <w:p w14:paraId="2E290AD3"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i/>
          <w:iCs/>
        </w:rPr>
        <w:t xml:space="preserve">Xenopus </w:t>
      </w:r>
      <w:r w:rsidRPr="00A155FA">
        <w:rPr>
          <w:rFonts w:ascii="Times New Roman" w:hAnsi="Times New Roman" w:cs="Times New Roman"/>
        </w:rPr>
        <w:t xml:space="preserve">and </w:t>
      </w:r>
      <w:r w:rsidRPr="00A155FA">
        <w:rPr>
          <w:rFonts w:ascii="Times New Roman" w:hAnsi="Times New Roman" w:cs="Times New Roman"/>
          <w:i/>
          <w:iCs/>
        </w:rPr>
        <w:t xml:space="preserve">Kokartus </w:t>
      </w:r>
      <w:r w:rsidRPr="00A155FA">
        <w:rPr>
          <w:rFonts w:ascii="Times New Roman" w:hAnsi="Times New Roman" w:cs="Times New Roman"/>
        </w:rPr>
        <w:t>were coded as unknown for character 91, so they should be left as unknown for character 92 as well.</w:t>
      </w:r>
    </w:p>
    <w:p w14:paraId="77910D87"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i/>
          <w:iCs/>
        </w:rPr>
        <w:t xml:space="preserve">Cryptobranchus, Ichthyophis, Epicrionops, </w:t>
      </w:r>
      <w:r w:rsidRPr="00A155FA">
        <w:rPr>
          <w:rFonts w:ascii="Times New Roman" w:hAnsi="Times New Roman" w:cs="Times New Roman"/>
        </w:rPr>
        <w:t xml:space="preserve">and </w:t>
      </w:r>
      <w:r w:rsidRPr="00A155FA">
        <w:rPr>
          <w:rFonts w:ascii="Times New Roman" w:hAnsi="Times New Roman" w:cs="Times New Roman"/>
          <w:i/>
          <w:iCs/>
        </w:rPr>
        <w:t xml:space="preserve">Eocaecilia </w:t>
      </w:r>
      <w:r w:rsidRPr="00A155FA">
        <w:rPr>
          <w:rFonts w:ascii="Times New Roman" w:hAnsi="Times New Roman" w:cs="Times New Roman"/>
        </w:rPr>
        <w:t>were updated to inapplicable from unknown for character 92.</w:t>
      </w:r>
    </w:p>
    <w:p w14:paraId="12C0DBD2" w14:textId="77777777"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 xml:space="preserve">95 (anterior palatal depression): </w:t>
      </w:r>
      <w:r w:rsidRPr="00A155FA">
        <w:rPr>
          <w:rFonts w:ascii="Times New Roman" w:hAnsi="Times New Roman" w:cs="Times New Roman"/>
        </w:rPr>
        <w:t>this character requires an anterior palatal depression to be present. Taxa that lack such a depression cannot be coded for this character.</w:t>
      </w:r>
    </w:p>
    <w:p w14:paraId="0BBDD0CC" w14:textId="0B43D57F"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Codes were corrected from 95–0 (posterior rim round if present) for </w:t>
      </w:r>
      <w:r w:rsidRPr="00A155FA">
        <w:rPr>
          <w:rFonts w:ascii="Times New Roman" w:hAnsi="Times New Roman" w:cs="Times New Roman"/>
          <w:i/>
          <w:iCs/>
        </w:rPr>
        <w:t>Brachydectes, Batropetes, Rhynchonkos, Dendrerpeton</w:t>
      </w:r>
      <w:r w:rsidRPr="00A155FA">
        <w:rPr>
          <w:rFonts w:ascii="Times New Roman" w:hAnsi="Times New Roman" w:cs="Times New Roman"/>
        </w:rPr>
        <w:t xml:space="preserve">, and </w:t>
      </w:r>
      <w:r w:rsidRPr="00A155FA">
        <w:rPr>
          <w:rFonts w:ascii="Times New Roman" w:hAnsi="Times New Roman" w:cs="Times New Roman"/>
          <w:i/>
          <w:iCs/>
        </w:rPr>
        <w:t>Balanerpeton</w:t>
      </w:r>
      <w:r w:rsidRPr="00A155FA">
        <w:rPr>
          <w:rFonts w:ascii="Times New Roman" w:hAnsi="Times New Roman" w:cs="Times New Roman"/>
        </w:rPr>
        <w:t>.</w:t>
      </w:r>
    </w:p>
    <w:p w14:paraId="0BFFDCDB" w14:textId="4387E408"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 xml:space="preserve">99 (choana, lateral): </w:t>
      </w:r>
      <w:r w:rsidRPr="00A155FA">
        <w:rPr>
          <w:rFonts w:ascii="Times New Roman" w:hAnsi="Times New Roman" w:cs="Times New Roman"/>
        </w:rPr>
        <w:t xml:space="preserve">the coding of this character is perplexing. Most taxa are coded for 99–0 (choana anterolaterally expanded with triangular outline), but most taxa lack this expansion. Additionally, the few taxa originally coded for 99–1 (choana oval) have markedly disparate morphology. The trematosaur </w:t>
      </w:r>
      <w:r w:rsidRPr="00A155FA">
        <w:rPr>
          <w:rFonts w:ascii="Times New Roman" w:hAnsi="Times New Roman" w:cs="Times New Roman"/>
          <w:i/>
          <w:iCs/>
        </w:rPr>
        <w:t xml:space="preserve">Lyrocephaliscus </w:t>
      </w:r>
      <w:r w:rsidRPr="00A155FA">
        <w:rPr>
          <w:rFonts w:ascii="Times New Roman" w:hAnsi="Times New Roman" w:cs="Times New Roman"/>
        </w:rPr>
        <w:t xml:space="preserve">genuinely has a simple oval choana, like most other temnospondyls and </w:t>
      </w:r>
      <w:r w:rsidRPr="00A155FA">
        <w:rPr>
          <w:rFonts w:ascii="Times New Roman" w:hAnsi="Times New Roman" w:cs="Times New Roman"/>
          <w:i/>
          <w:iCs/>
        </w:rPr>
        <w:t>Greererpeton</w:t>
      </w:r>
      <w:r w:rsidRPr="00A155FA">
        <w:rPr>
          <w:rFonts w:ascii="Times New Roman" w:hAnsi="Times New Roman" w:cs="Times New Roman"/>
        </w:rPr>
        <w:t xml:space="preserve">, whereas </w:t>
      </w:r>
      <w:r w:rsidRPr="00A155FA">
        <w:rPr>
          <w:rFonts w:ascii="Times New Roman" w:hAnsi="Times New Roman" w:cs="Times New Roman"/>
          <w:i/>
          <w:iCs/>
        </w:rPr>
        <w:t xml:space="preserve">Dendrerpeton </w:t>
      </w:r>
      <w:r w:rsidRPr="00A155FA">
        <w:rPr>
          <w:rFonts w:ascii="Times New Roman" w:hAnsi="Times New Roman" w:cs="Times New Roman"/>
        </w:rPr>
        <w:t xml:space="preserve">has the marked lateral expansion that is captured in state 0, but both </w:t>
      </w:r>
      <w:r w:rsidRPr="00A155FA">
        <w:rPr>
          <w:rFonts w:ascii="Times New Roman" w:hAnsi="Times New Roman" w:cs="Times New Roman"/>
          <w:i/>
          <w:iCs/>
        </w:rPr>
        <w:t xml:space="preserve">Lyrocephaliscus </w:t>
      </w:r>
      <w:r w:rsidRPr="00A155FA">
        <w:rPr>
          <w:rFonts w:ascii="Times New Roman" w:hAnsi="Times New Roman" w:cs="Times New Roman"/>
        </w:rPr>
        <w:t xml:space="preserve">and </w:t>
      </w:r>
      <w:r w:rsidRPr="00A155FA">
        <w:rPr>
          <w:rFonts w:ascii="Times New Roman" w:hAnsi="Times New Roman" w:cs="Times New Roman"/>
          <w:i/>
          <w:iCs/>
        </w:rPr>
        <w:t xml:space="preserve">Dendrerpeton </w:t>
      </w:r>
      <w:r w:rsidRPr="00A155FA">
        <w:rPr>
          <w:rFonts w:ascii="Times New Roman" w:hAnsi="Times New Roman" w:cs="Times New Roman"/>
        </w:rPr>
        <w:t>are coded for 99–1. This indicates that there is not merely a reversal of codes, similar to character 69, and codes were systematically checked.</w:t>
      </w:r>
    </w:p>
    <w:p w14:paraId="71C8809E"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Codes were reversed (corrected) from 99–0 to 99–1 for </w:t>
      </w:r>
      <w:r w:rsidRPr="00A155FA">
        <w:rPr>
          <w:rFonts w:ascii="Times New Roman" w:hAnsi="Times New Roman" w:cs="Times New Roman"/>
          <w:i/>
          <w:iCs/>
        </w:rPr>
        <w:t>Proterogyrinus</w:t>
      </w:r>
      <w:r w:rsidRPr="00A155FA">
        <w:rPr>
          <w:rFonts w:ascii="Times New Roman" w:hAnsi="Times New Roman" w:cs="Times New Roman"/>
        </w:rPr>
        <w:t xml:space="preserve">, </w:t>
      </w:r>
      <w:r w:rsidRPr="00A155FA">
        <w:rPr>
          <w:rFonts w:ascii="Times New Roman" w:hAnsi="Times New Roman" w:cs="Times New Roman"/>
          <w:i/>
          <w:iCs/>
        </w:rPr>
        <w:t>Greererpeton</w:t>
      </w:r>
      <w:r w:rsidRPr="00A155FA">
        <w:rPr>
          <w:rFonts w:ascii="Times New Roman" w:hAnsi="Times New Roman" w:cs="Times New Roman"/>
        </w:rPr>
        <w:t xml:space="preserve">, </w:t>
      </w:r>
      <w:r w:rsidRPr="00A155FA">
        <w:rPr>
          <w:rFonts w:ascii="Times New Roman" w:hAnsi="Times New Roman" w:cs="Times New Roman"/>
          <w:i/>
          <w:iCs/>
        </w:rPr>
        <w:t xml:space="preserve">Balanerpeton, Trimerorhachis, Micromelerpeton, Apateon, Micropholis, Platyrhinops, Doleserpeton, Amphibamus, Gerobatrachus, Dissorophus, Cacops, Broiliellus, Acheloma, Phonerpeton, Onchiodon, Eryops, Sclerocephalus, Glanochthon, Archegosaurus, Uranocentrodon, Lydekkerina, Siderops, Batrachosuchus, Plagiosuchus, Gerrothorax, Edingerella, Benthosuchus, Trematosaurus, Trematolestes, Lyrocephaliscus, Callistomordax, Metoposaurus, Parotosuchus, Paracyclotosaurus, Cyclotosaurus, Mastodonsaurus, </w:t>
      </w:r>
      <w:r w:rsidRPr="00A155FA">
        <w:rPr>
          <w:rFonts w:ascii="Times New Roman" w:hAnsi="Times New Roman" w:cs="Times New Roman"/>
        </w:rPr>
        <w:t xml:space="preserve">and </w:t>
      </w:r>
      <w:r w:rsidRPr="00A155FA">
        <w:rPr>
          <w:rFonts w:ascii="Times New Roman" w:hAnsi="Times New Roman" w:cs="Times New Roman"/>
          <w:i/>
          <w:iCs/>
        </w:rPr>
        <w:t>Rileymillerus</w:t>
      </w:r>
      <w:r w:rsidRPr="00A155FA">
        <w:rPr>
          <w:rFonts w:ascii="Times New Roman" w:hAnsi="Times New Roman" w:cs="Times New Roman"/>
        </w:rPr>
        <w:t xml:space="preserve">. </w:t>
      </w:r>
    </w:p>
    <w:p w14:paraId="33FB1D0B" w14:textId="7E3BF1F4"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Codes were reversed (corrected) from 99–1 to 99–0 for </w:t>
      </w:r>
      <w:r w:rsidRPr="00A155FA">
        <w:rPr>
          <w:rFonts w:ascii="Times New Roman" w:hAnsi="Times New Roman" w:cs="Times New Roman"/>
          <w:i/>
          <w:iCs/>
        </w:rPr>
        <w:t xml:space="preserve">Edops, Cochleosaurus, </w:t>
      </w:r>
      <w:r w:rsidRPr="00A155FA">
        <w:rPr>
          <w:rFonts w:ascii="Times New Roman" w:hAnsi="Times New Roman" w:cs="Times New Roman"/>
        </w:rPr>
        <w:t>and</w:t>
      </w:r>
      <w:r w:rsidRPr="00A155FA">
        <w:rPr>
          <w:rFonts w:ascii="Times New Roman" w:hAnsi="Times New Roman" w:cs="Times New Roman"/>
          <w:i/>
          <w:iCs/>
        </w:rPr>
        <w:t xml:space="preserve"> Dendrerpeton</w:t>
      </w:r>
      <w:r w:rsidRPr="00A155FA">
        <w:rPr>
          <w:rFonts w:ascii="Times New Roman" w:hAnsi="Times New Roman" w:cs="Times New Roman"/>
        </w:rPr>
        <w:t xml:space="preserve">. </w:t>
      </w:r>
    </w:p>
    <w:p w14:paraId="4395FB59"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Codes were corrected from 99</w:t>
      </w:r>
      <w:r w:rsidRPr="00A155FA">
        <w:rPr>
          <w:rFonts w:ascii="Times New Roman" w:hAnsi="Times New Roman" w:cs="Times New Roman"/>
        </w:rPr>
        <w:softHyphen/>
        <w:t xml:space="preserve">–0 to unknown for </w:t>
      </w:r>
      <w:r w:rsidRPr="00A155FA">
        <w:rPr>
          <w:rFonts w:ascii="Times New Roman" w:hAnsi="Times New Roman" w:cs="Times New Roman"/>
          <w:i/>
          <w:iCs/>
        </w:rPr>
        <w:t xml:space="preserve">Rhynchonkos </w:t>
      </w:r>
      <w:r w:rsidRPr="00A155FA">
        <w:rPr>
          <w:rFonts w:ascii="Times New Roman" w:hAnsi="Times New Roman" w:cs="Times New Roman"/>
        </w:rPr>
        <w:t xml:space="preserve">(reconstructed palate with the lateral margin of the choana shown has not been presented, and present disarticulation precludes determination; Carroll &amp; Gaskill, 1978; Szostakiwskyj et al., 2015). </w:t>
      </w:r>
    </w:p>
    <w:p w14:paraId="6BD862B1" w14:textId="0A60A1A8" w:rsidR="00FA06B2" w:rsidRPr="00A155FA" w:rsidRDefault="00FA06B2" w:rsidP="005229E5">
      <w:pPr>
        <w:pStyle w:val="ListParagraph"/>
        <w:numPr>
          <w:ilvl w:val="0"/>
          <w:numId w:val="3"/>
        </w:numPr>
        <w:tabs>
          <w:tab w:val="left" w:pos="2860"/>
        </w:tabs>
        <w:rPr>
          <w:rFonts w:ascii="Times New Roman" w:hAnsi="Times New Roman" w:cs="Times New Roman"/>
        </w:rPr>
      </w:pPr>
      <w:r w:rsidRPr="00A155FA">
        <w:rPr>
          <w:rFonts w:ascii="Times New Roman" w:hAnsi="Times New Roman" w:cs="Times New Roman"/>
          <w:b/>
          <w:bCs/>
        </w:rPr>
        <w:t>102 (vomer-pterygoid); 124 (pterygoid-palatine-ectopterygoid); 125 (palatine, ectopterygoid); 126 (palatine, vomer); 127 (LEP); 128 (palatine, ectopterygoid, ontogeny); 129 (palatine, ectopterygoid, width); 130 (palatine, ectopterygoid, continuous tooth row); 131 (ectopterygoid length);</w:t>
      </w:r>
      <w:r w:rsidR="007448A4" w:rsidRPr="007448A4">
        <w:rPr>
          <w:rFonts w:ascii="Times New Roman" w:hAnsi="Times New Roman" w:cs="Times New Roman"/>
          <w:b/>
          <w:bCs/>
        </w:rPr>
        <w:t xml:space="preserve"> </w:t>
      </w:r>
      <w:r w:rsidR="007448A4">
        <w:rPr>
          <w:rFonts w:ascii="Times New Roman" w:hAnsi="Times New Roman" w:cs="Times New Roman"/>
          <w:b/>
          <w:bCs/>
        </w:rPr>
        <w:t>248 (anterior palatine);</w:t>
      </w:r>
      <w:r w:rsidR="007448A4" w:rsidRPr="00843935">
        <w:rPr>
          <w:rFonts w:ascii="Times New Roman" w:hAnsi="Times New Roman" w:cs="Times New Roman"/>
          <w:b/>
          <w:bCs/>
        </w:rPr>
        <w:t xml:space="preserve"> </w:t>
      </w:r>
      <w:r w:rsidRPr="00A155FA">
        <w:rPr>
          <w:rFonts w:ascii="Times New Roman" w:hAnsi="Times New Roman" w:cs="Times New Roman"/>
          <w:b/>
          <w:bCs/>
        </w:rPr>
        <w:t xml:space="preserve">252 (denticles on palatines); 355; palatine with distinct tusk pair): </w:t>
      </w:r>
      <w:r w:rsidRPr="00A155FA">
        <w:rPr>
          <w:rFonts w:ascii="Times New Roman" w:hAnsi="Times New Roman" w:cs="Times New Roman"/>
        </w:rPr>
        <w:t xml:space="preserve">any taxon coded for 248–2 (palatine absent) cannot be coded for these characters. </w:t>
      </w:r>
    </w:p>
    <w:p w14:paraId="674F0693" w14:textId="77777777" w:rsidR="00FA06B2" w:rsidRPr="00A155FA" w:rsidRDefault="00FA06B2" w:rsidP="005229E5">
      <w:pPr>
        <w:pStyle w:val="ListParagraph"/>
        <w:numPr>
          <w:ilvl w:val="1"/>
          <w:numId w:val="3"/>
        </w:numPr>
        <w:tabs>
          <w:tab w:val="left" w:pos="2860"/>
        </w:tabs>
        <w:rPr>
          <w:rFonts w:ascii="Times New Roman" w:hAnsi="Times New Roman" w:cs="Times New Roman"/>
        </w:rPr>
      </w:pPr>
      <w:r w:rsidRPr="00A155FA">
        <w:rPr>
          <w:rFonts w:ascii="Times New Roman" w:hAnsi="Times New Roman" w:cs="Times New Roman"/>
        </w:rPr>
        <w:lastRenderedPageBreak/>
        <w:t xml:space="preserve">State 248–2 (palatine absent) is redundant with state 356–1 (palatine absent). Because we wanted to add a character state to differentiate between ‘palatine present and distinct from maxilla’ (the plesiomorphic state) versus ‘palatine present but co-ossified with maxilla’ (as in gymnophionomorphs), we added a third state to character 356 (a general presence/absence character) and reduced character 248 (which only refers to the anterior process of the palatine) to states 0 and 1. </w:t>
      </w:r>
    </w:p>
    <w:p w14:paraId="5DBC335B" w14:textId="77777777" w:rsidR="00FA06B2" w:rsidRPr="00A155FA" w:rsidRDefault="00FA06B2" w:rsidP="005229E5">
      <w:pPr>
        <w:pStyle w:val="ListParagraph"/>
        <w:numPr>
          <w:ilvl w:val="1"/>
          <w:numId w:val="3"/>
        </w:numPr>
        <w:tabs>
          <w:tab w:val="left" w:pos="2860"/>
        </w:tabs>
        <w:rPr>
          <w:rFonts w:ascii="Times New Roman" w:hAnsi="Times New Roman" w:cs="Times New Roman"/>
        </w:rPr>
      </w:pPr>
      <w:r w:rsidRPr="00A155FA">
        <w:rPr>
          <w:rFonts w:ascii="Times New Roman" w:hAnsi="Times New Roman" w:cs="Times New Roman"/>
        </w:rPr>
        <w:t xml:space="preserve">Character 127: Codes were corrected from 127–0 (LEP absent) for </w:t>
      </w:r>
      <w:r w:rsidRPr="00A155FA">
        <w:rPr>
          <w:rFonts w:ascii="Times New Roman" w:hAnsi="Times New Roman" w:cs="Times New Roman"/>
          <w:i/>
          <w:iCs/>
        </w:rPr>
        <w:t>Ambystoma</w:t>
      </w:r>
      <w:r w:rsidRPr="00A155FA">
        <w:rPr>
          <w:rFonts w:ascii="Times New Roman" w:hAnsi="Times New Roman" w:cs="Times New Roman"/>
        </w:rPr>
        <w:t>.</w:t>
      </w:r>
    </w:p>
    <w:p w14:paraId="180B10DD" w14:textId="77777777" w:rsidR="00FA06B2" w:rsidRPr="00A155FA" w:rsidRDefault="00FA06B2" w:rsidP="005229E5">
      <w:pPr>
        <w:pStyle w:val="ListParagraph"/>
        <w:numPr>
          <w:ilvl w:val="1"/>
          <w:numId w:val="3"/>
        </w:numPr>
        <w:tabs>
          <w:tab w:val="left" w:pos="2860"/>
        </w:tabs>
        <w:rPr>
          <w:rFonts w:ascii="Times New Roman" w:hAnsi="Times New Roman" w:cs="Times New Roman"/>
        </w:rPr>
      </w:pPr>
      <w:r w:rsidRPr="00A155FA">
        <w:rPr>
          <w:rFonts w:ascii="Times New Roman" w:hAnsi="Times New Roman" w:cs="Times New Roman"/>
        </w:rPr>
        <w:t xml:space="preserve">Character 252: Codes were corrected from 252–0 (denticles on palatine present) for </w:t>
      </w:r>
      <w:r w:rsidRPr="00A155FA">
        <w:rPr>
          <w:rFonts w:ascii="Times New Roman" w:hAnsi="Times New Roman" w:cs="Times New Roman"/>
          <w:i/>
          <w:iCs/>
        </w:rPr>
        <w:t xml:space="preserve">Karaurus. </w:t>
      </w:r>
      <w:r w:rsidRPr="00A155FA">
        <w:rPr>
          <w:rFonts w:ascii="Times New Roman" w:hAnsi="Times New Roman" w:cs="Times New Roman"/>
        </w:rPr>
        <w:t xml:space="preserve">Codes were corrected from 252–1 (denticles on palatine absent) for </w:t>
      </w:r>
      <w:r w:rsidRPr="00A155FA">
        <w:rPr>
          <w:rFonts w:ascii="Times New Roman" w:hAnsi="Times New Roman" w:cs="Times New Roman"/>
          <w:i/>
          <w:iCs/>
        </w:rPr>
        <w:t xml:space="preserve">Ambystoma, Hynobius, </w:t>
      </w:r>
      <w:r w:rsidRPr="00A155FA">
        <w:rPr>
          <w:rFonts w:ascii="Times New Roman" w:hAnsi="Times New Roman" w:cs="Times New Roman"/>
        </w:rPr>
        <w:t xml:space="preserve">and </w:t>
      </w:r>
      <w:r w:rsidRPr="00A155FA">
        <w:rPr>
          <w:rFonts w:ascii="Times New Roman" w:hAnsi="Times New Roman" w:cs="Times New Roman"/>
          <w:i/>
          <w:iCs/>
        </w:rPr>
        <w:t xml:space="preserve">Cryptobranchus. </w:t>
      </w:r>
    </w:p>
    <w:p w14:paraId="7B92A9DA"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Character 355: Codes were corrected from 355–0 (palatine with distinct tusk pair) for </w:t>
      </w:r>
      <w:r w:rsidRPr="00A155FA">
        <w:rPr>
          <w:rFonts w:ascii="Times New Roman" w:hAnsi="Times New Roman" w:cs="Times New Roman"/>
          <w:i/>
          <w:iCs/>
        </w:rPr>
        <w:t>Karaurus, Kokartus, Ambystoma, Hynobius</w:t>
      </w:r>
      <w:r w:rsidRPr="00A155FA">
        <w:rPr>
          <w:rFonts w:ascii="Times New Roman" w:hAnsi="Times New Roman" w:cs="Times New Roman"/>
        </w:rPr>
        <w:t xml:space="preserve">, and </w:t>
      </w:r>
      <w:r w:rsidRPr="00A155FA">
        <w:rPr>
          <w:rFonts w:ascii="Times New Roman" w:hAnsi="Times New Roman" w:cs="Times New Roman"/>
          <w:i/>
          <w:iCs/>
        </w:rPr>
        <w:t xml:space="preserve">Cryptobranchus. </w:t>
      </w:r>
    </w:p>
    <w:p w14:paraId="448AF98B"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Codes for these 11 characters were updated from unknown to inapplicable (when originally coded as unknown) for the above taxa.</w:t>
      </w:r>
    </w:p>
    <w:p w14:paraId="22943253" w14:textId="77777777"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 xml:space="preserve">104 (vomer, extensions): </w:t>
      </w:r>
      <w:r w:rsidRPr="00A155FA">
        <w:rPr>
          <w:rFonts w:ascii="Times New Roman" w:hAnsi="Times New Roman" w:cs="Times New Roman"/>
        </w:rPr>
        <w:t>state 104–0 specifies a contact with the pterygoid; any taxon coded for state 102–1 (vomer-pterygoid separated by palatine) cannot be coded for this character. It is also inferred that 104–0 should be ‘vomer contacts pterygoid medial to choana,’ not ‘lateral to choana,’ as the pterygoid never extends onto or along the lateral side of the choana in the sampled taxa.</w:t>
      </w:r>
    </w:p>
    <w:p w14:paraId="2A5B520D"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Codes were corrected from 104–0 (vomer contacts pterygoid lateral to choana) for </w:t>
      </w:r>
      <w:r w:rsidRPr="00A155FA">
        <w:rPr>
          <w:rFonts w:ascii="Times New Roman" w:hAnsi="Times New Roman" w:cs="Times New Roman"/>
          <w:i/>
          <w:iCs/>
        </w:rPr>
        <w:t>Micromelerpeton, Apateon, Micropholis, Platyrhinops, Doleserpeton, Amphibamus, Gerobatrachus, Dissorophus, Broiliellus</w:t>
      </w:r>
      <w:r w:rsidRPr="00A155FA">
        <w:rPr>
          <w:rFonts w:ascii="Times New Roman" w:hAnsi="Times New Roman" w:cs="Times New Roman"/>
        </w:rPr>
        <w:t xml:space="preserve">, </w:t>
      </w:r>
      <w:r w:rsidRPr="00A155FA">
        <w:rPr>
          <w:rFonts w:ascii="Times New Roman" w:hAnsi="Times New Roman" w:cs="Times New Roman"/>
          <w:i/>
          <w:iCs/>
        </w:rPr>
        <w:t xml:space="preserve">Lydekkerina, Siderops, Batrachosuchus, Plagiosuchus, Gerrothorax, Edingerella, Benthosuchus, Trematosaurus, Trematolestes, Lyrocephaliscus, Callistomordax, Metoposaurus, Parotosuchus, Paracyclotosaurus, Cyclotosaurus, </w:t>
      </w:r>
      <w:r w:rsidRPr="00A155FA">
        <w:rPr>
          <w:rFonts w:ascii="Times New Roman" w:hAnsi="Times New Roman" w:cs="Times New Roman"/>
        </w:rPr>
        <w:t xml:space="preserve">and </w:t>
      </w:r>
      <w:r w:rsidRPr="00A155FA">
        <w:rPr>
          <w:rFonts w:ascii="Times New Roman" w:hAnsi="Times New Roman" w:cs="Times New Roman"/>
          <w:i/>
          <w:iCs/>
        </w:rPr>
        <w:t>Mastodonsaurus</w:t>
      </w:r>
      <w:r w:rsidRPr="00A155FA">
        <w:rPr>
          <w:rFonts w:ascii="Times New Roman" w:hAnsi="Times New Roman" w:cs="Times New Roman"/>
        </w:rPr>
        <w:t xml:space="preserve">. </w:t>
      </w:r>
    </w:p>
    <w:p w14:paraId="0C678389"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Codes were updated from unknown to inapplicable for </w:t>
      </w:r>
      <w:r w:rsidRPr="00A155FA">
        <w:rPr>
          <w:rFonts w:ascii="Times New Roman" w:hAnsi="Times New Roman" w:cs="Times New Roman"/>
          <w:i/>
          <w:iCs/>
        </w:rPr>
        <w:t xml:space="preserve">Triadobatrachus, Leptodactylus, Xenopus, Celtedens, Triassurus, Ichthyophis, Epicrionops, Eocaecilia, </w:t>
      </w:r>
      <w:r w:rsidRPr="00A155FA">
        <w:rPr>
          <w:rFonts w:ascii="Times New Roman" w:hAnsi="Times New Roman" w:cs="Times New Roman"/>
        </w:rPr>
        <w:t xml:space="preserve">and </w:t>
      </w:r>
      <w:r w:rsidRPr="00A155FA">
        <w:rPr>
          <w:rFonts w:ascii="Times New Roman" w:hAnsi="Times New Roman" w:cs="Times New Roman"/>
          <w:i/>
          <w:iCs/>
        </w:rPr>
        <w:t>Rileymillerus</w:t>
      </w:r>
      <w:r w:rsidRPr="00A155FA">
        <w:rPr>
          <w:rFonts w:ascii="Times New Roman" w:hAnsi="Times New Roman" w:cs="Times New Roman"/>
        </w:rPr>
        <w:t>.</w:t>
      </w:r>
    </w:p>
    <w:p w14:paraId="7A2DC4D4" w14:textId="77777777"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 xml:space="preserve">106 (basicranium, contact), 107 (basicranium, suture): </w:t>
      </w:r>
      <w:r w:rsidRPr="00A155FA">
        <w:rPr>
          <w:rFonts w:ascii="Times New Roman" w:hAnsi="Times New Roman" w:cs="Times New Roman"/>
        </w:rPr>
        <w:t>character 107 requires a sutural contact between the parasphenoid and the pterygoid to be present and cannot be coded for any taxa coded for 106–0 (joint between parasphenoid and pterygoid).</w:t>
      </w:r>
    </w:p>
    <w:p w14:paraId="48E503B5" w14:textId="23875E5B"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Codes were corrected from 107–0 (suture [if present] much shorter than basal plate, reaching at best 40% its length) for </w:t>
      </w:r>
      <w:r w:rsidRPr="00A155FA">
        <w:rPr>
          <w:rFonts w:ascii="Times New Roman" w:hAnsi="Times New Roman" w:cs="Times New Roman"/>
          <w:i/>
          <w:iCs/>
        </w:rPr>
        <w:t xml:space="preserve">Proterogyrinus, Greererpeton, Brachydectes, Batropetes, Rhynchonkos, Dendrerpeton, Balanerpeton, Trimerorhachis, Micromelerpeton, Apateon, Micropholis, Platyrhinops, Doleserpeton, Amphibamus, Gerobatrachus, Sclerocephalus, Glanochthon, </w:t>
      </w:r>
      <w:r w:rsidRPr="00A155FA">
        <w:rPr>
          <w:rFonts w:ascii="Times New Roman" w:hAnsi="Times New Roman" w:cs="Times New Roman"/>
        </w:rPr>
        <w:t xml:space="preserve">and </w:t>
      </w:r>
      <w:r w:rsidRPr="00A155FA">
        <w:rPr>
          <w:rFonts w:ascii="Times New Roman" w:hAnsi="Times New Roman" w:cs="Times New Roman"/>
          <w:i/>
          <w:iCs/>
        </w:rPr>
        <w:t xml:space="preserve">Archegosaurus. </w:t>
      </w:r>
    </w:p>
    <w:p w14:paraId="14CC18FD"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All lissamphibians were updated from unknown to inapplicable because they were coded for 106–0.</w:t>
      </w:r>
    </w:p>
    <w:p w14:paraId="74E75A67" w14:textId="03792FC2"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 xml:space="preserve">112 (cultriform process width); 343 (parasphenoid, cultriform process): </w:t>
      </w:r>
      <w:r w:rsidRPr="00A155FA">
        <w:rPr>
          <w:rFonts w:ascii="Times New Roman" w:hAnsi="Times New Roman" w:cs="Times New Roman"/>
        </w:rPr>
        <w:t>these characters refer to the same general feature but with drastically different character states (shown below for reference). These are both maintained here because of the different states, but future workers may wish to consolidate them, or conversely, to further differentiate them (e.g., to restrict one to anterior width and one to posterior width).</w:t>
      </w:r>
    </w:p>
    <w:p w14:paraId="6A841FF8" w14:textId="0A460F12" w:rsidR="00FA06B2" w:rsidRPr="00A155FA" w:rsidRDefault="00FA06B2" w:rsidP="005229E5">
      <w:pPr>
        <w:pStyle w:val="ListParagraph"/>
        <w:numPr>
          <w:ilvl w:val="1"/>
          <w:numId w:val="3"/>
        </w:numPr>
        <w:rPr>
          <w:rFonts w:ascii="Times New Roman" w:eastAsia="Times New Roman" w:hAnsi="Times New Roman" w:cs="Times New Roman"/>
          <w:color w:val="222222"/>
        </w:rPr>
      </w:pPr>
      <w:r w:rsidRPr="00A155FA">
        <w:rPr>
          <w:rFonts w:ascii="Times New Roman" w:eastAsia="Times New Roman" w:hAnsi="Times New Roman" w:cs="Times New Roman"/>
          <w:b/>
          <w:bCs/>
          <w:color w:val="222222"/>
        </w:rPr>
        <w:lastRenderedPageBreak/>
        <w:t>112. Cultriform process (width).</w:t>
      </w:r>
      <w:r w:rsidRPr="00A155FA">
        <w:rPr>
          <w:rFonts w:ascii="Times New Roman" w:eastAsia="Times New Roman" w:hAnsi="Times New Roman" w:cs="Times New Roman"/>
          <w:color w:val="222222"/>
        </w:rPr>
        <w:t xml:space="preserve"> Base not wider than rest, clearly set off from basal plate (0), merging continuously into plate (1), flaring anteriorly (2). [</w:t>
      </w:r>
      <w:r w:rsidRPr="007A0A6B">
        <w:rPr>
          <w:rFonts w:ascii="Times New Roman" w:eastAsia="Times New Roman" w:hAnsi="Times New Roman" w:cs="Times New Roman"/>
          <w:i/>
          <w:iCs/>
          <w:color w:val="222222"/>
        </w:rPr>
        <w:t>added by Schoch, 2013</w:t>
      </w:r>
      <w:r w:rsidRPr="00A155FA">
        <w:rPr>
          <w:rFonts w:ascii="Times New Roman" w:eastAsia="Times New Roman" w:hAnsi="Times New Roman" w:cs="Times New Roman"/>
          <w:color w:val="222222"/>
        </w:rPr>
        <w:t>]</w:t>
      </w:r>
    </w:p>
    <w:p w14:paraId="69CB655A" w14:textId="77777777" w:rsidR="00FA06B2" w:rsidRPr="00A155FA" w:rsidRDefault="00FA06B2" w:rsidP="00A30351">
      <w:pPr>
        <w:pStyle w:val="ListParagraph"/>
        <w:numPr>
          <w:ilvl w:val="2"/>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112–0 and 112–1 refer to the posterior portion where the cultriform process merges with the basal plate and whether this is smoothly confluent (as in stereospondyls) or more abrupt (as in non-stereospondyls). 112–2 refers to the anterior portion only, is exemplified by the condition seen in somewhat aberrant taxa like </w:t>
      </w:r>
      <w:r w:rsidRPr="00A155FA">
        <w:rPr>
          <w:rFonts w:ascii="Times New Roman" w:hAnsi="Times New Roman" w:cs="Times New Roman"/>
          <w:i/>
          <w:iCs/>
        </w:rPr>
        <w:t xml:space="preserve">Zatrachys </w:t>
      </w:r>
      <w:r w:rsidRPr="00A155FA">
        <w:rPr>
          <w:rFonts w:ascii="Times New Roman" w:hAnsi="Times New Roman" w:cs="Times New Roman"/>
        </w:rPr>
        <w:t xml:space="preserve">(e.g., Schoch, 1997), and would be better placed with character 343, which refers to changes to the width. We make this change here (moving state 112–2 to character 343) to make character 112 encapsulate mutually exclusive states referring only to the posterior region and to make character 343 more inclusive, as taxa like </w:t>
      </w:r>
      <w:r w:rsidRPr="00A155FA">
        <w:rPr>
          <w:rFonts w:ascii="Times New Roman" w:hAnsi="Times New Roman" w:cs="Times New Roman"/>
          <w:i/>
          <w:iCs/>
        </w:rPr>
        <w:t xml:space="preserve">Zatrachys </w:t>
      </w:r>
      <w:r w:rsidRPr="00A155FA">
        <w:rPr>
          <w:rFonts w:ascii="Times New Roman" w:hAnsi="Times New Roman" w:cs="Times New Roman"/>
        </w:rPr>
        <w:t>could not be previously coded for either state (but were). The new 343–2 is slightly reworded for clarity, and 343–1 removes reference to ‘spatulate,’ as this “flatness” is already captured in character 113 (cultriform process, structure), and 343–0 makes no mention of morphology, only changes in width.</w:t>
      </w:r>
    </w:p>
    <w:p w14:paraId="3AFC1BFE" w14:textId="77777777" w:rsidR="00FA06B2" w:rsidRPr="00A155FA" w:rsidRDefault="00FA06B2" w:rsidP="007A0A6B">
      <w:pPr>
        <w:pStyle w:val="ListParagraph"/>
        <w:numPr>
          <w:ilvl w:val="2"/>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Recoded from 112–2 to 112–0: </w:t>
      </w:r>
      <w:r w:rsidRPr="00A155FA">
        <w:rPr>
          <w:rFonts w:ascii="Times New Roman" w:hAnsi="Times New Roman" w:cs="Times New Roman"/>
          <w:i/>
          <w:iCs/>
        </w:rPr>
        <w:t xml:space="preserve">Balanerpeton, Zatrachys, </w:t>
      </w:r>
      <w:r w:rsidRPr="00A155FA">
        <w:rPr>
          <w:rFonts w:ascii="Times New Roman" w:hAnsi="Times New Roman" w:cs="Times New Roman"/>
        </w:rPr>
        <w:t>and</w:t>
      </w:r>
      <w:r w:rsidRPr="00A155FA">
        <w:rPr>
          <w:rFonts w:ascii="Times New Roman" w:hAnsi="Times New Roman" w:cs="Times New Roman"/>
          <w:i/>
          <w:iCs/>
        </w:rPr>
        <w:t xml:space="preserve"> Hynobius, Cryptobranchus.</w:t>
      </w:r>
    </w:p>
    <w:p w14:paraId="74CAA122" w14:textId="77777777" w:rsidR="00FA06B2" w:rsidRPr="00A155FA" w:rsidRDefault="00FA06B2" w:rsidP="007A0A6B">
      <w:pPr>
        <w:pStyle w:val="ListParagraph"/>
        <w:numPr>
          <w:ilvl w:val="2"/>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Recoded from 112–2 to 112–1: </w:t>
      </w:r>
      <w:r w:rsidRPr="00A155FA">
        <w:rPr>
          <w:rFonts w:ascii="Times New Roman" w:hAnsi="Times New Roman" w:cs="Times New Roman"/>
          <w:i/>
          <w:iCs/>
        </w:rPr>
        <w:t xml:space="preserve">Platyrhinops, Kokartus, </w:t>
      </w:r>
      <w:r w:rsidRPr="00A155FA">
        <w:rPr>
          <w:rFonts w:ascii="Times New Roman" w:hAnsi="Times New Roman" w:cs="Times New Roman"/>
        </w:rPr>
        <w:t xml:space="preserve">and </w:t>
      </w:r>
      <w:r w:rsidRPr="00A155FA">
        <w:rPr>
          <w:rFonts w:ascii="Times New Roman" w:hAnsi="Times New Roman" w:cs="Times New Roman"/>
          <w:i/>
          <w:iCs/>
        </w:rPr>
        <w:t>Ambystoma.</w:t>
      </w:r>
    </w:p>
    <w:p w14:paraId="1C948898" w14:textId="77777777" w:rsidR="00FA06B2" w:rsidRPr="00A155FA" w:rsidRDefault="00FA06B2" w:rsidP="007A0A6B">
      <w:pPr>
        <w:pStyle w:val="ListParagraph"/>
        <w:numPr>
          <w:ilvl w:val="2"/>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Uncoded for 112: </w:t>
      </w:r>
      <w:r w:rsidRPr="00A155FA">
        <w:rPr>
          <w:rFonts w:ascii="Times New Roman" w:hAnsi="Times New Roman" w:cs="Times New Roman"/>
          <w:i/>
          <w:iCs/>
        </w:rPr>
        <w:t xml:space="preserve">Gerobatrachus </w:t>
      </w:r>
      <w:r w:rsidRPr="00A155FA">
        <w:rPr>
          <w:rFonts w:ascii="Times New Roman" w:hAnsi="Times New Roman" w:cs="Times New Roman"/>
        </w:rPr>
        <w:t xml:space="preserve">(no basal plate is preserved, and the cultriform process is largely absent). </w:t>
      </w:r>
    </w:p>
    <w:p w14:paraId="0948F0C9" w14:textId="6DA5BEEF" w:rsidR="00FA06B2" w:rsidRPr="00A155FA" w:rsidRDefault="00FA06B2" w:rsidP="005229E5">
      <w:pPr>
        <w:pStyle w:val="ListParagraph"/>
        <w:numPr>
          <w:ilvl w:val="1"/>
          <w:numId w:val="3"/>
        </w:numPr>
        <w:rPr>
          <w:rFonts w:ascii="Times New Roman" w:eastAsia="Times New Roman" w:hAnsi="Times New Roman" w:cs="Times New Roman"/>
          <w:color w:val="222222"/>
        </w:rPr>
      </w:pPr>
      <w:r w:rsidRPr="00A155FA">
        <w:rPr>
          <w:rFonts w:ascii="Times New Roman" w:eastAsia="Times New Roman" w:hAnsi="Times New Roman" w:cs="Times New Roman"/>
          <w:b/>
          <w:bCs/>
          <w:color w:val="222222"/>
        </w:rPr>
        <w:t>343. Parasphenoid cultriform process.</w:t>
      </w:r>
      <w:r w:rsidRPr="00A155FA">
        <w:rPr>
          <w:rFonts w:ascii="Times New Roman" w:eastAsia="Times New Roman" w:hAnsi="Times New Roman" w:cs="Times New Roman"/>
          <w:color w:val="222222"/>
        </w:rPr>
        <w:t xml:space="preserve"> Narrow, tapering anteriorly (0), spatulate and parallel-sided (1). [</w:t>
      </w:r>
      <w:r w:rsidRPr="007A0A6B">
        <w:rPr>
          <w:rFonts w:ascii="Times New Roman" w:eastAsia="Times New Roman" w:hAnsi="Times New Roman" w:cs="Times New Roman"/>
          <w:i/>
          <w:iCs/>
          <w:color w:val="222222"/>
        </w:rPr>
        <w:t>added by Pardo et al., 2017a</w:t>
      </w:r>
      <w:r w:rsidRPr="00A155FA">
        <w:rPr>
          <w:rFonts w:ascii="Times New Roman" w:eastAsia="Times New Roman" w:hAnsi="Times New Roman" w:cs="Times New Roman"/>
          <w:color w:val="222222"/>
        </w:rPr>
        <w:t>]</w:t>
      </w:r>
    </w:p>
    <w:p w14:paraId="6E65AE34" w14:textId="77777777" w:rsidR="00FA06B2" w:rsidRPr="00A155FA" w:rsidRDefault="00FA06B2" w:rsidP="007A0A6B">
      <w:pPr>
        <w:pStyle w:val="ListParagraph"/>
        <w:numPr>
          <w:ilvl w:val="2"/>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Recoded from 343–0 to 343–2: </w:t>
      </w:r>
      <w:r w:rsidRPr="00A155FA">
        <w:rPr>
          <w:rFonts w:ascii="Times New Roman" w:hAnsi="Times New Roman" w:cs="Times New Roman"/>
          <w:i/>
          <w:iCs/>
        </w:rPr>
        <w:t>Edops, Acanthostomatops, Zatrachys, Platyrhinops, Amphibamus, Sclerocephalus, Glanochthon</w:t>
      </w:r>
      <w:r w:rsidRPr="00A155FA">
        <w:rPr>
          <w:rFonts w:ascii="Times New Roman" w:hAnsi="Times New Roman" w:cs="Times New Roman"/>
        </w:rPr>
        <w:t xml:space="preserve">, </w:t>
      </w:r>
      <w:r w:rsidRPr="00A155FA">
        <w:rPr>
          <w:rFonts w:ascii="Times New Roman" w:hAnsi="Times New Roman" w:cs="Times New Roman"/>
          <w:i/>
          <w:iCs/>
        </w:rPr>
        <w:t>Archegosaurus</w:t>
      </w:r>
      <w:r w:rsidRPr="00A155FA">
        <w:rPr>
          <w:rFonts w:ascii="Times New Roman" w:hAnsi="Times New Roman" w:cs="Times New Roman"/>
        </w:rPr>
        <w:t xml:space="preserve">, </w:t>
      </w:r>
      <w:r w:rsidRPr="00A155FA">
        <w:rPr>
          <w:rFonts w:ascii="Times New Roman" w:hAnsi="Times New Roman" w:cs="Times New Roman"/>
          <w:i/>
          <w:iCs/>
        </w:rPr>
        <w:t xml:space="preserve">Lydekkerina, Edingerella, Rileymillerus, </w:t>
      </w:r>
      <w:r w:rsidRPr="00A155FA">
        <w:rPr>
          <w:rFonts w:ascii="Times New Roman" w:hAnsi="Times New Roman" w:cs="Times New Roman"/>
        </w:rPr>
        <w:t>and</w:t>
      </w:r>
      <w:r w:rsidRPr="00A155FA">
        <w:rPr>
          <w:rFonts w:ascii="Times New Roman" w:hAnsi="Times New Roman" w:cs="Times New Roman"/>
          <w:i/>
          <w:iCs/>
        </w:rPr>
        <w:t xml:space="preserve"> Triadobatrachus</w:t>
      </w:r>
      <w:r w:rsidRPr="00A155FA">
        <w:rPr>
          <w:rFonts w:ascii="Times New Roman" w:hAnsi="Times New Roman" w:cs="Times New Roman"/>
        </w:rPr>
        <w:t>.</w:t>
      </w:r>
    </w:p>
    <w:p w14:paraId="4DD8E8AA" w14:textId="77777777" w:rsidR="00FA06B2" w:rsidRPr="00A155FA" w:rsidRDefault="00FA06B2" w:rsidP="007A0A6B">
      <w:pPr>
        <w:pStyle w:val="ListParagraph"/>
        <w:numPr>
          <w:ilvl w:val="2"/>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Recoded from 343–0 to 343–1: </w:t>
      </w:r>
      <w:r w:rsidRPr="00A155FA">
        <w:rPr>
          <w:rFonts w:ascii="Times New Roman" w:hAnsi="Times New Roman" w:cs="Times New Roman"/>
          <w:i/>
          <w:iCs/>
        </w:rPr>
        <w:t>Micropholis</w:t>
      </w:r>
      <w:r w:rsidRPr="00A155FA">
        <w:rPr>
          <w:rFonts w:ascii="Times New Roman" w:hAnsi="Times New Roman" w:cs="Times New Roman"/>
        </w:rPr>
        <w:t xml:space="preserve">, </w:t>
      </w:r>
      <w:r w:rsidRPr="00A155FA">
        <w:rPr>
          <w:rFonts w:ascii="Times New Roman" w:hAnsi="Times New Roman" w:cs="Times New Roman"/>
          <w:i/>
          <w:iCs/>
        </w:rPr>
        <w:t>Cacops</w:t>
      </w:r>
      <w:r w:rsidRPr="00A155FA">
        <w:rPr>
          <w:rFonts w:ascii="Times New Roman" w:hAnsi="Times New Roman" w:cs="Times New Roman"/>
        </w:rPr>
        <w:t xml:space="preserve">, </w:t>
      </w:r>
      <w:r w:rsidRPr="00A155FA">
        <w:rPr>
          <w:rFonts w:ascii="Times New Roman" w:hAnsi="Times New Roman" w:cs="Times New Roman"/>
          <w:i/>
          <w:iCs/>
        </w:rPr>
        <w:t>Plagiosuchus, Benthosuchus</w:t>
      </w:r>
      <w:r w:rsidRPr="00A155FA">
        <w:rPr>
          <w:rFonts w:ascii="Times New Roman" w:hAnsi="Times New Roman" w:cs="Times New Roman"/>
        </w:rPr>
        <w:t xml:space="preserve">, </w:t>
      </w:r>
      <w:r w:rsidRPr="00A155FA">
        <w:rPr>
          <w:rFonts w:ascii="Times New Roman" w:hAnsi="Times New Roman" w:cs="Times New Roman"/>
          <w:i/>
          <w:iCs/>
        </w:rPr>
        <w:t>Lyrocephaliscus</w:t>
      </w:r>
      <w:r w:rsidRPr="00A155FA">
        <w:rPr>
          <w:rFonts w:ascii="Times New Roman" w:hAnsi="Times New Roman" w:cs="Times New Roman"/>
        </w:rPr>
        <w:t xml:space="preserve">, and </w:t>
      </w:r>
      <w:r w:rsidRPr="00A155FA">
        <w:rPr>
          <w:rFonts w:ascii="Times New Roman" w:hAnsi="Times New Roman" w:cs="Times New Roman"/>
          <w:i/>
          <w:iCs/>
        </w:rPr>
        <w:t>Callistomordax</w:t>
      </w:r>
      <w:r w:rsidRPr="00A155FA">
        <w:rPr>
          <w:rFonts w:ascii="Times New Roman" w:hAnsi="Times New Roman" w:cs="Times New Roman"/>
        </w:rPr>
        <w:t xml:space="preserve">. </w:t>
      </w:r>
    </w:p>
    <w:p w14:paraId="1562B1A1" w14:textId="77777777" w:rsidR="00FA06B2" w:rsidRPr="00A155FA" w:rsidRDefault="00FA06B2" w:rsidP="007A0A6B">
      <w:pPr>
        <w:pStyle w:val="ListParagraph"/>
        <w:numPr>
          <w:ilvl w:val="2"/>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Recoded from 343–1 to 343–2: </w:t>
      </w:r>
      <w:r w:rsidRPr="00A155FA">
        <w:rPr>
          <w:rFonts w:ascii="Times New Roman" w:hAnsi="Times New Roman" w:cs="Times New Roman"/>
          <w:i/>
          <w:iCs/>
        </w:rPr>
        <w:t xml:space="preserve">Trimerorhachis, Karaurus, </w:t>
      </w:r>
      <w:r w:rsidRPr="00A155FA">
        <w:rPr>
          <w:rFonts w:ascii="Times New Roman" w:hAnsi="Times New Roman" w:cs="Times New Roman"/>
        </w:rPr>
        <w:t xml:space="preserve">and </w:t>
      </w:r>
      <w:r w:rsidRPr="00A155FA">
        <w:rPr>
          <w:rFonts w:ascii="Times New Roman" w:hAnsi="Times New Roman" w:cs="Times New Roman"/>
          <w:i/>
          <w:iCs/>
        </w:rPr>
        <w:t>Kokartus.</w:t>
      </w:r>
    </w:p>
    <w:p w14:paraId="0645283C" w14:textId="77777777" w:rsidR="00FA06B2" w:rsidRPr="00A155FA" w:rsidRDefault="00FA06B2" w:rsidP="007A0A6B">
      <w:pPr>
        <w:pStyle w:val="ListParagraph"/>
        <w:numPr>
          <w:ilvl w:val="2"/>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Recoded from 343–1 to 343–0: </w:t>
      </w:r>
      <w:r w:rsidRPr="00A155FA">
        <w:rPr>
          <w:rFonts w:ascii="Times New Roman" w:hAnsi="Times New Roman" w:cs="Times New Roman"/>
          <w:i/>
          <w:iCs/>
        </w:rPr>
        <w:t>Epicrionops</w:t>
      </w:r>
    </w:p>
    <w:p w14:paraId="262548DC" w14:textId="77777777" w:rsidR="00FA06B2" w:rsidRPr="00A155FA" w:rsidRDefault="00FA06B2" w:rsidP="007A0A6B">
      <w:pPr>
        <w:pStyle w:val="ListParagraph"/>
        <w:numPr>
          <w:ilvl w:val="2"/>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Newly coded for 343: </w:t>
      </w:r>
      <w:r w:rsidRPr="00A155FA">
        <w:rPr>
          <w:rFonts w:ascii="Times New Roman" w:hAnsi="Times New Roman" w:cs="Times New Roman"/>
          <w:i/>
          <w:iCs/>
        </w:rPr>
        <w:t xml:space="preserve">Micromelerpeton </w:t>
      </w:r>
      <w:r w:rsidRPr="00A155FA">
        <w:rPr>
          <w:rFonts w:ascii="Times New Roman" w:hAnsi="Times New Roman" w:cs="Times New Roman"/>
        </w:rPr>
        <w:t xml:space="preserve">(Boy, 1995:fig. 3), </w:t>
      </w:r>
      <w:r w:rsidRPr="00A155FA">
        <w:rPr>
          <w:rFonts w:ascii="Times New Roman" w:hAnsi="Times New Roman" w:cs="Times New Roman"/>
          <w:i/>
          <w:iCs/>
        </w:rPr>
        <w:t xml:space="preserve">Broiliellus </w:t>
      </w:r>
      <w:r w:rsidRPr="00A155FA">
        <w:rPr>
          <w:rFonts w:ascii="Times New Roman" w:hAnsi="Times New Roman" w:cs="Times New Roman"/>
        </w:rPr>
        <w:t>(Williston, 1914:fig. 2).</w:t>
      </w:r>
    </w:p>
    <w:p w14:paraId="7F68E933" w14:textId="77777777" w:rsidR="00FA06B2" w:rsidRPr="00A155FA" w:rsidRDefault="00FA06B2" w:rsidP="007A0A6B">
      <w:pPr>
        <w:pStyle w:val="ListParagraph"/>
        <w:numPr>
          <w:ilvl w:val="2"/>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Coding changed to unknown for 343: </w:t>
      </w:r>
      <w:r w:rsidRPr="00A155FA">
        <w:rPr>
          <w:rFonts w:ascii="Times New Roman" w:hAnsi="Times New Roman" w:cs="Times New Roman"/>
          <w:i/>
          <w:iCs/>
        </w:rPr>
        <w:t xml:space="preserve">Gerobatrachus </w:t>
      </w:r>
      <w:r w:rsidRPr="00A155FA">
        <w:rPr>
          <w:rFonts w:ascii="Times New Roman" w:hAnsi="Times New Roman" w:cs="Times New Roman"/>
        </w:rPr>
        <w:t xml:space="preserve">(as with 112); </w:t>
      </w:r>
      <w:r w:rsidRPr="00A155FA">
        <w:rPr>
          <w:rFonts w:ascii="Times New Roman" w:hAnsi="Times New Roman" w:cs="Times New Roman"/>
          <w:i/>
          <w:iCs/>
        </w:rPr>
        <w:t xml:space="preserve">Paracyclotosaurus </w:t>
      </w:r>
      <w:r w:rsidRPr="00A155FA">
        <w:rPr>
          <w:rFonts w:ascii="Times New Roman" w:hAnsi="Times New Roman" w:cs="Times New Roman"/>
        </w:rPr>
        <w:t xml:space="preserve">(the posterior part of the process is not defined; Watson, 1958:fig. 1). </w:t>
      </w:r>
    </w:p>
    <w:p w14:paraId="76C73C17" w14:textId="77777777"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 xml:space="preserve">119 (pterygoid, basioccipital); 138 (basioccipital, length): </w:t>
      </w:r>
      <w:r w:rsidRPr="00A155FA">
        <w:rPr>
          <w:rFonts w:ascii="Times New Roman" w:hAnsi="Times New Roman" w:cs="Times New Roman"/>
        </w:rPr>
        <w:t>any taxon without an ossified basioccipital cannot be coded for these characters. Because the absence of an ossified basioccipital may be phylogenetically relevant, a third state is added to character 138 for ‘basioccipital unossified.’</w:t>
      </w:r>
    </w:p>
    <w:p w14:paraId="54593437"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Character 119: Codes were corrected from 119–0 (no pterygoid-basioccipital contact) for </w:t>
      </w:r>
      <w:r w:rsidRPr="00A155FA">
        <w:rPr>
          <w:rFonts w:ascii="Times New Roman" w:hAnsi="Times New Roman" w:cs="Times New Roman"/>
          <w:i/>
          <w:iCs/>
        </w:rPr>
        <w:t xml:space="preserve">Acanthostomatops, Apateon, Micropholis, Platyrhinops, Doleserpeton, Amphibamus, Siderops, Batrachosuchus, Sangaia, Gerrothorax, Benthosuchus, Metoposaurus, Parotosuchus, Triadobatrachus, Leptodactylus, Xenopus, Karaurus, Kokartus, Ambystoma, Hynobius, </w:t>
      </w:r>
      <w:r w:rsidRPr="00A155FA">
        <w:rPr>
          <w:rFonts w:ascii="Times New Roman" w:hAnsi="Times New Roman" w:cs="Times New Roman"/>
        </w:rPr>
        <w:t xml:space="preserve">and </w:t>
      </w:r>
      <w:r w:rsidRPr="00A155FA">
        <w:rPr>
          <w:rFonts w:ascii="Times New Roman" w:hAnsi="Times New Roman" w:cs="Times New Roman"/>
          <w:i/>
          <w:iCs/>
        </w:rPr>
        <w:t xml:space="preserve">Cryptobranchus. </w:t>
      </w:r>
      <w:r w:rsidRPr="00A155FA">
        <w:rPr>
          <w:rFonts w:ascii="Times New Roman" w:hAnsi="Times New Roman" w:cs="Times New Roman"/>
        </w:rPr>
        <w:lastRenderedPageBreak/>
        <w:t xml:space="preserve">Codes were corrected from 119–1 (pterygoid-basioccipital sutured lateral to parasphenoid) for </w:t>
      </w:r>
      <w:r w:rsidRPr="00A155FA">
        <w:rPr>
          <w:rFonts w:ascii="Times New Roman" w:hAnsi="Times New Roman" w:cs="Times New Roman"/>
          <w:i/>
          <w:iCs/>
        </w:rPr>
        <w:t xml:space="preserve">Rileymillerus. </w:t>
      </w:r>
    </w:p>
    <w:p w14:paraId="7D35178A" w14:textId="1D0FB3C8"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Character 138: Codes were updated to 138–2 from 138–1 (basioccipital foreshortened to a narrow posterior rim of the palatal bone) for </w:t>
      </w:r>
      <w:r w:rsidRPr="00A155FA">
        <w:rPr>
          <w:rFonts w:ascii="Times New Roman" w:hAnsi="Times New Roman" w:cs="Times New Roman"/>
          <w:i/>
          <w:iCs/>
        </w:rPr>
        <w:t>Acanthostomatops, Apateon, Micropholis, Doleserpeton, Amphibamus, Platyrhinops, Siderops, Batrachosuchus, Sangaia, Gerrothorax, Benthosuchus, Metoposaurus, Parotosuchus, Triadobatrachus</w:t>
      </w:r>
      <w:r w:rsidRPr="00A155FA">
        <w:rPr>
          <w:rFonts w:ascii="Times New Roman" w:hAnsi="Times New Roman" w:cs="Times New Roman"/>
        </w:rPr>
        <w:t xml:space="preserve">, and </w:t>
      </w:r>
      <w:r w:rsidRPr="00A155FA">
        <w:rPr>
          <w:rFonts w:ascii="Times New Roman" w:hAnsi="Times New Roman" w:cs="Times New Roman"/>
          <w:i/>
          <w:iCs/>
        </w:rPr>
        <w:t>Rileymillerus.</w:t>
      </w:r>
    </w:p>
    <w:p w14:paraId="78D5091B" w14:textId="0F98FE1E"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Codes were updated from unknown to 138–2 for</w:t>
      </w:r>
      <w:r w:rsidRPr="00A155FA">
        <w:rPr>
          <w:rFonts w:ascii="Times New Roman" w:hAnsi="Times New Roman" w:cs="Times New Roman"/>
          <w:i/>
          <w:iCs/>
        </w:rPr>
        <w:t xml:space="preserve"> Leptodactylus, Xenopus, Karaurus, Kokartus, Ambystoma, Hynobius, </w:t>
      </w:r>
      <w:r w:rsidRPr="00A155FA">
        <w:rPr>
          <w:rFonts w:ascii="Times New Roman" w:hAnsi="Times New Roman" w:cs="Times New Roman"/>
        </w:rPr>
        <w:t>and</w:t>
      </w:r>
      <w:r w:rsidRPr="00A155FA">
        <w:rPr>
          <w:rFonts w:ascii="Times New Roman" w:hAnsi="Times New Roman" w:cs="Times New Roman"/>
          <w:i/>
          <w:iCs/>
        </w:rPr>
        <w:t xml:space="preserve"> Cryptobranchus</w:t>
      </w:r>
      <w:r w:rsidRPr="00A155FA">
        <w:rPr>
          <w:rFonts w:ascii="Times New Roman" w:hAnsi="Times New Roman" w:cs="Times New Roman"/>
        </w:rPr>
        <w:t>.</w:t>
      </w:r>
    </w:p>
    <w:p w14:paraId="1FCB5A4E" w14:textId="77777777"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 xml:space="preserve">124 (pterygoid-palatine-ectopterygoid); 125 (palatine, ectopterygoid): </w:t>
      </w:r>
      <w:r w:rsidRPr="00A155FA">
        <w:rPr>
          <w:rFonts w:ascii="Times New Roman" w:hAnsi="Times New Roman" w:cs="Times New Roman"/>
        </w:rPr>
        <w:t>any taxon coded for state 125–1 (</w:t>
      </w:r>
      <w:r w:rsidRPr="00A155FA">
        <w:rPr>
          <w:rFonts w:ascii="Times New Roman" w:eastAsia="Times New Roman" w:hAnsi="Times New Roman" w:cs="Times New Roman"/>
          <w:color w:val="222222"/>
        </w:rPr>
        <w:t>palatine with posterolateral process excluding the ectopterygoid from interpterygoid vacuity and contacting pterygoid) is assured of state 124–0 (pterygoid contacting both ectopterygoid and palatine) unless either the palatine or the ectopterygoid is absent, in which case these characters cannot be coded.</w:t>
      </w:r>
      <w:r w:rsidRPr="00A155FA">
        <w:rPr>
          <w:rFonts w:ascii="Times New Roman" w:hAnsi="Times New Roman" w:cs="Times New Roman"/>
        </w:rPr>
        <w:t xml:space="preserve"> </w:t>
      </w:r>
    </w:p>
    <w:p w14:paraId="575421CD"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To remove this dependency, the language of character 125 was altered to remove any mention of the palatine contacting the pterygoid in state 1; a posteromedial process can be present yet not contact the pterygoid, as in </w:t>
      </w:r>
      <w:r w:rsidRPr="00A155FA">
        <w:rPr>
          <w:rFonts w:ascii="Times New Roman" w:hAnsi="Times New Roman" w:cs="Times New Roman"/>
          <w:i/>
          <w:iCs/>
        </w:rPr>
        <w:t xml:space="preserve">Lydekkerina </w:t>
      </w:r>
      <w:r w:rsidRPr="00A155FA">
        <w:rPr>
          <w:rFonts w:ascii="Times New Roman" w:hAnsi="Times New Roman" w:cs="Times New Roman"/>
        </w:rPr>
        <w:t>(Hewison, 2007). This prevented us from having to change any existing codes for 124–0 to inapplicable. We also clarified state 0 as referring to a straight suture; many taxa have sutures without a posteromedial process that are not transverse but set at sharply oblique angles.</w:t>
      </w:r>
    </w:p>
    <w:p w14:paraId="51A1898B" w14:textId="77777777"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 xml:space="preserve">128 (palatine, ectopterygoid (ontogeny)); 180 (interclavicle, ontogeny); 190 (humerus, ontogeny): </w:t>
      </w:r>
      <w:r w:rsidRPr="00A155FA">
        <w:rPr>
          <w:rFonts w:ascii="Times New Roman" w:hAnsi="Times New Roman" w:cs="Times New Roman"/>
        </w:rPr>
        <w:t>these characters clearly express ontogeny. Therefore, any taxon for which no ontogenetic trajectory is available (i.e. there is only one specimen with the preserved feature) should not be coded.</w:t>
      </w:r>
    </w:p>
    <w:p w14:paraId="3D266BB1"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Character 128: Codes were corrected for </w:t>
      </w:r>
      <w:r w:rsidRPr="00A155FA">
        <w:rPr>
          <w:rFonts w:ascii="Times New Roman" w:hAnsi="Times New Roman" w:cs="Times New Roman"/>
          <w:i/>
          <w:iCs/>
        </w:rPr>
        <w:t xml:space="preserve">Rhynchonkos, Gerobatrachus, Siderops, Batrachosuchus, </w:t>
      </w:r>
      <w:r w:rsidRPr="00A155FA">
        <w:rPr>
          <w:rFonts w:ascii="Times New Roman" w:hAnsi="Times New Roman" w:cs="Times New Roman"/>
        </w:rPr>
        <w:t xml:space="preserve">and </w:t>
      </w:r>
      <w:r w:rsidRPr="00A155FA">
        <w:rPr>
          <w:rFonts w:ascii="Times New Roman" w:hAnsi="Times New Roman" w:cs="Times New Roman"/>
          <w:i/>
          <w:iCs/>
        </w:rPr>
        <w:t xml:space="preserve">Sangaia. </w:t>
      </w:r>
    </w:p>
    <w:p w14:paraId="05FE491C"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Character 180: Codes were corrected for </w:t>
      </w:r>
      <w:r w:rsidRPr="00A155FA">
        <w:rPr>
          <w:rFonts w:ascii="Times New Roman" w:hAnsi="Times New Roman" w:cs="Times New Roman"/>
          <w:i/>
          <w:iCs/>
        </w:rPr>
        <w:t>Siderops</w:t>
      </w:r>
      <w:r w:rsidRPr="00A155FA">
        <w:rPr>
          <w:rFonts w:ascii="Times New Roman" w:hAnsi="Times New Roman" w:cs="Times New Roman"/>
        </w:rPr>
        <w:t xml:space="preserve">. </w:t>
      </w:r>
    </w:p>
    <w:p w14:paraId="0747688E"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Character 190: Codes were corrected for </w:t>
      </w:r>
      <w:r w:rsidRPr="00A155FA">
        <w:rPr>
          <w:rFonts w:ascii="Times New Roman" w:hAnsi="Times New Roman" w:cs="Times New Roman"/>
          <w:i/>
          <w:iCs/>
        </w:rPr>
        <w:t xml:space="preserve">Trematolestes. </w:t>
      </w:r>
    </w:p>
    <w:p w14:paraId="5982B799" w14:textId="77777777"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 xml:space="preserve">141 (postglenoid area, types): </w:t>
      </w:r>
      <w:r w:rsidRPr="00A155FA">
        <w:rPr>
          <w:rFonts w:ascii="Times New Roman" w:hAnsi="Times New Roman" w:cs="Times New Roman"/>
        </w:rPr>
        <w:t>the classification of postglenoid areas was originally developed by Warren &amp; Black (1985) and Jupp &amp; Warren (1986), specifically for Triassic stereospondyls. The extensive modification of the gymnophionomorph jaw into the pseudoangular means that this classification scheme is inappropriate for such taxa. Future workers may also want to consider whether this binary scheme is inappropriate for non-stereospondyls as well.</w:t>
      </w:r>
    </w:p>
    <w:p w14:paraId="06CA4246"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i/>
          <w:iCs/>
        </w:rPr>
        <w:t>Ichthyophis</w:t>
      </w:r>
      <w:r w:rsidRPr="00A155FA">
        <w:rPr>
          <w:rFonts w:ascii="Times New Roman" w:hAnsi="Times New Roman" w:cs="Times New Roman"/>
        </w:rPr>
        <w:t xml:space="preserve">, </w:t>
      </w:r>
      <w:r w:rsidRPr="00A155FA">
        <w:rPr>
          <w:rFonts w:ascii="Times New Roman" w:hAnsi="Times New Roman" w:cs="Times New Roman"/>
          <w:i/>
          <w:iCs/>
        </w:rPr>
        <w:t>Epicrionops</w:t>
      </w:r>
      <w:r w:rsidRPr="00A155FA">
        <w:rPr>
          <w:rFonts w:ascii="Times New Roman" w:hAnsi="Times New Roman" w:cs="Times New Roman"/>
        </w:rPr>
        <w:t xml:space="preserve">, and </w:t>
      </w:r>
      <w:r w:rsidRPr="00A155FA">
        <w:rPr>
          <w:rFonts w:ascii="Times New Roman" w:hAnsi="Times New Roman" w:cs="Times New Roman"/>
          <w:i/>
          <w:iCs/>
        </w:rPr>
        <w:t xml:space="preserve">Eocaecilia </w:t>
      </w:r>
      <w:r w:rsidRPr="00A155FA">
        <w:rPr>
          <w:rFonts w:ascii="Times New Roman" w:hAnsi="Times New Roman" w:cs="Times New Roman"/>
        </w:rPr>
        <w:t xml:space="preserve">were uncoded from 141–1 (type 2 PGA). </w:t>
      </w:r>
    </w:p>
    <w:p w14:paraId="185D3B2B" w14:textId="77777777"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 xml:space="preserve">144 (preglenoid process): </w:t>
      </w:r>
      <w:r w:rsidRPr="00A155FA">
        <w:rPr>
          <w:rFonts w:ascii="Times New Roman" w:hAnsi="Times New Roman" w:cs="Times New Roman"/>
        </w:rPr>
        <w:t>all taxa coded for 262–2 (surangular absent) cannot be coded for this character because it specifies the labial side of the surangular.</w:t>
      </w:r>
    </w:p>
    <w:p w14:paraId="4BB39BE4"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Codes were corrected from 144–0 (labial side of surangular with straight dorsal margin anterior to glenoid) for </w:t>
      </w:r>
      <w:r w:rsidRPr="00A155FA">
        <w:rPr>
          <w:rFonts w:ascii="Times New Roman" w:hAnsi="Times New Roman" w:cs="Times New Roman"/>
          <w:i/>
          <w:iCs/>
        </w:rPr>
        <w:t xml:space="preserve">Triadobatrachus </w:t>
      </w:r>
      <w:r w:rsidRPr="00A155FA">
        <w:rPr>
          <w:rFonts w:ascii="Times New Roman" w:hAnsi="Times New Roman" w:cs="Times New Roman"/>
        </w:rPr>
        <w:t xml:space="preserve">and </w:t>
      </w:r>
      <w:r w:rsidRPr="00A155FA">
        <w:rPr>
          <w:rFonts w:ascii="Times New Roman" w:hAnsi="Times New Roman" w:cs="Times New Roman"/>
          <w:i/>
          <w:iCs/>
        </w:rPr>
        <w:t>Celtedens</w:t>
      </w:r>
      <w:r w:rsidRPr="00A155FA">
        <w:rPr>
          <w:rFonts w:ascii="Times New Roman" w:hAnsi="Times New Roman" w:cs="Times New Roman"/>
        </w:rPr>
        <w:t xml:space="preserve">. Codes were changed from 144–1 (labial side of surangular forming dorsal projection well above the level of the glenoid articulation) for </w:t>
      </w:r>
      <w:r w:rsidRPr="00A155FA">
        <w:rPr>
          <w:rFonts w:ascii="Times New Roman" w:hAnsi="Times New Roman" w:cs="Times New Roman"/>
          <w:i/>
          <w:iCs/>
        </w:rPr>
        <w:t>Ambystoma, Hynobius</w:t>
      </w:r>
      <w:r w:rsidRPr="00A155FA">
        <w:rPr>
          <w:rFonts w:ascii="Times New Roman" w:hAnsi="Times New Roman" w:cs="Times New Roman"/>
        </w:rPr>
        <w:t xml:space="preserve">, and </w:t>
      </w:r>
      <w:r w:rsidRPr="00A155FA">
        <w:rPr>
          <w:rFonts w:ascii="Times New Roman" w:hAnsi="Times New Roman" w:cs="Times New Roman"/>
          <w:i/>
          <w:iCs/>
        </w:rPr>
        <w:t>Cryptobranchus</w:t>
      </w:r>
      <w:r w:rsidRPr="00A155FA">
        <w:rPr>
          <w:rFonts w:ascii="Times New Roman" w:hAnsi="Times New Roman" w:cs="Times New Roman"/>
        </w:rPr>
        <w:t xml:space="preserve">. Codes were updated from unknown to inapplicable for </w:t>
      </w:r>
      <w:r w:rsidRPr="00A155FA">
        <w:rPr>
          <w:rFonts w:ascii="Times New Roman" w:hAnsi="Times New Roman" w:cs="Times New Roman"/>
          <w:i/>
          <w:iCs/>
        </w:rPr>
        <w:t xml:space="preserve">Leptodactylus </w:t>
      </w:r>
      <w:r w:rsidRPr="00A155FA">
        <w:rPr>
          <w:rFonts w:ascii="Times New Roman" w:hAnsi="Times New Roman" w:cs="Times New Roman"/>
        </w:rPr>
        <w:t xml:space="preserve">and </w:t>
      </w:r>
      <w:r w:rsidRPr="00A155FA">
        <w:rPr>
          <w:rFonts w:ascii="Times New Roman" w:hAnsi="Times New Roman" w:cs="Times New Roman"/>
          <w:i/>
          <w:iCs/>
        </w:rPr>
        <w:t>Xenopus</w:t>
      </w:r>
      <w:r w:rsidRPr="00A155FA">
        <w:rPr>
          <w:rFonts w:ascii="Times New Roman" w:hAnsi="Times New Roman" w:cs="Times New Roman"/>
        </w:rPr>
        <w:t xml:space="preserve">. </w:t>
      </w:r>
    </w:p>
    <w:p w14:paraId="4470474E" w14:textId="77777777"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lastRenderedPageBreak/>
        <w:t xml:space="preserve">146 (symphyseal teeth): </w:t>
      </w:r>
      <w:r w:rsidRPr="00A155FA">
        <w:rPr>
          <w:rFonts w:ascii="Times New Roman" w:hAnsi="Times New Roman" w:cs="Times New Roman"/>
        </w:rPr>
        <w:t xml:space="preserve">a third state was added to differentiate between a </w:t>
      </w:r>
      <w:proofErr w:type="spellStart"/>
      <w:r w:rsidRPr="00A155FA">
        <w:rPr>
          <w:rFonts w:ascii="Times New Roman" w:hAnsi="Times New Roman" w:cs="Times New Roman"/>
        </w:rPr>
        <w:t>parasphymphyseal</w:t>
      </w:r>
      <w:proofErr w:type="spellEnd"/>
      <w:r w:rsidRPr="00A155FA">
        <w:rPr>
          <w:rFonts w:ascii="Times New Roman" w:hAnsi="Times New Roman" w:cs="Times New Roman"/>
        </w:rPr>
        <w:t xml:space="preserve"> row set an angle relative to the dentary tooth row and one set parallel to the dentary tooth row.</w:t>
      </w:r>
    </w:p>
    <w:p w14:paraId="226C4E22"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i/>
          <w:iCs/>
        </w:rPr>
        <w:t>Ichthyophis, Epicrionops</w:t>
      </w:r>
      <w:r w:rsidRPr="00A155FA">
        <w:rPr>
          <w:rFonts w:ascii="Times New Roman" w:hAnsi="Times New Roman" w:cs="Times New Roman"/>
        </w:rPr>
        <w:t xml:space="preserve">, and </w:t>
      </w:r>
      <w:r w:rsidRPr="00A155FA">
        <w:rPr>
          <w:rFonts w:ascii="Times New Roman" w:hAnsi="Times New Roman" w:cs="Times New Roman"/>
          <w:i/>
          <w:iCs/>
        </w:rPr>
        <w:t xml:space="preserve">Eocaecilia </w:t>
      </w:r>
      <w:r w:rsidRPr="00A155FA">
        <w:rPr>
          <w:rFonts w:ascii="Times New Roman" w:hAnsi="Times New Roman" w:cs="Times New Roman"/>
        </w:rPr>
        <w:t>were recoded from 146–1 to the new 146–2.</w:t>
      </w:r>
    </w:p>
    <w:p w14:paraId="2FFE3D2D"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i/>
          <w:iCs/>
        </w:rPr>
        <w:t xml:space="preserve">Doleserpeton </w:t>
      </w:r>
      <w:r w:rsidRPr="00A155FA">
        <w:rPr>
          <w:rFonts w:ascii="Times New Roman" w:hAnsi="Times New Roman" w:cs="Times New Roman"/>
        </w:rPr>
        <w:t xml:space="preserve">was originally coded as lacking adsymphyseal teeth, but there is clearly a second, lingually situated row on the dentary (Sigurdsen &amp; Bolt, 2010:1366, fig. 6A) that is parallel to the labial row. This taxon is corrected to the new 146–2. </w:t>
      </w:r>
    </w:p>
    <w:p w14:paraId="477DC47C" w14:textId="77777777"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147 (posterior coronoid teeth), 148 (anterior, middle coronoid teeth):</w:t>
      </w:r>
      <w:r w:rsidRPr="00A155FA">
        <w:rPr>
          <w:rFonts w:ascii="Times New Roman" w:hAnsi="Times New Roman" w:cs="Times New Roman"/>
        </w:rPr>
        <w:t xml:space="preserve"> as originally coded, both characters were coded for ‘teeth present’ in taxa without “true teeth” on the coronoids, only denticles. The name of these characters is changed to reflect this broader characterization of dentition, as different authors apply the terms ‘teeth’ and ‘denticles’ differently.</w:t>
      </w:r>
    </w:p>
    <w:p w14:paraId="3EE79A6B" w14:textId="000AA4E3"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 xml:space="preserve">147 (posterior coronoid dentition): </w:t>
      </w:r>
      <w:r w:rsidRPr="00A155FA">
        <w:rPr>
          <w:rFonts w:ascii="Times New Roman" w:hAnsi="Times New Roman" w:cs="Times New Roman"/>
        </w:rPr>
        <w:t xml:space="preserve">this character should not be coded for any caecilian because the single coronoid is probably the anteriormost one (or the adsymphyseal (=parasymphyseal plate), as we suggest in Supplementary Information </w:t>
      </w:r>
      <w:r w:rsidR="00EC324E">
        <w:rPr>
          <w:rFonts w:ascii="Times New Roman" w:hAnsi="Times New Roman" w:cs="Times New Roman"/>
        </w:rPr>
        <w:t>2</w:t>
      </w:r>
      <w:r w:rsidRPr="00A155FA">
        <w:rPr>
          <w:rFonts w:ascii="Times New Roman" w:hAnsi="Times New Roman" w:cs="Times New Roman"/>
        </w:rPr>
        <w:t xml:space="preserve"> herein) based on embryological data. Since the coronoid itself is absent (captured in character 271, number of coronoids), all caecilians should be coded as inapplicable for this character. Codes were changed from 147–1 (posterior coronoid dentition absent) for </w:t>
      </w:r>
      <w:r w:rsidRPr="00A155FA">
        <w:rPr>
          <w:rFonts w:ascii="Times New Roman" w:hAnsi="Times New Roman" w:cs="Times New Roman"/>
          <w:i/>
          <w:iCs/>
        </w:rPr>
        <w:t>Ichthyophis, Epicrionops</w:t>
      </w:r>
      <w:r w:rsidRPr="00A155FA">
        <w:rPr>
          <w:rFonts w:ascii="Times New Roman" w:hAnsi="Times New Roman" w:cs="Times New Roman"/>
        </w:rPr>
        <w:t xml:space="preserve">, and </w:t>
      </w:r>
      <w:r w:rsidRPr="00A155FA">
        <w:rPr>
          <w:rFonts w:ascii="Times New Roman" w:hAnsi="Times New Roman" w:cs="Times New Roman"/>
          <w:i/>
          <w:iCs/>
        </w:rPr>
        <w:t>Eocaecilia</w:t>
      </w:r>
      <w:r w:rsidRPr="00A155FA">
        <w:rPr>
          <w:rFonts w:ascii="Times New Roman" w:hAnsi="Times New Roman" w:cs="Times New Roman"/>
        </w:rPr>
        <w:t xml:space="preserve">. </w:t>
      </w:r>
    </w:p>
    <w:p w14:paraId="561BDEC0" w14:textId="77777777"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148 (anterior, middle coronoid dentition):</w:t>
      </w:r>
      <w:r w:rsidRPr="00A155FA">
        <w:rPr>
          <w:rFonts w:ascii="Times New Roman" w:hAnsi="Times New Roman" w:cs="Times New Roman"/>
        </w:rPr>
        <w:t xml:space="preserve"> this character follows in a similar vein as above. One of these two coronoids is absent in caecilians (if not both), and since the character specifies both coronoids, the presence of teeth on one coronoid (even if it is the only coronoid) is insufficient to code the presence of teeth. Because these coronoids are more likely candidates for the retained coronoid in caecilians than the posterior coronoid, codes were changed from 148–0 (anterior and middle coronoid dentition present) to inapplicable for </w:t>
      </w:r>
      <w:r w:rsidRPr="00A155FA">
        <w:rPr>
          <w:rFonts w:ascii="Times New Roman" w:hAnsi="Times New Roman" w:cs="Times New Roman"/>
          <w:i/>
          <w:iCs/>
        </w:rPr>
        <w:t>Ichthyophis, Epicrionops</w:t>
      </w:r>
      <w:r w:rsidRPr="00A155FA">
        <w:rPr>
          <w:rFonts w:ascii="Times New Roman" w:hAnsi="Times New Roman" w:cs="Times New Roman"/>
        </w:rPr>
        <w:t xml:space="preserve">, and </w:t>
      </w:r>
      <w:r w:rsidRPr="00A155FA">
        <w:rPr>
          <w:rFonts w:ascii="Times New Roman" w:hAnsi="Times New Roman" w:cs="Times New Roman"/>
          <w:i/>
          <w:iCs/>
        </w:rPr>
        <w:t>Eocaecilia</w:t>
      </w:r>
      <w:r w:rsidRPr="00A155FA">
        <w:rPr>
          <w:rFonts w:ascii="Times New Roman" w:hAnsi="Times New Roman" w:cs="Times New Roman"/>
        </w:rPr>
        <w:t xml:space="preserve">. </w:t>
      </w:r>
    </w:p>
    <w:p w14:paraId="063D4A77" w14:textId="77777777"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150 (stapes, quadrate process):</w:t>
      </w:r>
      <w:r w:rsidRPr="00A155FA">
        <w:rPr>
          <w:rFonts w:ascii="Times New Roman" w:hAnsi="Times New Roman" w:cs="Times New Roman"/>
        </w:rPr>
        <w:t xml:space="preserve"> this appears to be another character in which codes were reversed for most taxa; </w:t>
      </w:r>
      <w:r w:rsidRPr="00A155FA">
        <w:rPr>
          <w:rFonts w:ascii="Times New Roman" w:hAnsi="Times New Roman" w:cs="Times New Roman"/>
          <w:i/>
          <w:iCs/>
        </w:rPr>
        <w:t>Sclerocephalus</w:t>
      </w:r>
      <w:r w:rsidRPr="00A155FA">
        <w:rPr>
          <w:rFonts w:ascii="Times New Roman" w:hAnsi="Times New Roman" w:cs="Times New Roman"/>
        </w:rPr>
        <w:t xml:space="preserve"> and </w:t>
      </w:r>
      <w:r w:rsidRPr="00A155FA">
        <w:rPr>
          <w:rFonts w:ascii="Times New Roman" w:hAnsi="Times New Roman" w:cs="Times New Roman"/>
          <w:i/>
          <w:iCs/>
        </w:rPr>
        <w:t>Archegosaurus</w:t>
      </w:r>
      <w:r w:rsidRPr="00A155FA">
        <w:rPr>
          <w:rFonts w:ascii="Times New Roman" w:hAnsi="Times New Roman" w:cs="Times New Roman"/>
        </w:rPr>
        <w:t>,</w:t>
      </w:r>
      <w:r w:rsidRPr="00A155FA">
        <w:rPr>
          <w:rFonts w:ascii="Times New Roman" w:hAnsi="Times New Roman" w:cs="Times New Roman"/>
          <w:i/>
          <w:iCs/>
        </w:rPr>
        <w:t xml:space="preserve"> </w:t>
      </w:r>
      <w:r w:rsidRPr="00A155FA">
        <w:rPr>
          <w:rFonts w:ascii="Times New Roman" w:hAnsi="Times New Roman" w:cs="Times New Roman"/>
        </w:rPr>
        <w:t xml:space="preserve">which have a well-figured stapes with a quadrate process (Witzmann, 2005:fig. 30; Schoch &amp; Witzmann, 2009a:fig. 6F-G) are coded as lacking one (150–0), whereas taxa like </w:t>
      </w:r>
      <w:r w:rsidRPr="00A155FA">
        <w:rPr>
          <w:rFonts w:ascii="Times New Roman" w:hAnsi="Times New Roman" w:cs="Times New Roman"/>
          <w:i/>
          <w:iCs/>
        </w:rPr>
        <w:t xml:space="preserve">Edops </w:t>
      </w:r>
      <w:r w:rsidRPr="00A155FA">
        <w:rPr>
          <w:rFonts w:ascii="Times New Roman" w:hAnsi="Times New Roman" w:cs="Times New Roman"/>
        </w:rPr>
        <w:t xml:space="preserve">and the majority of stereospondyls that lack this process (Schoch, 2017) are coded as having one (150–1). However, some taxa were originally coded correctly (e.g., </w:t>
      </w:r>
      <w:r w:rsidRPr="00A155FA">
        <w:rPr>
          <w:rFonts w:ascii="Times New Roman" w:hAnsi="Times New Roman" w:cs="Times New Roman"/>
          <w:i/>
          <w:iCs/>
        </w:rPr>
        <w:t xml:space="preserve">Glanochthon </w:t>
      </w:r>
      <w:r w:rsidRPr="00A155FA">
        <w:rPr>
          <w:rFonts w:ascii="Times New Roman" w:hAnsi="Times New Roman" w:cs="Times New Roman"/>
        </w:rPr>
        <w:t>lacks a process and was coded for 150–0 by Schoch, 2013; Schoch &amp; Witzmann, 2009b).</w:t>
      </w:r>
    </w:p>
    <w:p w14:paraId="785E5B1E" w14:textId="0A98074E"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Codes were reversed (corrected) from 150–1 to 150–0 for </w:t>
      </w:r>
      <w:r w:rsidRPr="00A155FA">
        <w:rPr>
          <w:rFonts w:ascii="Times New Roman" w:hAnsi="Times New Roman" w:cs="Times New Roman"/>
          <w:i/>
          <w:iCs/>
        </w:rPr>
        <w:t xml:space="preserve">Edops, Dendrerpeton, Balanerpeton, Trimerorhachis, Acanthostomatops, Micromelerpeton, Apateon, Micropholis, Platyrhinops, Doleserpeton, Amphibamus, Dissorophus, Cacops, Broiliellus, Acheloma, Phonerpeton, Onchiodon, Eryops, Uranocentrodon, Lydekkerina, Siderops, Edingerella, Benthosuchus, Trematosaurus, Trematolestes, Lyrocephaliscus, Metoposaurus, Parotosuchus, Paracyclotosaurus, </w:t>
      </w:r>
      <w:r w:rsidRPr="00A155FA">
        <w:rPr>
          <w:rFonts w:ascii="Times New Roman" w:hAnsi="Times New Roman" w:cs="Times New Roman"/>
        </w:rPr>
        <w:t xml:space="preserve">and </w:t>
      </w:r>
      <w:r w:rsidRPr="00A155FA">
        <w:rPr>
          <w:rFonts w:ascii="Times New Roman" w:hAnsi="Times New Roman" w:cs="Times New Roman"/>
          <w:i/>
          <w:iCs/>
        </w:rPr>
        <w:t>Mastodonsaurus</w:t>
      </w:r>
      <w:r w:rsidRPr="00A155FA">
        <w:rPr>
          <w:rFonts w:ascii="Times New Roman" w:hAnsi="Times New Roman" w:cs="Times New Roman"/>
        </w:rPr>
        <w:t xml:space="preserve">. </w:t>
      </w:r>
    </w:p>
    <w:p w14:paraId="56DA8E53"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Codes were reversed (corrected) from 150–0 to 150–1 for </w:t>
      </w:r>
      <w:r w:rsidRPr="00A155FA">
        <w:rPr>
          <w:rFonts w:ascii="Times New Roman" w:hAnsi="Times New Roman" w:cs="Times New Roman"/>
          <w:i/>
          <w:iCs/>
        </w:rPr>
        <w:t xml:space="preserve">Sclerocephalus </w:t>
      </w:r>
      <w:r w:rsidRPr="00A155FA">
        <w:rPr>
          <w:rFonts w:ascii="Times New Roman" w:hAnsi="Times New Roman" w:cs="Times New Roman"/>
        </w:rPr>
        <w:t>and</w:t>
      </w:r>
      <w:r w:rsidRPr="00A155FA">
        <w:rPr>
          <w:rFonts w:ascii="Times New Roman" w:hAnsi="Times New Roman" w:cs="Times New Roman"/>
          <w:i/>
          <w:iCs/>
        </w:rPr>
        <w:t xml:space="preserve"> Archegosaurus. </w:t>
      </w:r>
    </w:p>
    <w:p w14:paraId="1992ECE2"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i/>
          <w:iCs/>
        </w:rPr>
        <w:t xml:space="preserve">Batrachosuchus </w:t>
      </w:r>
      <w:r w:rsidRPr="00A155FA">
        <w:rPr>
          <w:rFonts w:ascii="Times New Roman" w:hAnsi="Times New Roman" w:cs="Times New Roman"/>
        </w:rPr>
        <w:t xml:space="preserve">was uncoded as there is no mention of the stapes or other parts of the otic capsule (Chernin, 1977). </w:t>
      </w:r>
    </w:p>
    <w:p w14:paraId="34964EB4" w14:textId="77777777"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lastRenderedPageBreak/>
        <w:t xml:space="preserve">152 (stapes, shape): </w:t>
      </w:r>
      <w:r w:rsidRPr="00A155FA">
        <w:rPr>
          <w:rFonts w:ascii="Times New Roman" w:hAnsi="Times New Roman" w:cs="Times New Roman"/>
        </w:rPr>
        <w:t>mention of the presence of a quadrate process for state 0 was removed, as most taxa coded for state 0 do not have this process (state 150–0).</w:t>
      </w:r>
    </w:p>
    <w:p w14:paraId="05561680" w14:textId="77777777"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153 (stapes, curvature):</w:t>
      </w:r>
      <w:r w:rsidRPr="00A155FA">
        <w:rPr>
          <w:rFonts w:ascii="Times New Roman" w:hAnsi="Times New Roman" w:cs="Times New Roman"/>
        </w:rPr>
        <w:t xml:space="preserve"> as indicated by the name of this character, the feature being highlighted is curvature of the stapes. 153–1, however, prescribes at least three different attributes: curvature (no curvature), length (“abbreviated”), and the presence of a vertically aligned and laterally situated otic notch. This is problematic because state 0 prescribes only curvature, and there are long, non-curved stapes (e.g., </w:t>
      </w:r>
      <w:r w:rsidRPr="00A155FA">
        <w:rPr>
          <w:rFonts w:ascii="Times New Roman" w:hAnsi="Times New Roman" w:cs="Times New Roman"/>
          <w:i/>
          <w:iCs/>
        </w:rPr>
        <w:t>Mastodonsaurus</w:t>
      </w:r>
      <w:r w:rsidRPr="00A155FA">
        <w:rPr>
          <w:rFonts w:ascii="Times New Roman" w:hAnsi="Times New Roman" w:cs="Times New Roman"/>
        </w:rPr>
        <w:t xml:space="preserve">) and long, curved stapes not directed towards a vertically aligned otic notch (e.g., </w:t>
      </w:r>
      <w:r w:rsidRPr="00A155FA">
        <w:rPr>
          <w:rFonts w:ascii="Times New Roman" w:hAnsi="Times New Roman" w:cs="Times New Roman"/>
          <w:i/>
          <w:iCs/>
        </w:rPr>
        <w:t>Trimerorhachis</w:t>
      </w:r>
      <w:r w:rsidRPr="00A155FA">
        <w:rPr>
          <w:rFonts w:ascii="Times New Roman" w:hAnsi="Times New Roman" w:cs="Times New Roman"/>
        </w:rPr>
        <w:t>).</w:t>
      </w:r>
      <w:r w:rsidRPr="00A155FA">
        <w:rPr>
          <w:rFonts w:ascii="Times New Roman" w:hAnsi="Times New Roman" w:cs="Times New Roman"/>
          <w:i/>
          <w:iCs/>
        </w:rPr>
        <w:t xml:space="preserve"> </w:t>
      </w:r>
      <w:r w:rsidRPr="00A155FA">
        <w:rPr>
          <w:rFonts w:ascii="Times New Roman" w:hAnsi="Times New Roman" w:cs="Times New Roman"/>
        </w:rPr>
        <w:t>The character is therefore restricted to merely curvature.</w:t>
      </w:r>
    </w:p>
    <w:p w14:paraId="52A9EE70"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Codes were recoded from 153–0 (curvature) to 153–1 (no curvature) for </w:t>
      </w:r>
      <w:r w:rsidRPr="00A155FA">
        <w:rPr>
          <w:rFonts w:ascii="Times New Roman" w:hAnsi="Times New Roman" w:cs="Times New Roman"/>
          <w:i/>
          <w:iCs/>
        </w:rPr>
        <w:t xml:space="preserve">Edops, Acanthostomatops, Lydekkerina, Siderops, Edingerella, Benthosuchus, Metoposaurus, Parotosuchus, </w:t>
      </w:r>
      <w:r w:rsidRPr="00A155FA">
        <w:rPr>
          <w:rFonts w:ascii="Times New Roman" w:hAnsi="Times New Roman" w:cs="Times New Roman"/>
        </w:rPr>
        <w:t xml:space="preserve">and </w:t>
      </w:r>
      <w:r w:rsidRPr="00A155FA">
        <w:rPr>
          <w:rFonts w:ascii="Times New Roman" w:hAnsi="Times New Roman" w:cs="Times New Roman"/>
          <w:i/>
          <w:iCs/>
        </w:rPr>
        <w:t>Mastodonsaurus.</w:t>
      </w:r>
    </w:p>
    <w:p w14:paraId="5C2D1288"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Codes were recoded from 153–0 to unknown for </w:t>
      </w:r>
      <w:r w:rsidRPr="00A155FA">
        <w:rPr>
          <w:rFonts w:ascii="Times New Roman" w:hAnsi="Times New Roman" w:cs="Times New Roman"/>
          <w:i/>
          <w:iCs/>
        </w:rPr>
        <w:t xml:space="preserve">Batrachosuchus </w:t>
      </w:r>
      <w:r w:rsidRPr="00A155FA">
        <w:rPr>
          <w:rFonts w:ascii="Times New Roman" w:hAnsi="Times New Roman" w:cs="Times New Roman"/>
        </w:rPr>
        <w:t xml:space="preserve">(see character 150); </w:t>
      </w:r>
      <w:r w:rsidRPr="00A155FA">
        <w:rPr>
          <w:rFonts w:ascii="Times New Roman" w:hAnsi="Times New Roman" w:cs="Times New Roman"/>
          <w:i/>
          <w:iCs/>
        </w:rPr>
        <w:t xml:space="preserve">Trematosaurus </w:t>
      </w:r>
      <w:r w:rsidRPr="00A155FA">
        <w:rPr>
          <w:rFonts w:ascii="Times New Roman" w:hAnsi="Times New Roman" w:cs="Times New Roman"/>
        </w:rPr>
        <w:t>(Schoch, 2019b:53; “besides its presence, there are no further details preserved”).</w:t>
      </w:r>
    </w:p>
    <w:p w14:paraId="482CCF10"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Codes were recoded to 153</w:t>
      </w:r>
      <w:r w:rsidRPr="00A155FA">
        <w:rPr>
          <w:rFonts w:ascii="Times New Roman" w:hAnsi="Times New Roman" w:cs="Times New Roman"/>
        </w:rPr>
        <w:softHyphen/>
        <w:t xml:space="preserve">–1 (no curvature) for </w:t>
      </w:r>
      <w:r w:rsidRPr="00A155FA">
        <w:rPr>
          <w:rFonts w:ascii="Times New Roman" w:hAnsi="Times New Roman" w:cs="Times New Roman"/>
          <w:i/>
          <w:iCs/>
        </w:rPr>
        <w:t>Brachydectes, Batropetes</w:t>
      </w:r>
      <w:r w:rsidRPr="00A155FA">
        <w:rPr>
          <w:rFonts w:ascii="Times New Roman" w:hAnsi="Times New Roman" w:cs="Times New Roman"/>
        </w:rPr>
        <w:t xml:space="preserve">, and </w:t>
      </w:r>
      <w:r w:rsidRPr="00A155FA">
        <w:rPr>
          <w:rFonts w:ascii="Times New Roman" w:hAnsi="Times New Roman" w:cs="Times New Roman"/>
          <w:i/>
          <w:iCs/>
        </w:rPr>
        <w:t>Rhynchonkos</w:t>
      </w:r>
      <w:r w:rsidRPr="00A155FA">
        <w:rPr>
          <w:rFonts w:ascii="Times New Roman" w:hAnsi="Times New Roman" w:cs="Times New Roman"/>
        </w:rPr>
        <w:t>.</w:t>
      </w:r>
    </w:p>
    <w:p w14:paraId="7A10629D" w14:textId="77777777"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158 (presacral count):</w:t>
      </w:r>
      <w:r w:rsidRPr="00A155FA">
        <w:rPr>
          <w:rFonts w:ascii="Times New Roman" w:hAnsi="Times New Roman" w:cs="Times New Roman"/>
        </w:rPr>
        <w:t xml:space="preserve"> the original three character states (&gt;28; 23–25; &lt;21) do not encompass the full range of possible presacral counts; any taxon with 22, 26, 27, or 28 presacral vertebrae was not captured here. The addition of a state 3 for less than 19 positions does not resolve this. Considering that these states are arbitrarily differentiated, there is no compelling reason to merely leave taxa with these non-captured counts as uncoded (e.g., </w:t>
      </w:r>
      <w:r w:rsidRPr="00A155FA">
        <w:rPr>
          <w:rFonts w:ascii="Times New Roman" w:hAnsi="Times New Roman" w:cs="Times New Roman"/>
          <w:i/>
          <w:iCs/>
        </w:rPr>
        <w:t xml:space="preserve">Trematolestes </w:t>
      </w:r>
      <w:r w:rsidRPr="00A155FA">
        <w:rPr>
          <w:rFonts w:ascii="Times New Roman" w:hAnsi="Times New Roman" w:cs="Times New Roman"/>
        </w:rPr>
        <w:t>with 22 presacral vertebrae). We therefore modify state 1 to be ‘23–28’ and state 2 to be ‘19–22.’</w:t>
      </w:r>
    </w:p>
    <w:p w14:paraId="61A41E04"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i/>
          <w:iCs/>
        </w:rPr>
        <w:t xml:space="preserve">Batropetes </w:t>
      </w:r>
      <w:r w:rsidRPr="00A155FA">
        <w:rPr>
          <w:rFonts w:ascii="Times New Roman" w:hAnsi="Times New Roman" w:cs="Times New Roman"/>
        </w:rPr>
        <w:t>is recoded from 158–2 to 158–3 (17 positions per Glienke, 2013).</w:t>
      </w:r>
    </w:p>
    <w:p w14:paraId="70205864" w14:textId="77777777" w:rsidR="00FA06B2" w:rsidRPr="00A155FA" w:rsidRDefault="00FA06B2" w:rsidP="005229E5">
      <w:pPr>
        <w:pStyle w:val="ListParagraph"/>
        <w:numPr>
          <w:ilvl w:val="1"/>
          <w:numId w:val="3"/>
        </w:numPr>
        <w:tabs>
          <w:tab w:val="left" w:pos="2860"/>
        </w:tabs>
        <w:rPr>
          <w:rFonts w:ascii="Times New Roman" w:hAnsi="Times New Roman" w:cs="Times New Roman"/>
        </w:rPr>
      </w:pPr>
      <w:r w:rsidRPr="00A155FA">
        <w:rPr>
          <w:rFonts w:ascii="Times New Roman" w:hAnsi="Times New Roman" w:cs="Times New Roman"/>
          <w:i/>
          <w:iCs/>
        </w:rPr>
        <w:t xml:space="preserve">Acanthostomatops </w:t>
      </w:r>
      <w:r w:rsidRPr="00A155FA">
        <w:rPr>
          <w:rFonts w:ascii="Times New Roman" w:hAnsi="Times New Roman" w:cs="Times New Roman"/>
        </w:rPr>
        <w:t xml:space="preserve">is recoded from 158–1 to 158–2. Witzmann &amp; Schoch (2006:374) stated that “has a rather short trunk composed of 21–22 presacral vertebrae.” This range would not fit within a single character state in the original character (and is thus an unsubstantiated code), but it fits within state 2 of the reformulated version. </w:t>
      </w:r>
    </w:p>
    <w:p w14:paraId="23EBE579" w14:textId="58301E3A" w:rsidR="00FA06B2" w:rsidRPr="00A155FA" w:rsidRDefault="00FA06B2" w:rsidP="005229E5">
      <w:pPr>
        <w:pStyle w:val="ListParagraph"/>
        <w:numPr>
          <w:ilvl w:val="1"/>
          <w:numId w:val="3"/>
        </w:numPr>
        <w:tabs>
          <w:tab w:val="left" w:pos="2860"/>
        </w:tabs>
        <w:rPr>
          <w:rFonts w:ascii="Times New Roman" w:hAnsi="Times New Roman" w:cs="Times New Roman"/>
        </w:rPr>
      </w:pPr>
      <w:r w:rsidRPr="00A155FA">
        <w:rPr>
          <w:rFonts w:ascii="Times New Roman" w:hAnsi="Times New Roman" w:cs="Times New Roman"/>
          <w:i/>
          <w:iCs/>
        </w:rPr>
        <w:t>Platyrhinops</w:t>
      </w:r>
      <w:r w:rsidRPr="00A155FA">
        <w:rPr>
          <w:rFonts w:ascii="Times New Roman" w:hAnsi="Times New Roman" w:cs="Times New Roman"/>
        </w:rPr>
        <w:t xml:space="preserve"> is largely known from incomplete specimens, but the most complete one has 25–26 presacral positions (Carroll, 1964:234; Clack &amp; Milner, 2010:289). Therefore, this taxon is recoded here to 158–1, rather than 158–2.</w:t>
      </w:r>
    </w:p>
    <w:p w14:paraId="2BCF1139" w14:textId="77777777" w:rsidR="00FA06B2" w:rsidRPr="00A155FA" w:rsidRDefault="00FA06B2" w:rsidP="005229E5">
      <w:pPr>
        <w:pStyle w:val="ListParagraph"/>
        <w:numPr>
          <w:ilvl w:val="1"/>
          <w:numId w:val="3"/>
        </w:numPr>
        <w:tabs>
          <w:tab w:val="left" w:pos="2860"/>
        </w:tabs>
        <w:rPr>
          <w:rFonts w:ascii="Times New Roman" w:hAnsi="Times New Roman" w:cs="Times New Roman"/>
        </w:rPr>
      </w:pPr>
      <w:r w:rsidRPr="00A155FA">
        <w:rPr>
          <w:rFonts w:ascii="Times New Roman" w:hAnsi="Times New Roman" w:cs="Times New Roman"/>
          <w:i/>
          <w:iCs/>
        </w:rPr>
        <w:t xml:space="preserve">Siderops </w:t>
      </w:r>
      <w:r w:rsidRPr="00A155FA">
        <w:rPr>
          <w:rFonts w:ascii="Times New Roman" w:hAnsi="Times New Roman" w:cs="Times New Roman"/>
        </w:rPr>
        <w:t>has 23 presacral positions (Warren &amp; Hutchinson, 1983:26), which means is recoded here to 158–1, rather than 158–2.</w:t>
      </w:r>
    </w:p>
    <w:p w14:paraId="41D48F60"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i/>
          <w:iCs/>
        </w:rPr>
        <w:t xml:space="preserve">Trematolestes </w:t>
      </w:r>
      <w:r w:rsidRPr="00A155FA">
        <w:rPr>
          <w:rFonts w:ascii="Times New Roman" w:hAnsi="Times New Roman" w:cs="Times New Roman"/>
        </w:rPr>
        <w:t xml:space="preserve">is recoded from 158–1 to 158–2. Regardless of our reformulation, it was originally an unsubstantiated code; Schoch (2006a:36) stated that approximately 22 presacral vertebrae are present. </w:t>
      </w:r>
    </w:p>
    <w:p w14:paraId="128D1D49"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i/>
          <w:iCs/>
        </w:rPr>
        <w:t xml:space="preserve">Callistomordax </w:t>
      </w:r>
      <w:r w:rsidRPr="00A155FA">
        <w:rPr>
          <w:rFonts w:ascii="Times New Roman" w:hAnsi="Times New Roman" w:cs="Times New Roman"/>
        </w:rPr>
        <w:t xml:space="preserve">is recoded from 158–0 to 158–1. Schoch (2008a:92) states that the presacral count is 26–28, which is not applicable to the original or the new (unchanged) state 0. </w:t>
      </w:r>
    </w:p>
    <w:p w14:paraId="4AA930F7" w14:textId="04A9A0D0"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i/>
          <w:iCs/>
        </w:rPr>
        <w:t xml:space="preserve">Paracyclotosaurus </w:t>
      </w:r>
      <w:r w:rsidRPr="00A155FA">
        <w:rPr>
          <w:rFonts w:ascii="Times New Roman" w:hAnsi="Times New Roman" w:cs="Times New Roman"/>
        </w:rPr>
        <w:t xml:space="preserve">is recoded from 158–0 to 158–1. Watson (1958:246) identified position 28 as the sacral position, which means there are between 25 and 27 presacral positions depending on whether the atlas and axis are counted; either is not applicable to state 0. </w:t>
      </w:r>
    </w:p>
    <w:p w14:paraId="57C85D74"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i/>
          <w:iCs/>
        </w:rPr>
        <w:lastRenderedPageBreak/>
        <w:t xml:space="preserve">Mastodonsaurus </w:t>
      </w:r>
      <w:r w:rsidRPr="00A155FA">
        <w:rPr>
          <w:rFonts w:ascii="Times New Roman" w:hAnsi="Times New Roman" w:cs="Times New Roman"/>
        </w:rPr>
        <w:t xml:space="preserve">has long had an uncertain presacral count; historical workers’ estimates ranged from 27–30, which does not fit within a single character state in either the original or revised formulation of this character. Schoch (1999a:93) stated that at least 27 were present and suggested a range of 27–29 (which still does not fall within one character state); he described two specimens, one with 28 positions and one with 30 positions. It is recoded here from 158–0 to 158–0/1, which represents a correction. </w:t>
      </w:r>
    </w:p>
    <w:p w14:paraId="3CB6104B" w14:textId="77777777" w:rsidR="00FA06B2" w:rsidRPr="00A155FA" w:rsidRDefault="00FA06B2" w:rsidP="00A30351">
      <w:pPr>
        <w:pStyle w:val="ListParagraph"/>
        <w:numPr>
          <w:ilvl w:val="0"/>
          <w:numId w:val="3"/>
        </w:numPr>
        <w:rPr>
          <w:rFonts w:ascii="Times New Roman" w:eastAsia="Times New Roman" w:hAnsi="Times New Roman" w:cs="Times New Roman"/>
          <w:color w:val="222222"/>
        </w:rPr>
      </w:pPr>
      <w:r w:rsidRPr="00A155FA">
        <w:rPr>
          <w:rFonts w:ascii="Times New Roman" w:eastAsia="Times New Roman" w:hAnsi="Times New Roman" w:cs="Times New Roman"/>
          <w:b/>
          <w:bCs/>
          <w:color w:val="222222"/>
        </w:rPr>
        <w:t xml:space="preserve">171 (ribs, length); 296 (ribs anterior to sacrum): </w:t>
      </w:r>
      <w:r w:rsidRPr="00A155FA">
        <w:rPr>
          <w:rFonts w:ascii="Times New Roman" w:eastAsia="Times New Roman" w:hAnsi="Times New Roman" w:cs="Times New Roman"/>
          <w:color w:val="222222"/>
        </w:rPr>
        <w:t xml:space="preserve">both of these characters relate to rib length, although it is formalized somewhat differently between them (original definitions shown below). </w:t>
      </w:r>
    </w:p>
    <w:p w14:paraId="2F9BEF54" w14:textId="77777777" w:rsidR="00FA06B2" w:rsidRPr="00A155FA" w:rsidRDefault="00FA06B2" w:rsidP="00A30351">
      <w:pPr>
        <w:pStyle w:val="ListParagraph"/>
        <w:numPr>
          <w:ilvl w:val="1"/>
          <w:numId w:val="3"/>
        </w:numPr>
        <w:rPr>
          <w:rFonts w:ascii="Times New Roman" w:eastAsia="Times New Roman" w:hAnsi="Times New Roman" w:cs="Times New Roman"/>
          <w:color w:val="222222"/>
        </w:rPr>
      </w:pPr>
      <w:r w:rsidRPr="00A155FA">
        <w:rPr>
          <w:rFonts w:ascii="Times New Roman" w:eastAsia="Times New Roman" w:hAnsi="Times New Roman" w:cs="Times New Roman"/>
          <w:b/>
          <w:bCs/>
          <w:color w:val="222222"/>
        </w:rPr>
        <w:t xml:space="preserve">171. Ribs (length). </w:t>
      </w:r>
      <w:r w:rsidRPr="00A155FA">
        <w:rPr>
          <w:rFonts w:ascii="Times New Roman" w:eastAsia="Times New Roman" w:hAnsi="Times New Roman" w:cs="Times New Roman"/>
          <w:color w:val="222222"/>
        </w:rPr>
        <w:t>Moderately elongate thoracic ribs curved distoventrally (0), or such ribs foreshortened without distal curvature (1). [</w:t>
      </w:r>
      <w:r w:rsidRPr="00A155FA">
        <w:rPr>
          <w:rFonts w:ascii="Times New Roman" w:eastAsia="Times New Roman" w:hAnsi="Times New Roman" w:cs="Times New Roman"/>
          <w:i/>
          <w:iCs/>
          <w:color w:val="222222"/>
        </w:rPr>
        <w:t>added by Schoch, 2013</w:t>
      </w:r>
      <w:r w:rsidRPr="00A155FA">
        <w:rPr>
          <w:rFonts w:ascii="Times New Roman" w:eastAsia="Times New Roman" w:hAnsi="Times New Roman" w:cs="Times New Roman"/>
          <w:color w:val="222222"/>
        </w:rPr>
        <w:t>]</w:t>
      </w:r>
    </w:p>
    <w:p w14:paraId="0C393A71" w14:textId="77777777" w:rsidR="00FA06B2" w:rsidRPr="00A155FA" w:rsidRDefault="00FA06B2" w:rsidP="00A30351">
      <w:pPr>
        <w:pStyle w:val="ListParagraph"/>
        <w:numPr>
          <w:ilvl w:val="1"/>
          <w:numId w:val="3"/>
        </w:numPr>
        <w:rPr>
          <w:rFonts w:ascii="Times New Roman" w:eastAsia="Times New Roman" w:hAnsi="Times New Roman" w:cs="Times New Roman"/>
          <w:color w:val="222222"/>
        </w:rPr>
      </w:pPr>
      <w:r w:rsidRPr="00A155FA">
        <w:rPr>
          <w:rFonts w:ascii="Times New Roman" w:eastAsia="Times New Roman" w:hAnsi="Times New Roman" w:cs="Times New Roman"/>
          <w:b/>
          <w:bCs/>
          <w:color w:val="222222"/>
        </w:rPr>
        <w:t>296. Ribs anterior to sacrum.</w:t>
      </w:r>
      <w:r w:rsidRPr="00A155FA">
        <w:rPr>
          <w:rFonts w:ascii="Times New Roman" w:eastAsia="Times New Roman" w:hAnsi="Times New Roman" w:cs="Times New Roman"/>
          <w:color w:val="222222"/>
        </w:rPr>
        <w:t xml:space="preserve"> Short (0), long (1). [</w:t>
      </w:r>
      <w:r w:rsidRPr="00A155FA">
        <w:rPr>
          <w:rFonts w:ascii="Times New Roman" w:eastAsia="Times New Roman" w:hAnsi="Times New Roman" w:cs="Times New Roman"/>
          <w:i/>
          <w:iCs/>
          <w:color w:val="222222"/>
        </w:rPr>
        <w:t>added by Pardo et al., 2017a</w:t>
      </w:r>
      <w:r w:rsidRPr="00A155FA">
        <w:rPr>
          <w:rFonts w:ascii="Times New Roman" w:eastAsia="Times New Roman" w:hAnsi="Times New Roman" w:cs="Times New Roman"/>
          <w:color w:val="222222"/>
        </w:rPr>
        <w:t>]</w:t>
      </w:r>
    </w:p>
    <w:p w14:paraId="0A83BB20" w14:textId="77777777" w:rsidR="00FA06B2" w:rsidRPr="00A155FA" w:rsidRDefault="00FA06B2" w:rsidP="00A30351">
      <w:pPr>
        <w:pStyle w:val="ListParagraph"/>
        <w:rPr>
          <w:rFonts w:ascii="Times New Roman" w:eastAsia="Times New Roman" w:hAnsi="Times New Roman" w:cs="Times New Roman"/>
          <w:color w:val="222222"/>
        </w:rPr>
      </w:pPr>
      <w:r w:rsidRPr="00A155FA">
        <w:rPr>
          <w:rFonts w:ascii="Times New Roman" w:eastAsia="Times New Roman" w:hAnsi="Times New Roman" w:cs="Times New Roman"/>
          <w:color w:val="222222"/>
        </w:rPr>
        <w:t>Character 171 is named as if it addresses length, but really it addresses both length and curvature, assuming that they are always correlated. Character 296 only addresses length. Codes for these characters are not the same, either before or after other scoring changes that were made to both; this reflects the inherent subjectivity in discerning ‘long’ versus ‘short’ (or similar distinctions) and that these characters were coded by different workers. Other versions of this character (e.g., character 88 in Schoch, 2018) have invoked a reference point: the length of three vertebral positions. However, presacral rib length is typically variable, being broadest in the anterior half of the trunk in most taxa and tapering sharply towards the sacrum. This is only further complicated by the fact that while most taxa are coded, most are unknown from complete presacral columns or from partial columns that can be precisely positioned. Character 171 is here restricted to curvature, and character 296 is retained for relative length. Both characters were recoded (see further comments below on a pattern of discrepancies within character 296).</w:t>
      </w:r>
    </w:p>
    <w:p w14:paraId="7AAE6555" w14:textId="7A5A7ABF" w:rsidR="00FA06B2" w:rsidRPr="00A155FA" w:rsidRDefault="00FA06B2" w:rsidP="00A30351">
      <w:pPr>
        <w:pStyle w:val="ListParagraph"/>
        <w:numPr>
          <w:ilvl w:val="1"/>
          <w:numId w:val="3"/>
        </w:numPr>
        <w:tabs>
          <w:tab w:val="left" w:pos="2860"/>
        </w:tabs>
        <w:rPr>
          <w:rFonts w:ascii="Times New Roman" w:hAnsi="Times New Roman" w:cs="Times New Roman"/>
        </w:rPr>
      </w:pPr>
      <w:r w:rsidRPr="00A155FA">
        <w:rPr>
          <w:rFonts w:ascii="Times New Roman" w:hAnsi="Times New Roman" w:cs="Times New Roman"/>
        </w:rPr>
        <w:t xml:space="preserve">Codes for character 296 seem to have been inverted; </w:t>
      </w:r>
      <w:r w:rsidRPr="00A155FA">
        <w:rPr>
          <w:rFonts w:ascii="Times New Roman" w:hAnsi="Times New Roman" w:cs="Times New Roman"/>
          <w:i/>
          <w:iCs/>
        </w:rPr>
        <w:t>Gerobatrachus</w:t>
      </w:r>
      <w:r w:rsidRPr="00A155FA">
        <w:rPr>
          <w:rFonts w:ascii="Times New Roman" w:hAnsi="Times New Roman" w:cs="Times New Roman"/>
        </w:rPr>
        <w:t>, for example, has relatively short ribs like in lissamphibians (Anderson et al., 2008</w:t>
      </w:r>
      <w:r w:rsidR="002639C2">
        <w:rPr>
          <w:rFonts w:ascii="Times New Roman" w:hAnsi="Times New Roman" w:cs="Times New Roman"/>
        </w:rPr>
        <w:t>b</w:t>
      </w:r>
      <w:r w:rsidRPr="00A155FA">
        <w:rPr>
          <w:rFonts w:ascii="Times New Roman" w:hAnsi="Times New Roman" w:cs="Times New Roman"/>
        </w:rPr>
        <w:t>) but was coded for ‘long’ ribs, whereas lissamphibians were coded for ‘short’ ribs. Most temnospondyls have much longer ribs than in lissamphibians, but they were coded for ‘short’ ribs. In order to maintain consistency, the character was recoded for all taxa.</w:t>
      </w:r>
    </w:p>
    <w:p w14:paraId="0F725C40" w14:textId="77777777" w:rsidR="00FA06B2" w:rsidRPr="00A155FA" w:rsidRDefault="00FA06B2" w:rsidP="005229E5">
      <w:pPr>
        <w:pStyle w:val="ListParagraph"/>
        <w:numPr>
          <w:ilvl w:val="0"/>
          <w:numId w:val="3"/>
        </w:numPr>
        <w:tabs>
          <w:tab w:val="left" w:pos="2860"/>
        </w:tabs>
        <w:rPr>
          <w:rFonts w:ascii="Times New Roman" w:hAnsi="Times New Roman" w:cs="Times New Roman"/>
        </w:rPr>
      </w:pPr>
      <w:r w:rsidRPr="00A155FA">
        <w:rPr>
          <w:rFonts w:ascii="Times New Roman" w:hAnsi="Times New Roman" w:cs="Times New Roman"/>
          <w:b/>
          <w:bCs/>
        </w:rPr>
        <w:t xml:space="preserve">179 (interclavicle, length); 180 (interclavicle, ontogeny); 181 (interclavicle, central ornamented area); 182 (interclavicle, proportions); 183 (interclavicle, posterior margin); 184 (interclavicle, anterior margin); 185 (interclavicle, anterior stylus); 186 (interclavicle, posterior stylus); 187 (interclavicle, clavicles): </w:t>
      </w:r>
      <w:r w:rsidRPr="00A155FA">
        <w:rPr>
          <w:rFonts w:ascii="Times New Roman" w:hAnsi="Times New Roman" w:cs="Times New Roman"/>
        </w:rPr>
        <w:t>any taxon coded for 347–1 (interclavicle absent) cannot be coded for these characters.</w:t>
      </w:r>
    </w:p>
    <w:p w14:paraId="3149CC28" w14:textId="77777777" w:rsidR="00FA06B2" w:rsidRPr="00A155FA" w:rsidRDefault="00FA06B2" w:rsidP="005229E5">
      <w:pPr>
        <w:pStyle w:val="ListParagraph"/>
        <w:numPr>
          <w:ilvl w:val="1"/>
          <w:numId w:val="3"/>
        </w:numPr>
        <w:tabs>
          <w:tab w:val="left" w:pos="2860"/>
        </w:tabs>
        <w:rPr>
          <w:rFonts w:ascii="Times New Roman" w:hAnsi="Times New Roman" w:cs="Times New Roman"/>
        </w:rPr>
      </w:pPr>
      <w:r w:rsidRPr="00A155FA">
        <w:rPr>
          <w:rFonts w:ascii="Times New Roman" w:hAnsi="Times New Roman" w:cs="Times New Roman"/>
        </w:rPr>
        <w:t xml:space="preserve">Character 179: Codes were corrected from 179–0 (interclavicle shorter than posterior skull) for </w:t>
      </w:r>
      <w:r w:rsidRPr="00A155FA">
        <w:rPr>
          <w:rFonts w:ascii="Times New Roman" w:hAnsi="Times New Roman" w:cs="Times New Roman"/>
          <w:i/>
          <w:iCs/>
        </w:rPr>
        <w:t xml:space="preserve">Triadobatrachus </w:t>
      </w:r>
      <w:r w:rsidRPr="00A155FA">
        <w:rPr>
          <w:rFonts w:ascii="Times New Roman" w:hAnsi="Times New Roman" w:cs="Times New Roman"/>
        </w:rPr>
        <w:t xml:space="preserve">and </w:t>
      </w:r>
      <w:r w:rsidRPr="00A155FA">
        <w:rPr>
          <w:rFonts w:ascii="Times New Roman" w:hAnsi="Times New Roman" w:cs="Times New Roman"/>
          <w:i/>
          <w:iCs/>
        </w:rPr>
        <w:t>Leptodactylus</w:t>
      </w:r>
      <w:r w:rsidRPr="00A155FA">
        <w:rPr>
          <w:rFonts w:ascii="Times New Roman" w:hAnsi="Times New Roman" w:cs="Times New Roman"/>
        </w:rPr>
        <w:t xml:space="preserve">. </w:t>
      </w:r>
    </w:p>
    <w:p w14:paraId="7729EA40" w14:textId="77777777" w:rsidR="00FA06B2" w:rsidRPr="00A155FA" w:rsidRDefault="00FA06B2" w:rsidP="005229E5">
      <w:pPr>
        <w:pStyle w:val="ListParagraph"/>
        <w:numPr>
          <w:ilvl w:val="1"/>
          <w:numId w:val="3"/>
        </w:numPr>
        <w:tabs>
          <w:tab w:val="left" w:pos="2860"/>
        </w:tabs>
        <w:rPr>
          <w:rFonts w:ascii="Times New Roman" w:hAnsi="Times New Roman" w:cs="Times New Roman"/>
        </w:rPr>
      </w:pPr>
      <w:r w:rsidRPr="00A155FA">
        <w:rPr>
          <w:rFonts w:ascii="Times New Roman" w:hAnsi="Times New Roman" w:cs="Times New Roman"/>
        </w:rPr>
        <w:t xml:space="preserve">Codes for these nine characters were updated from unknown to inapplicable (when originally coded as unknown) for the above taxa as well as for </w:t>
      </w:r>
      <w:r w:rsidRPr="00A155FA">
        <w:rPr>
          <w:rFonts w:ascii="Times New Roman" w:hAnsi="Times New Roman" w:cs="Times New Roman"/>
          <w:i/>
          <w:iCs/>
        </w:rPr>
        <w:t xml:space="preserve">Xenopus, Celtedens, Karaurus, Kokartus, Ambystoma, Hynobius, Cryptobranchus, Triassurus, Ichthyophis, Epicrionops, </w:t>
      </w:r>
      <w:r w:rsidRPr="00A155FA">
        <w:rPr>
          <w:rFonts w:ascii="Times New Roman" w:hAnsi="Times New Roman" w:cs="Times New Roman"/>
        </w:rPr>
        <w:t xml:space="preserve">and </w:t>
      </w:r>
      <w:r w:rsidRPr="00A155FA">
        <w:rPr>
          <w:rFonts w:ascii="Times New Roman" w:hAnsi="Times New Roman" w:cs="Times New Roman"/>
          <w:i/>
          <w:iCs/>
        </w:rPr>
        <w:t>Eocaecilia.</w:t>
      </w:r>
    </w:p>
    <w:p w14:paraId="1E0CA3A5" w14:textId="77777777"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 xml:space="preserve">186 (interclavicle, posterior stylus): </w:t>
      </w:r>
      <w:r w:rsidRPr="00A155FA">
        <w:rPr>
          <w:rFonts w:ascii="Times New Roman" w:hAnsi="Times New Roman" w:cs="Times New Roman"/>
        </w:rPr>
        <w:t>this character cannot be coded if a stylus is absent (183–1). This holds true even if 186–0 (posterior end rounded or blunt) is intended to be the same as 183–1 (posterior margin transversely straight / without posterior process).</w:t>
      </w:r>
    </w:p>
    <w:p w14:paraId="65EEB74C"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lastRenderedPageBreak/>
        <w:t xml:space="preserve">Codes were corrected from 186–0 (posterior end rounded or blunt) for </w:t>
      </w:r>
      <w:r w:rsidRPr="00A155FA">
        <w:rPr>
          <w:rFonts w:ascii="Times New Roman" w:hAnsi="Times New Roman" w:cs="Times New Roman"/>
          <w:i/>
          <w:iCs/>
        </w:rPr>
        <w:t xml:space="preserve">Plagiosuchus </w:t>
      </w:r>
      <w:r w:rsidRPr="00A155FA">
        <w:rPr>
          <w:rFonts w:ascii="Times New Roman" w:hAnsi="Times New Roman" w:cs="Times New Roman"/>
        </w:rPr>
        <w:t xml:space="preserve">and </w:t>
      </w:r>
      <w:r w:rsidRPr="00A155FA">
        <w:rPr>
          <w:rFonts w:ascii="Times New Roman" w:hAnsi="Times New Roman" w:cs="Times New Roman"/>
          <w:i/>
          <w:iCs/>
        </w:rPr>
        <w:t>Gerrothorax</w:t>
      </w:r>
      <w:r w:rsidRPr="00A155FA">
        <w:rPr>
          <w:rFonts w:ascii="Times New Roman" w:hAnsi="Times New Roman" w:cs="Times New Roman"/>
        </w:rPr>
        <w:t xml:space="preserve">. </w:t>
      </w:r>
    </w:p>
    <w:p w14:paraId="11FACDF5" w14:textId="77777777"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 xml:space="preserve">203 (pubis): </w:t>
      </w:r>
      <w:r w:rsidRPr="00A155FA">
        <w:rPr>
          <w:rFonts w:ascii="Times New Roman" w:hAnsi="Times New Roman" w:cs="Times New Roman"/>
        </w:rPr>
        <w:t xml:space="preserve">203–0 is prescribed for an unossified pubis, with 203–1 for an ossified pubis, but the codes in the matrix were largely reversed for taxa originally coded by Schoch (2013): taxa coded as having an ossified pubis (e.g., </w:t>
      </w:r>
      <w:r w:rsidRPr="00A155FA">
        <w:rPr>
          <w:rFonts w:ascii="Times New Roman" w:hAnsi="Times New Roman" w:cs="Times New Roman"/>
          <w:i/>
          <w:iCs/>
        </w:rPr>
        <w:t>Cacops</w:t>
      </w:r>
      <w:r w:rsidRPr="00A155FA">
        <w:rPr>
          <w:rFonts w:ascii="Times New Roman" w:hAnsi="Times New Roman" w:cs="Times New Roman"/>
        </w:rPr>
        <w:t xml:space="preserve">, </w:t>
      </w:r>
      <w:r w:rsidRPr="00A155FA">
        <w:rPr>
          <w:rFonts w:ascii="Times New Roman" w:hAnsi="Times New Roman" w:cs="Times New Roman"/>
          <w:i/>
          <w:iCs/>
        </w:rPr>
        <w:t>Eryops</w:t>
      </w:r>
      <w:r w:rsidRPr="00A155FA">
        <w:rPr>
          <w:rFonts w:ascii="Times New Roman" w:hAnsi="Times New Roman" w:cs="Times New Roman"/>
        </w:rPr>
        <w:t xml:space="preserve">) were coded for 203–0, and taxa described as lacking an ossified pubis (e.g., </w:t>
      </w:r>
      <w:r w:rsidRPr="00A155FA">
        <w:rPr>
          <w:rFonts w:ascii="Times New Roman" w:hAnsi="Times New Roman" w:cs="Times New Roman"/>
          <w:i/>
          <w:iCs/>
        </w:rPr>
        <w:t>Acanthostomatops</w:t>
      </w:r>
      <w:r w:rsidRPr="00A155FA">
        <w:rPr>
          <w:rFonts w:ascii="Times New Roman" w:hAnsi="Times New Roman" w:cs="Times New Roman"/>
        </w:rPr>
        <w:t xml:space="preserve">, </w:t>
      </w:r>
      <w:r w:rsidRPr="00A155FA">
        <w:rPr>
          <w:rFonts w:ascii="Times New Roman" w:hAnsi="Times New Roman" w:cs="Times New Roman"/>
          <w:i/>
          <w:iCs/>
        </w:rPr>
        <w:t>Glanochthon</w:t>
      </w:r>
      <w:r w:rsidRPr="00A155FA">
        <w:rPr>
          <w:rFonts w:ascii="Times New Roman" w:hAnsi="Times New Roman" w:cs="Times New Roman"/>
        </w:rPr>
        <w:t xml:space="preserve">) were coded for 203–1, and a few taxa coded were coded correctly (e.g., </w:t>
      </w:r>
      <w:r w:rsidRPr="00A155FA">
        <w:rPr>
          <w:rFonts w:ascii="Times New Roman" w:hAnsi="Times New Roman" w:cs="Times New Roman"/>
          <w:i/>
          <w:iCs/>
        </w:rPr>
        <w:t>Mastodonsaurus</w:t>
      </w:r>
      <w:r w:rsidRPr="00A155FA">
        <w:rPr>
          <w:rFonts w:ascii="Times New Roman" w:hAnsi="Times New Roman" w:cs="Times New Roman"/>
        </w:rPr>
        <w:t>).</w:t>
      </w:r>
      <w:r w:rsidRPr="00A155FA">
        <w:rPr>
          <w:rFonts w:ascii="Times New Roman" w:hAnsi="Times New Roman" w:cs="Times New Roman"/>
          <w:i/>
          <w:iCs/>
        </w:rPr>
        <w:t xml:space="preserve"> </w:t>
      </w:r>
      <w:r w:rsidRPr="00A155FA">
        <w:rPr>
          <w:rFonts w:ascii="Times New Roman" w:hAnsi="Times New Roman" w:cs="Times New Roman"/>
        </w:rPr>
        <w:t xml:space="preserve">Conversely, the codes were correct for taxa coded by Pardo et al. (2017a), such as </w:t>
      </w:r>
      <w:r w:rsidRPr="00A155FA">
        <w:rPr>
          <w:rFonts w:ascii="Times New Roman" w:hAnsi="Times New Roman" w:cs="Times New Roman"/>
          <w:i/>
          <w:iCs/>
        </w:rPr>
        <w:t xml:space="preserve">Cryptobranchus </w:t>
      </w:r>
      <w:r w:rsidRPr="00A155FA">
        <w:rPr>
          <w:rFonts w:ascii="Times New Roman" w:hAnsi="Times New Roman" w:cs="Times New Roman"/>
        </w:rPr>
        <w:t xml:space="preserve">(pubis unossified, coded for 203–0) and for those coded by Schoch et al. (2020), such as </w:t>
      </w:r>
      <w:r w:rsidRPr="00A155FA">
        <w:rPr>
          <w:rFonts w:ascii="Times New Roman" w:hAnsi="Times New Roman" w:cs="Times New Roman"/>
          <w:i/>
          <w:iCs/>
        </w:rPr>
        <w:t xml:space="preserve">Celtedens </w:t>
      </w:r>
      <w:r w:rsidRPr="00A155FA">
        <w:rPr>
          <w:rFonts w:ascii="Times New Roman" w:hAnsi="Times New Roman" w:cs="Times New Roman"/>
        </w:rPr>
        <w:t xml:space="preserve">(pubis ossified, coded for 203–1) and </w:t>
      </w:r>
      <w:r w:rsidRPr="00A155FA">
        <w:rPr>
          <w:rFonts w:ascii="Times New Roman" w:hAnsi="Times New Roman" w:cs="Times New Roman"/>
          <w:i/>
          <w:iCs/>
        </w:rPr>
        <w:t xml:space="preserve">Triassurus </w:t>
      </w:r>
      <w:r w:rsidRPr="00A155FA">
        <w:rPr>
          <w:rFonts w:ascii="Times New Roman" w:hAnsi="Times New Roman" w:cs="Times New Roman"/>
        </w:rPr>
        <w:t xml:space="preserve">(pubis unossified, coded for 203–0). </w:t>
      </w:r>
    </w:p>
    <w:p w14:paraId="5DBBE055" w14:textId="06E6C2DB"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Codes were reversed (corrected) for </w:t>
      </w:r>
      <w:r w:rsidRPr="00A155FA">
        <w:rPr>
          <w:rFonts w:ascii="Times New Roman" w:hAnsi="Times New Roman" w:cs="Times New Roman"/>
          <w:i/>
          <w:iCs/>
        </w:rPr>
        <w:t xml:space="preserve">Proterogyrinus, Greererpeton, Brachydectes, Batropetes, Cochleosaurus, Dendrerpeton, Balanerpeton, Trimerorhachis, Acanthostomatops, Micromelerpeton, Apateon, Micropholis, Doleserpeton, Amphibamus, Gerobatrachus, Dissorophus, Cacops, Broiliellus, Acheloma, Phonerpeton, Onchiodon, Eryops, Sclerocephalus, Glanochthon, Archegosaurus, Uranocentrodon, Lydekkerina, Siderops, Plagiosuchus, Gerrothorax, Trematolestes, Callistomordax, </w:t>
      </w:r>
      <w:r w:rsidRPr="00A155FA">
        <w:rPr>
          <w:rFonts w:ascii="Times New Roman" w:hAnsi="Times New Roman" w:cs="Times New Roman"/>
        </w:rPr>
        <w:t xml:space="preserve">and </w:t>
      </w:r>
      <w:r w:rsidRPr="00A155FA">
        <w:rPr>
          <w:rFonts w:ascii="Times New Roman" w:hAnsi="Times New Roman" w:cs="Times New Roman"/>
          <w:i/>
          <w:iCs/>
        </w:rPr>
        <w:t>Metoposaurus</w:t>
      </w:r>
      <w:r w:rsidRPr="00A155FA">
        <w:rPr>
          <w:rFonts w:ascii="Times New Roman" w:hAnsi="Times New Roman" w:cs="Times New Roman"/>
        </w:rPr>
        <w:t xml:space="preserve">. </w:t>
      </w:r>
    </w:p>
    <w:p w14:paraId="0B99FCCA" w14:textId="77777777"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 xml:space="preserve">208 (squamation): </w:t>
      </w:r>
      <w:r w:rsidRPr="00A155FA">
        <w:rPr>
          <w:rFonts w:ascii="Times New Roman" w:hAnsi="Times New Roman" w:cs="Times New Roman"/>
        </w:rPr>
        <w:t>this character requires the presence of dermal scales, and taxa without these ossifications cannot be coded. Because these ossifications could hypothetically be lost from even complete skeletons post-mortem, the codes are changed to unknown rather than to inapplicable when they were changed.</w:t>
      </w:r>
    </w:p>
    <w:p w14:paraId="2D83980B"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Codes were recoded from 208–0 (dermal scales oval to spindle-shaped) for</w:t>
      </w:r>
      <w:r w:rsidRPr="00A155FA">
        <w:rPr>
          <w:rFonts w:ascii="Times New Roman" w:hAnsi="Times New Roman" w:cs="Times New Roman"/>
          <w:i/>
          <w:iCs/>
        </w:rPr>
        <w:t xml:space="preserve"> Dissorophus, Cacops, Broiliellus, Siderops, Trematosaurus, Trematolestes, Callistomordax, </w:t>
      </w:r>
      <w:r w:rsidRPr="00A155FA">
        <w:rPr>
          <w:rFonts w:ascii="Times New Roman" w:hAnsi="Times New Roman" w:cs="Times New Roman"/>
        </w:rPr>
        <w:t xml:space="preserve">and </w:t>
      </w:r>
      <w:r w:rsidRPr="00A155FA">
        <w:rPr>
          <w:rFonts w:ascii="Times New Roman" w:hAnsi="Times New Roman" w:cs="Times New Roman"/>
          <w:i/>
          <w:iCs/>
        </w:rPr>
        <w:t xml:space="preserve">Metoposaurus </w:t>
      </w:r>
      <w:r w:rsidRPr="00A155FA">
        <w:rPr>
          <w:rFonts w:ascii="Times New Roman" w:hAnsi="Times New Roman" w:cs="Times New Roman"/>
        </w:rPr>
        <w:t>on the basis that no scales are described for these taxa, all of which are known from at least one relatively complete skeleton.</w:t>
      </w:r>
    </w:p>
    <w:p w14:paraId="2C6C9C7D"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Codes are changed from 208–0 for </w:t>
      </w:r>
      <w:r w:rsidRPr="00A155FA">
        <w:rPr>
          <w:rFonts w:ascii="Times New Roman" w:hAnsi="Times New Roman" w:cs="Times New Roman"/>
          <w:i/>
          <w:iCs/>
        </w:rPr>
        <w:t xml:space="preserve">Benthosuchus </w:t>
      </w:r>
      <w:r w:rsidRPr="00A155FA">
        <w:rPr>
          <w:rFonts w:ascii="Times New Roman" w:hAnsi="Times New Roman" w:cs="Times New Roman"/>
        </w:rPr>
        <w:t xml:space="preserve">and </w:t>
      </w:r>
      <w:r w:rsidRPr="00A155FA">
        <w:rPr>
          <w:rFonts w:ascii="Times New Roman" w:hAnsi="Times New Roman" w:cs="Times New Roman"/>
          <w:i/>
          <w:iCs/>
        </w:rPr>
        <w:t>Mastodonsaurus</w:t>
      </w:r>
      <w:r w:rsidRPr="00A155FA">
        <w:rPr>
          <w:rFonts w:ascii="Times New Roman" w:hAnsi="Times New Roman" w:cs="Times New Roman"/>
        </w:rPr>
        <w:t xml:space="preserve"> on the basis that scales of these taxa, for which the entire skeleton is known (albeit in disarticulation), are unknown. Less well-represented taxa for which scales have not been positively identified among at least partially known postcrania (e.g., </w:t>
      </w:r>
      <w:r w:rsidRPr="00A155FA">
        <w:rPr>
          <w:rFonts w:ascii="Times New Roman" w:hAnsi="Times New Roman" w:cs="Times New Roman"/>
          <w:i/>
          <w:iCs/>
        </w:rPr>
        <w:t>Edops, Phonerpeton</w:t>
      </w:r>
      <w:r w:rsidRPr="00A155FA">
        <w:rPr>
          <w:rFonts w:ascii="Times New Roman" w:hAnsi="Times New Roman" w:cs="Times New Roman"/>
        </w:rPr>
        <w:t>) are not adjusted following our conservative approach to adjusting codes.</w:t>
      </w:r>
    </w:p>
    <w:p w14:paraId="5DBC2D9E" w14:textId="77777777"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210 (osteoderms, articulation); 211 (osteoderms, width):</w:t>
      </w:r>
      <w:r w:rsidRPr="00A155FA">
        <w:rPr>
          <w:rFonts w:ascii="Times New Roman" w:hAnsi="Times New Roman" w:cs="Times New Roman"/>
        </w:rPr>
        <w:t xml:space="preserve"> any taxon coded for state 209–0 (osteoderms absent) cannot be coded for these characters. Corrected codes include taxa coded for 209-0 and as unknown for character 209.</w:t>
      </w:r>
    </w:p>
    <w:p w14:paraId="172EE7CF" w14:textId="0884D2C4"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Codes were corrected from both 210–0 (simple set of osteoderms arranged in one layer if present) and 211–0 (narrow median osteoderms) for </w:t>
      </w:r>
      <w:r w:rsidRPr="00A155FA">
        <w:rPr>
          <w:rFonts w:ascii="Times New Roman" w:hAnsi="Times New Roman" w:cs="Times New Roman"/>
          <w:i/>
          <w:iCs/>
        </w:rPr>
        <w:t>Proterogyrinus, Greererpeton, Brachydectes, Batropetes</w:t>
      </w:r>
      <w:r w:rsidRPr="00A155FA">
        <w:rPr>
          <w:rFonts w:ascii="Times New Roman" w:hAnsi="Times New Roman" w:cs="Times New Roman"/>
        </w:rPr>
        <w:t xml:space="preserve">, </w:t>
      </w:r>
      <w:r w:rsidRPr="00A155FA">
        <w:rPr>
          <w:rFonts w:ascii="Times New Roman" w:hAnsi="Times New Roman" w:cs="Times New Roman"/>
          <w:i/>
          <w:iCs/>
        </w:rPr>
        <w:t xml:space="preserve">Cochleosaurus, Dendrerpeton, Balanerpeton, Trimerorhachis, Acanthostomatops, Micromelerpeton, Apateon, Micropholis, Platyrhinops, Doleserpeton, Amphibamus, Gerobatrachus, Onchiodon, Eryops, Sclerocephalus, Glanochthon, Archegosaurus, Uranocentrodon, Lydekkerina, Siderops, Batrachosuchus, Edingerella, Trematolestes, Callistomordax, Metoposaurus, Paracyclotosaurus, Mastodonsaurus, </w:t>
      </w:r>
      <w:r w:rsidRPr="00A155FA">
        <w:rPr>
          <w:rFonts w:ascii="Times New Roman" w:hAnsi="Times New Roman" w:cs="Times New Roman"/>
        </w:rPr>
        <w:t xml:space="preserve">and </w:t>
      </w:r>
      <w:r w:rsidRPr="00A155FA">
        <w:rPr>
          <w:rFonts w:ascii="Times New Roman" w:hAnsi="Times New Roman" w:cs="Times New Roman"/>
          <w:i/>
          <w:iCs/>
        </w:rPr>
        <w:t xml:space="preserve">Celtedens. </w:t>
      </w:r>
    </w:p>
    <w:p w14:paraId="7D7FA8C4"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i/>
          <w:iCs/>
        </w:rPr>
        <w:t xml:space="preserve">Acheloma </w:t>
      </w:r>
      <w:r w:rsidRPr="00A155FA">
        <w:rPr>
          <w:rFonts w:ascii="Times New Roman" w:hAnsi="Times New Roman" w:cs="Times New Roman"/>
        </w:rPr>
        <w:t xml:space="preserve">and </w:t>
      </w:r>
      <w:r w:rsidRPr="00A155FA">
        <w:rPr>
          <w:rFonts w:ascii="Times New Roman" w:hAnsi="Times New Roman" w:cs="Times New Roman"/>
          <w:i/>
          <w:iCs/>
        </w:rPr>
        <w:t xml:space="preserve">Phonerpeton </w:t>
      </w:r>
      <w:r w:rsidRPr="00A155FA">
        <w:rPr>
          <w:rFonts w:ascii="Times New Roman" w:hAnsi="Times New Roman" w:cs="Times New Roman"/>
        </w:rPr>
        <w:t xml:space="preserve">were coded unsubstantially for 209–1 and should be 209–0; therefore, their codes were also corrected for 210 and 211. </w:t>
      </w:r>
    </w:p>
    <w:p w14:paraId="257A6CBA"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i/>
          <w:iCs/>
        </w:rPr>
        <w:lastRenderedPageBreak/>
        <w:t xml:space="preserve">Sangaia </w:t>
      </w:r>
      <w:r w:rsidRPr="00A155FA">
        <w:rPr>
          <w:rFonts w:ascii="Times New Roman" w:hAnsi="Times New Roman" w:cs="Times New Roman"/>
        </w:rPr>
        <w:t xml:space="preserve">was unsubstantially coded for 209–0 and should be 209–?; therefore, this code was also corrected for 210 and 211. </w:t>
      </w:r>
    </w:p>
    <w:p w14:paraId="64A9E96B"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Coded as unknown for 209 but coded for 210–0 and 211–0 and corrected to unknown for 210 and 211: </w:t>
      </w:r>
      <w:r w:rsidRPr="00A155FA">
        <w:rPr>
          <w:rFonts w:ascii="Times New Roman" w:hAnsi="Times New Roman" w:cs="Times New Roman"/>
          <w:i/>
          <w:iCs/>
        </w:rPr>
        <w:t>Edops</w:t>
      </w:r>
      <w:r w:rsidRPr="00A155FA">
        <w:rPr>
          <w:rFonts w:ascii="Times New Roman" w:hAnsi="Times New Roman" w:cs="Times New Roman"/>
        </w:rPr>
        <w:t xml:space="preserve">, </w:t>
      </w:r>
      <w:r w:rsidRPr="00A155FA">
        <w:rPr>
          <w:rFonts w:ascii="Times New Roman" w:hAnsi="Times New Roman" w:cs="Times New Roman"/>
          <w:i/>
          <w:iCs/>
        </w:rPr>
        <w:t xml:space="preserve">Zatrachys, Benthosuchus, Trematosaurus, Parotosuchus, </w:t>
      </w:r>
      <w:r w:rsidRPr="00A155FA">
        <w:rPr>
          <w:rFonts w:ascii="Times New Roman" w:hAnsi="Times New Roman" w:cs="Times New Roman"/>
        </w:rPr>
        <w:t xml:space="preserve">and </w:t>
      </w:r>
      <w:r w:rsidRPr="00A155FA">
        <w:rPr>
          <w:rFonts w:ascii="Times New Roman" w:hAnsi="Times New Roman" w:cs="Times New Roman"/>
          <w:i/>
          <w:iCs/>
        </w:rPr>
        <w:t xml:space="preserve">Cyclotosaurus. </w:t>
      </w:r>
    </w:p>
    <w:p w14:paraId="656CA382" w14:textId="57654A7E"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 xml:space="preserve">257 (sphenethmoid); 324 (sphenethmoid); 328 (dorsomedial process of the sphenethmoid); 329 (dorsomedial process of the sphenethmoid); 330 (dorsal sutural surface of the sphenethmoid); 332 (length of lateral walls of sphenethmoid); 333 (floor of sphenethmoid); 341 (anterior wall of sphenethmoid); 342 (anterolateral process of sphenethmoid): </w:t>
      </w:r>
      <w:r w:rsidRPr="00A155FA">
        <w:rPr>
          <w:rFonts w:ascii="Times New Roman" w:hAnsi="Times New Roman" w:cs="Times New Roman"/>
        </w:rPr>
        <w:t xml:space="preserve">all of these characters require identification of a sphenethmoid in the contemporary framework of tetrapod homologies. Especially in recumbirostran ‘microsaurs,’ this has been debated on the basis of CT analyses (e.g., Maddin et al., 2011; Pardo et al., 2015; Szostakiwskyj et al., 2015; Pardo &amp; Anderson, 2016), and favoring the identification of the paired lateral ossifications in these taxa as orbitosphenoids, not as an unpaired sphenethmoid (as was often done historically; e.g., Carroll &amp; Gaskill, 1978). Therefore, </w:t>
      </w:r>
      <w:r w:rsidRPr="00A155FA">
        <w:rPr>
          <w:rFonts w:ascii="Times New Roman" w:hAnsi="Times New Roman" w:cs="Times New Roman"/>
          <w:i/>
          <w:iCs/>
        </w:rPr>
        <w:t xml:space="preserve">Brachydectes </w:t>
      </w:r>
      <w:r w:rsidRPr="00A155FA">
        <w:rPr>
          <w:rFonts w:ascii="Times New Roman" w:hAnsi="Times New Roman" w:cs="Times New Roman"/>
        </w:rPr>
        <w:t xml:space="preserve">and </w:t>
      </w:r>
      <w:r w:rsidRPr="00A155FA">
        <w:rPr>
          <w:rFonts w:ascii="Times New Roman" w:hAnsi="Times New Roman" w:cs="Times New Roman"/>
          <w:i/>
          <w:iCs/>
        </w:rPr>
        <w:t>Rhynchonkos</w:t>
      </w:r>
      <w:r w:rsidRPr="00A155FA">
        <w:rPr>
          <w:rFonts w:ascii="Times New Roman" w:hAnsi="Times New Roman" w:cs="Times New Roman"/>
        </w:rPr>
        <w:t xml:space="preserve"> are recoded as unknown for all characters related to the sphenethmoid (previously they were coded for state 0 for all of the above characters except 330) because CT studies of these taxa have identified paired orbitosphenoids (Szostakiwskyj et al., 2015; Pardo &amp; Anderson, 2016). The more anteriorly extensive ossification found in the brachystelechid </w:t>
      </w:r>
      <w:r w:rsidRPr="00A155FA">
        <w:rPr>
          <w:rFonts w:ascii="Times New Roman" w:hAnsi="Times New Roman" w:cs="Times New Roman"/>
          <w:i/>
          <w:iCs/>
        </w:rPr>
        <w:t xml:space="preserve">Batropetes </w:t>
      </w:r>
      <w:r w:rsidRPr="00A155FA">
        <w:rPr>
          <w:rFonts w:ascii="Times New Roman" w:hAnsi="Times New Roman" w:cs="Times New Roman"/>
        </w:rPr>
        <w:t xml:space="preserve">was assumed by Glienke (2015) to be a more anteriorly extensive sphenethmoid, but CT studies of other brachystelechids have shown that there is a short ossification of the mesethmoid anterior to the orbitosphenoid (Maddin et al., 2011; Pardo et al., 2015). Therefore, this taxon is also recoded as unknown for these sphenethmoid characters (previously it was coded for all of the above characters except 330). </w:t>
      </w:r>
    </w:p>
    <w:p w14:paraId="13C992D0" w14:textId="77777777" w:rsidR="00FA06B2" w:rsidRPr="00A155FA" w:rsidRDefault="00FA06B2" w:rsidP="005229E5">
      <w:pPr>
        <w:pStyle w:val="ListParagraph"/>
        <w:numPr>
          <w:ilvl w:val="0"/>
          <w:numId w:val="3"/>
        </w:numPr>
        <w:tabs>
          <w:tab w:val="left" w:pos="2860"/>
        </w:tabs>
        <w:rPr>
          <w:rFonts w:ascii="Times New Roman" w:hAnsi="Times New Roman" w:cs="Times New Roman"/>
        </w:rPr>
      </w:pPr>
      <w:r w:rsidRPr="00A155FA">
        <w:rPr>
          <w:rFonts w:ascii="Times New Roman" w:hAnsi="Times New Roman" w:cs="Times New Roman"/>
          <w:b/>
          <w:bCs/>
        </w:rPr>
        <w:t>265 (splenial exposed laterally); 267 (ventral border of Meckel’s fossa); 274 (symphysis); 310 (dorsal margin of splenial); 322 (splenial teeth)</w:t>
      </w:r>
      <w:r w:rsidRPr="00A155FA">
        <w:rPr>
          <w:rFonts w:ascii="Times New Roman" w:hAnsi="Times New Roman" w:cs="Times New Roman"/>
        </w:rPr>
        <w:t>: any taxon without a splenial (264–2) cannot be coded for these characters.</w:t>
      </w:r>
    </w:p>
    <w:p w14:paraId="3711EE36" w14:textId="77777777" w:rsidR="00FA06B2" w:rsidRPr="00A155FA" w:rsidRDefault="00FA06B2" w:rsidP="005229E5">
      <w:pPr>
        <w:pStyle w:val="ListParagraph"/>
        <w:numPr>
          <w:ilvl w:val="1"/>
          <w:numId w:val="3"/>
        </w:numPr>
        <w:tabs>
          <w:tab w:val="left" w:pos="2860"/>
        </w:tabs>
        <w:rPr>
          <w:rFonts w:ascii="Times New Roman" w:hAnsi="Times New Roman" w:cs="Times New Roman"/>
        </w:rPr>
      </w:pPr>
      <w:r w:rsidRPr="00A155FA">
        <w:rPr>
          <w:rFonts w:ascii="Times New Roman" w:hAnsi="Times New Roman" w:cs="Times New Roman"/>
          <w:i/>
          <w:iCs/>
        </w:rPr>
        <w:t xml:space="preserve">Rhynchonkos </w:t>
      </w:r>
      <w:r w:rsidRPr="00A155FA">
        <w:rPr>
          <w:rFonts w:ascii="Times New Roman" w:hAnsi="Times New Roman" w:cs="Times New Roman"/>
        </w:rPr>
        <w:t>was corrected from 265–0, 267–1, and 274–0 based on restriction of the OTU to the holotype.</w:t>
      </w:r>
    </w:p>
    <w:p w14:paraId="45EC4D62" w14:textId="1290C7EF" w:rsidR="00FA06B2" w:rsidRPr="00A155FA" w:rsidRDefault="00FA06B2" w:rsidP="005229E5">
      <w:pPr>
        <w:pStyle w:val="ListParagraph"/>
        <w:numPr>
          <w:ilvl w:val="1"/>
          <w:numId w:val="3"/>
        </w:numPr>
        <w:tabs>
          <w:tab w:val="left" w:pos="2860"/>
        </w:tabs>
        <w:rPr>
          <w:rFonts w:ascii="Times New Roman" w:hAnsi="Times New Roman" w:cs="Times New Roman"/>
        </w:rPr>
      </w:pPr>
      <w:r w:rsidRPr="00A155FA">
        <w:rPr>
          <w:rFonts w:ascii="Times New Roman" w:hAnsi="Times New Roman" w:cs="Times New Roman"/>
        </w:rPr>
        <w:t xml:space="preserve">Character 274: Codes were corrected from 274–1 (symphysis formed by dentary alone) for </w:t>
      </w:r>
      <w:r w:rsidRPr="00A155FA">
        <w:rPr>
          <w:rFonts w:ascii="Times New Roman" w:hAnsi="Times New Roman" w:cs="Times New Roman"/>
          <w:i/>
          <w:iCs/>
        </w:rPr>
        <w:t xml:space="preserve">Triadobatrachus, Leptodactylus, Xenopus, Celtedens, Ambystoma, Hynobius, </w:t>
      </w:r>
      <w:r w:rsidRPr="00A155FA">
        <w:rPr>
          <w:rFonts w:ascii="Times New Roman" w:hAnsi="Times New Roman" w:cs="Times New Roman"/>
        </w:rPr>
        <w:t xml:space="preserve">and </w:t>
      </w:r>
      <w:r w:rsidRPr="00A155FA">
        <w:rPr>
          <w:rFonts w:ascii="Times New Roman" w:hAnsi="Times New Roman" w:cs="Times New Roman"/>
          <w:i/>
          <w:iCs/>
        </w:rPr>
        <w:t xml:space="preserve">Cryptobranchus. </w:t>
      </w:r>
    </w:p>
    <w:p w14:paraId="1561722F" w14:textId="77777777" w:rsidR="00FA06B2" w:rsidRPr="00A155FA" w:rsidRDefault="00FA06B2" w:rsidP="005229E5">
      <w:pPr>
        <w:pStyle w:val="ListParagraph"/>
        <w:numPr>
          <w:ilvl w:val="1"/>
          <w:numId w:val="3"/>
        </w:numPr>
        <w:tabs>
          <w:tab w:val="left" w:pos="2860"/>
        </w:tabs>
        <w:rPr>
          <w:rFonts w:ascii="Times New Roman" w:hAnsi="Times New Roman" w:cs="Times New Roman"/>
        </w:rPr>
      </w:pPr>
      <w:r w:rsidRPr="00A155FA">
        <w:rPr>
          <w:rFonts w:ascii="Times New Roman" w:hAnsi="Times New Roman" w:cs="Times New Roman"/>
        </w:rPr>
        <w:t xml:space="preserve">Character 322: Codes were corrected from 322–0 (splenial teeth present) for </w:t>
      </w:r>
      <w:r w:rsidRPr="00A155FA">
        <w:rPr>
          <w:rFonts w:ascii="Times New Roman" w:hAnsi="Times New Roman" w:cs="Times New Roman"/>
          <w:i/>
          <w:iCs/>
        </w:rPr>
        <w:t xml:space="preserve">Ichthyophis </w:t>
      </w:r>
      <w:r w:rsidRPr="00A155FA">
        <w:rPr>
          <w:rFonts w:ascii="Times New Roman" w:hAnsi="Times New Roman" w:cs="Times New Roman"/>
        </w:rPr>
        <w:t xml:space="preserve">and </w:t>
      </w:r>
      <w:r w:rsidRPr="00A155FA">
        <w:rPr>
          <w:rFonts w:ascii="Times New Roman" w:hAnsi="Times New Roman" w:cs="Times New Roman"/>
          <w:i/>
          <w:iCs/>
        </w:rPr>
        <w:t>Epicrionops</w:t>
      </w:r>
      <w:r w:rsidRPr="00A155FA">
        <w:rPr>
          <w:rFonts w:ascii="Times New Roman" w:hAnsi="Times New Roman" w:cs="Times New Roman"/>
        </w:rPr>
        <w:t xml:space="preserve">. Codes were corrected from 322–1 (splenial teeth absent) for </w:t>
      </w:r>
      <w:r w:rsidRPr="00A155FA">
        <w:rPr>
          <w:rFonts w:ascii="Times New Roman" w:hAnsi="Times New Roman" w:cs="Times New Roman"/>
          <w:i/>
          <w:iCs/>
        </w:rPr>
        <w:t xml:space="preserve">Triadobatrachus, Leptodactylus, Celtedens, Ambystoma, Hynobius, </w:t>
      </w:r>
      <w:r w:rsidRPr="00A155FA">
        <w:rPr>
          <w:rFonts w:ascii="Times New Roman" w:hAnsi="Times New Roman" w:cs="Times New Roman"/>
        </w:rPr>
        <w:t xml:space="preserve">and </w:t>
      </w:r>
      <w:r w:rsidRPr="00A155FA">
        <w:rPr>
          <w:rFonts w:ascii="Times New Roman" w:hAnsi="Times New Roman" w:cs="Times New Roman"/>
          <w:i/>
          <w:iCs/>
        </w:rPr>
        <w:t>Cryptobranchus</w:t>
      </w:r>
      <w:r w:rsidRPr="00A155FA">
        <w:rPr>
          <w:rFonts w:ascii="Times New Roman" w:hAnsi="Times New Roman" w:cs="Times New Roman"/>
        </w:rPr>
        <w:t xml:space="preserve">. </w:t>
      </w:r>
    </w:p>
    <w:p w14:paraId="566636C9"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Codes for these five characters were updated from unknown to inapplicable (when originally coded as unknown) for the above taxa as well as for </w:t>
      </w:r>
      <w:r w:rsidRPr="00A155FA">
        <w:rPr>
          <w:rFonts w:ascii="Times New Roman" w:hAnsi="Times New Roman" w:cs="Times New Roman"/>
          <w:i/>
          <w:iCs/>
        </w:rPr>
        <w:t>Eocaecilia</w:t>
      </w:r>
      <w:r w:rsidRPr="00A155FA">
        <w:rPr>
          <w:rFonts w:ascii="Times New Roman" w:hAnsi="Times New Roman" w:cs="Times New Roman"/>
        </w:rPr>
        <w:t xml:space="preserve"> for consistency.</w:t>
      </w:r>
    </w:p>
    <w:p w14:paraId="2A50A253" w14:textId="77777777" w:rsidR="00FA06B2" w:rsidRPr="00A155FA" w:rsidRDefault="00FA06B2" w:rsidP="005229E5">
      <w:pPr>
        <w:pStyle w:val="ListParagraph"/>
        <w:numPr>
          <w:ilvl w:val="0"/>
          <w:numId w:val="3"/>
        </w:numPr>
        <w:tabs>
          <w:tab w:val="left" w:pos="2860"/>
        </w:tabs>
        <w:rPr>
          <w:rFonts w:ascii="Times New Roman" w:hAnsi="Times New Roman" w:cs="Times New Roman"/>
        </w:rPr>
      </w:pPr>
      <w:r w:rsidRPr="00A155FA">
        <w:rPr>
          <w:rFonts w:ascii="Times New Roman" w:hAnsi="Times New Roman" w:cs="Times New Roman"/>
          <w:b/>
          <w:bCs/>
        </w:rPr>
        <w:t xml:space="preserve">266 (Meckelian fossae): </w:t>
      </w:r>
      <w:r w:rsidRPr="00A155FA">
        <w:rPr>
          <w:rFonts w:ascii="Times New Roman" w:hAnsi="Times New Roman" w:cs="Times New Roman"/>
        </w:rPr>
        <w:t xml:space="preserve">this character is confusing largely because of the terminology; the openings on the lingual surface of the lower jaw are not typically referred to as ‘fossae’ in temnospondyls but more commonly as ‘fenestrae,’ ‘foramina,’ or ‘windows.’ This can then be complicated by inconsistent use between workers. Some differentiate the large opening found anteroventral to the adductor fossa that is usually framed by some combination of the postsplenial, the angular, and the prearticular in temnospondyls, </w:t>
      </w:r>
      <w:r w:rsidRPr="00A155FA">
        <w:rPr>
          <w:rFonts w:ascii="Times New Roman" w:hAnsi="Times New Roman" w:cs="Times New Roman"/>
        </w:rPr>
        <w:lastRenderedPageBreak/>
        <w:t>from additional, smaller openings that are often entirely within the postsplenial (e.g., Sawin, 1941:429–430; Milner &amp; Sequeira, 1993:338; Hewison, 2007:36), whereas others refer to any opening on this surface by the same name regardless of relative size or position (e.g., Langston, 1953:387). Based on how the character was originally coded (e.g., for ‘2 or more’ in taxa with only one relatively large opening but several smaller ones), it seems that any opening on the lower half of the lingual surface (i.e., excluding more dorsally situated ones near the glenoid) is counted as a Meckelian fossa in this instance, and this definition is applied here in newly coding the following taxa:</w:t>
      </w:r>
    </w:p>
    <w:p w14:paraId="727013CE" w14:textId="77777777" w:rsidR="00FA06B2" w:rsidRPr="00A155FA" w:rsidRDefault="00FA06B2" w:rsidP="005229E5">
      <w:pPr>
        <w:pStyle w:val="ListParagraph"/>
        <w:numPr>
          <w:ilvl w:val="1"/>
          <w:numId w:val="3"/>
        </w:numPr>
        <w:tabs>
          <w:tab w:val="left" w:pos="2860"/>
        </w:tabs>
        <w:rPr>
          <w:rFonts w:ascii="Times New Roman" w:hAnsi="Times New Roman" w:cs="Times New Roman"/>
        </w:rPr>
      </w:pPr>
      <w:r w:rsidRPr="00A155FA">
        <w:rPr>
          <w:rFonts w:ascii="Times New Roman" w:hAnsi="Times New Roman" w:cs="Times New Roman"/>
        </w:rPr>
        <w:t xml:space="preserve">Codes were newly added for </w:t>
      </w:r>
      <w:r w:rsidRPr="00A155FA">
        <w:rPr>
          <w:rFonts w:ascii="Times New Roman" w:hAnsi="Times New Roman" w:cs="Times New Roman"/>
          <w:i/>
          <w:iCs/>
        </w:rPr>
        <w:t>Acanthostomatops, Zatrachys</w:t>
      </w:r>
      <w:r w:rsidRPr="00A155FA">
        <w:rPr>
          <w:rFonts w:ascii="Times New Roman" w:hAnsi="Times New Roman" w:cs="Times New Roman"/>
        </w:rPr>
        <w:t xml:space="preserve">, </w:t>
      </w:r>
      <w:r w:rsidRPr="00A155FA">
        <w:rPr>
          <w:rFonts w:ascii="Times New Roman" w:hAnsi="Times New Roman" w:cs="Times New Roman"/>
          <w:i/>
          <w:iCs/>
        </w:rPr>
        <w:t>Micromelerpeton, Phonerpeton</w:t>
      </w:r>
      <w:r w:rsidRPr="00A155FA">
        <w:rPr>
          <w:rFonts w:ascii="Times New Roman" w:hAnsi="Times New Roman" w:cs="Times New Roman"/>
        </w:rPr>
        <w:t xml:space="preserve">, </w:t>
      </w:r>
      <w:r w:rsidRPr="00A155FA">
        <w:rPr>
          <w:rFonts w:ascii="Times New Roman" w:hAnsi="Times New Roman" w:cs="Times New Roman"/>
          <w:i/>
          <w:iCs/>
        </w:rPr>
        <w:t>Glanochthon, Plagiosuchus</w:t>
      </w:r>
      <w:r w:rsidRPr="00A155FA">
        <w:rPr>
          <w:rFonts w:ascii="Times New Roman" w:hAnsi="Times New Roman" w:cs="Times New Roman"/>
        </w:rPr>
        <w:t xml:space="preserve">, </w:t>
      </w:r>
      <w:r w:rsidRPr="00A155FA">
        <w:rPr>
          <w:rFonts w:ascii="Times New Roman" w:hAnsi="Times New Roman" w:cs="Times New Roman"/>
          <w:i/>
          <w:iCs/>
        </w:rPr>
        <w:t xml:space="preserve">Trematosaurus, Parotosuchus, </w:t>
      </w:r>
      <w:r w:rsidRPr="00A155FA">
        <w:rPr>
          <w:rFonts w:ascii="Times New Roman" w:hAnsi="Times New Roman" w:cs="Times New Roman"/>
        </w:rPr>
        <w:t xml:space="preserve">and </w:t>
      </w:r>
      <w:r w:rsidRPr="00A155FA">
        <w:rPr>
          <w:rFonts w:ascii="Times New Roman" w:hAnsi="Times New Roman" w:cs="Times New Roman"/>
          <w:i/>
          <w:iCs/>
        </w:rPr>
        <w:t>Paracyclotosaurus</w:t>
      </w:r>
      <w:r w:rsidRPr="00A155FA">
        <w:rPr>
          <w:rFonts w:ascii="Times New Roman" w:hAnsi="Times New Roman" w:cs="Times New Roman"/>
        </w:rPr>
        <w:t>. Many of these are coded for partial uncertainty, as there is at least one large posterior opening, but the possible presence of additional small openings anteriorly is unclear due to limited exposure or poor preservation.</w:t>
      </w:r>
    </w:p>
    <w:p w14:paraId="0E8FFBD8" w14:textId="77777777" w:rsidR="00FA06B2" w:rsidRPr="00A155FA" w:rsidRDefault="00FA06B2" w:rsidP="005229E5">
      <w:pPr>
        <w:pStyle w:val="ListParagraph"/>
        <w:numPr>
          <w:ilvl w:val="0"/>
          <w:numId w:val="3"/>
        </w:numPr>
        <w:tabs>
          <w:tab w:val="left" w:pos="2860"/>
        </w:tabs>
        <w:rPr>
          <w:rFonts w:ascii="Times New Roman" w:hAnsi="Times New Roman" w:cs="Times New Roman"/>
        </w:rPr>
      </w:pPr>
      <w:r w:rsidRPr="00A155FA">
        <w:rPr>
          <w:rFonts w:ascii="Times New Roman" w:hAnsi="Times New Roman" w:cs="Times New Roman"/>
          <w:b/>
          <w:bCs/>
        </w:rPr>
        <w:t>300 (coracoid foramina):</w:t>
      </w:r>
      <w:r w:rsidRPr="00A155FA">
        <w:rPr>
          <w:rFonts w:ascii="Times New Roman" w:hAnsi="Times New Roman" w:cs="Times New Roman"/>
        </w:rPr>
        <w:t xml:space="preserve"> state 2 was changed from ‘2’ to ‘2 or more’ to account for the presence of up to three foramina in </w:t>
      </w:r>
      <w:r w:rsidRPr="00A155FA">
        <w:rPr>
          <w:rFonts w:ascii="Times New Roman" w:hAnsi="Times New Roman" w:cs="Times New Roman"/>
          <w:i/>
          <w:iCs/>
        </w:rPr>
        <w:t xml:space="preserve">Sclerocephalus </w:t>
      </w:r>
      <w:r w:rsidRPr="00A155FA">
        <w:rPr>
          <w:rFonts w:ascii="Times New Roman" w:hAnsi="Times New Roman" w:cs="Times New Roman"/>
        </w:rPr>
        <w:t>(Boy, 1988).</w:t>
      </w:r>
    </w:p>
    <w:p w14:paraId="44BD594C" w14:textId="77777777" w:rsidR="00FA06B2" w:rsidRPr="00A155FA" w:rsidRDefault="00FA06B2" w:rsidP="005229E5">
      <w:pPr>
        <w:pStyle w:val="ListParagraph"/>
        <w:numPr>
          <w:ilvl w:val="0"/>
          <w:numId w:val="3"/>
        </w:numPr>
        <w:tabs>
          <w:tab w:val="left" w:pos="2860"/>
        </w:tabs>
        <w:rPr>
          <w:rFonts w:ascii="Times New Roman" w:hAnsi="Times New Roman" w:cs="Times New Roman"/>
        </w:rPr>
      </w:pPr>
      <w:r w:rsidRPr="00A155FA">
        <w:rPr>
          <w:rFonts w:ascii="Times New Roman" w:hAnsi="Times New Roman" w:cs="Times New Roman"/>
          <w:b/>
          <w:bCs/>
        </w:rPr>
        <w:t xml:space="preserve">316 (squamosal-frontal contact): </w:t>
      </w:r>
      <w:r w:rsidRPr="00A155FA">
        <w:rPr>
          <w:rFonts w:ascii="Times New Roman" w:hAnsi="Times New Roman" w:cs="Times New Roman"/>
        </w:rPr>
        <w:t>the original coding for this character is peculiar, as this contact is absent in all temnospondyls in which these two elements are defined, but the character was largely recoded as unknown for temnospondyls except for the majority of capitosaurs and trematosaurs. These codes were updated for all taxa where these two elements are defined.</w:t>
      </w:r>
    </w:p>
    <w:p w14:paraId="2F178B8E" w14:textId="77777777" w:rsidR="00FA06B2" w:rsidRPr="00A155FA" w:rsidRDefault="00FA06B2" w:rsidP="00A30351">
      <w:pPr>
        <w:pStyle w:val="ListParagraph"/>
        <w:numPr>
          <w:ilvl w:val="0"/>
          <w:numId w:val="3"/>
        </w:numPr>
        <w:tabs>
          <w:tab w:val="left" w:pos="2860"/>
        </w:tabs>
        <w:rPr>
          <w:rFonts w:ascii="Times New Roman" w:hAnsi="Times New Roman" w:cs="Times New Roman"/>
        </w:rPr>
      </w:pPr>
      <w:r w:rsidRPr="00A155FA">
        <w:rPr>
          <w:rFonts w:ascii="Times New Roman" w:hAnsi="Times New Roman" w:cs="Times New Roman"/>
          <w:b/>
          <w:bCs/>
        </w:rPr>
        <w:t xml:space="preserve">318 (quadrate-maxilla): </w:t>
      </w:r>
      <w:r w:rsidRPr="00A155FA">
        <w:rPr>
          <w:rFonts w:ascii="Times New Roman" w:hAnsi="Times New Roman" w:cs="Times New Roman"/>
        </w:rPr>
        <w:t xml:space="preserve">this is another character for which the omissions are strange. State 1 is only found in gymnophionans, but several ‘lepospondyls’ and temnospondyls were left as unknown: </w:t>
      </w:r>
      <w:r w:rsidRPr="00A155FA">
        <w:rPr>
          <w:rFonts w:ascii="Times New Roman" w:hAnsi="Times New Roman" w:cs="Times New Roman"/>
          <w:i/>
          <w:iCs/>
        </w:rPr>
        <w:t>Brachydectes, Batropetes, Zatrachys, Micromelerpeton, Cacops, Broiliellus</w:t>
      </w:r>
      <w:r w:rsidRPr="00A155FA">
        <w:rPr>
          <w:rFonts w:ascii="Times New Roman" w:hAnsi="Times New Roman" w:cs="Times New Roman"/>
        </w:rPr>
        <w:t xml:space="preserve">, and </w:t>
      </w:r>
      <w:r w:rsidRPr="00A155FA">
        <w:rPr>
          <w:rFonts w:ascii="Times New Roman" w:hAnsi="Times New Roman" w:cs="Times New Roman"/>
          <w:i/>
          <w:iCs/>
        </w:rPr>
        <w:t>Uranocentrodon</w:t>
      </w:r>
      <w:r w:rsidRPr="00A155FA">
        <w:rPr>
          <w:rFonts w:ascii="Times New Roman" w:hAnsi="Times New Roman" w:cs="Times New Roman"/>
        </w:rPr>
        <w:t xml:space="preserve">. Of these, the condition is figured or described in all but </w:t>
      </w:r>
      <w:r w:rsidRPr="00A155FA">
        <w:rPr>
          <w:rFonts w:ascii="Times New Roman" w:hAnsi="Times New Roman" w:cs="Times New Roman"/>
          <w:i/>
          <w:iCs/>
        </w:rPr>
        <w:t xml:space="preserve">Broiliellus, </w:t>
      </w:r>
      <w:r w:rsidRPr="00A155FA">
        <w:rPr>
          <w:rFonts w:ascii="Times New Roman" w:hAnsi="Times New Roman" w:cs="Times New Roman"/>
        </w:rPr>
        <w:t>the holotype of the type species of which has tightly occluded mandibles that obscure the quadrates. All other taxa were newly coded to state 0.</w:t>
      </w:r>
    </w:p>
    <w:p w14:paraId="3551A359" w14:textId="77777777"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 xml:space="preserve">319 (quadrate-maxillopalatine): </w:t>
      </w:r>
      <w:r w:rsidRPr="00A155FA">
        <w:rPr>
          <w:rFonts w:ascii="Times New Roman" w:hAnsi="Times New Roman" w:cs="Times New Roman"/>
        </w:rPr>
        <w:t xml:space="preserve">this is a caecilian character that should not be coded for taxa lacking a maxillopalatine, even if they retain separate maxillae and palatines. A few temnospondyls with known palates were also previously left as uncoded (e.g., </w:t>
      </w:r>
      <w:r w:rsidRPr="00A155FA">
        <w:rPr>
          <w:rFonts w:ascii="Times New Roman" w:hAnsi="Times New Roman" w:cs="Times New Roman"/>
          <w:i/>
          <w:iCs/>
        </w:rPr>
        <w:t>Zatrachys, Micromelerpeton</w:t>
      </w:r>
      <w:r w:rsidRPr="00A155FA">
        <w:rPr>
          <w:rFonts w:ascii="Times New Roman" w:hAnsi="Times New Roman" w:cs="Times New Roman"/>
        </w:rPr>
        <w:t>).</w:t>
      </w:r>
      <w:r w:rsidRPr="00A155FA">
        <w:rPr>
          <w:rFonts w:ascii="Times New Roman" w:hAnsi="Times New Roman" w:cs="Times New Roman"/>
          <w:i/>
          <w:iCs/>
        </w:rPr>
        <w:t xml:space="preserve"> </w:t>
      </w:r>
      <w:r w:rsidRPr="00A155FA">
        <w:rPr>
          <w:rFonts w:ascii="Times New Roman" w:hAnsi="Times New Roman" w:cs="Times New Roman"/>
        </w:rPr>
        <w:t xml:space="preserve">Codes were therefore changed to inapplicable for all non-lissamphibians, including </w:t>
      </w:r>
      <w:r w:rsidRPr="00A155FA">
        <w:rPr>
          <w:rFonts w:ascii="Times New Roman" w:hAnsi="Times New Roman" w:cs="Times New Roman"/>
          <w:i/>
          <w:iCs/>
        </w:rPr>
        <w:t xml:space="preserve">Chinlestegophis, </w:t>
      </w:r>
      <w:r w:rsidRPr="00A155FA">
        <w:rPr>
          <w:rFonts w:ascii="Times New Roman" w:hAnsi="Times New Roman" w:cs="Times New Roman"/>
        </w:rPr>
        <w:t>which lacks a maxillopalatine regardless of the validity of the interpreted fusion of the maxilla and lacrimal in this taxon.</w:t>
      </w:r>
    </w:p>
    <w:p w14:paraId="17F4623B" w14:textId="39629141"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Codes were corrected from 319–0 (quadrate and maxillopalatine contact laterally) for </w:t>
      </w:r>
      <w:r w:rsidRPr="00A155FA">
        <w:rPr>
          <w:rFonts w:ascii="Times New Roman" w:hAnsi="Times New Roman" w:cs="Times New Roman"/>
          <w:i/>
          <w:iCs/>
        </w:rPr>
        <w:t>Brachydectes, Batropetes</w:t>
      </w:r>
      <w:r w:rsidRPr="00A155FA">
        <w:rPr>
          <w:rFonts w:ascii="Times New Roman" w:hAnsi="Times New Roman" w:cs="Times New Roman"/>
        </w:rPr>
        <w:t xml:space="preserve">, and </w:t>
      </w:r>
      <w:r w:rsidRPr="00A155FA">
        <w:rPr>
          <w:rFonts w:ascii="Times New Roman" w:hAnsi="Times New Roman" w:cs="Times New Roman"/>
          <w:i/>
          <w:iCs/>
        </w:rPr>
        <w:t>Rhynchonkos</w:t>
      </w:r>
      <w:r w:rsidRPr="00A155FA">
        <w:rPr>
          <w:rFonts w:ascii="Times New Roman" w:hAnsi="Times New Roman" w:cs="Times New Roman"/>
        </w:rPr>
        <w:t xml:space="preserve">. Codes were corrected from 319–1 (quadrate and maxillopalatine do not contact laterally) for </w:t>
      </w:r>
      <w:r w:rsidRPr="00A155FA">
        <w:rPr>
          <w:rFonts w:ascii="Times New Roman" w:hAnsi="Times New Roman" w:cs="Times New Roman"/>
          <w:i/>
          <w:iCs/>
        </w:rPr>
        <w:t>Proterogyrinus, Greererpeton, Edops, Cochleosaurus, Dendrerpeton, Balanerpeton, Trimerorhachis, Acanthostomatops, Apateon, Micropholis, Platyrhinops, Doleserpeton, Amphibamus, Gerobatrachus, Dissorophus, Acheloma, Phonerpeton, Onchiodon, Eryops, Sclerocephalus, Glanochthon, Archegosaurus, Lydekkerina, Siderops, Batrachosuchus, Plagiosuchus, Sangaia, Gerrothorax, Edingerella, Benthosuchus, Trematolestes, Lyrocephaliscus, Callistomordax, Parotosuchus, Paracyclotosaurus, Mastodonsaurus, Rileymillerus</w:t>
      </w:r>
      <w:r w:rsidRPr="00A155FA">
        <w:rPr>
          <w:rFonts w:ascii="Times New Roman" w:hAnsi="Times New Roman" w:cs="Times New Roman"/>
        </w:rPr>
        <w:t xml:space="preserve">, and </w:t>
      </w:r>
      <w:r w:rsidRPr="00A155FA">
        <w:rPr>
          <w:rFonts w:ascii="Times New Roman" w:hAnsi="Times New Roman" w:cs="Times New Roman"/>
          <w:i/>
          <w:iCs/>
        </w:rPr>
        <w:t>Chinlestegophis</w:t>
      </w:r>
      <w:r w:rsidRPr="00A155FA">
        <w:rPr>
          <w:rFonts w:ascii="Times New Roman" w:hAnsi="Times New Roman" w:cs="Times New Roman"/>
        </w:rPr>
        <w:t xml:space="preserve">. </w:t>
      </w:r>
    </w:p>
    <w:p w14:paraId="15691D32" w14:textId="7E3EF799" w:rsidR="00FA06B2" w:rsidRPr="00A155FA" w:rsidRDefault="00FA06B2" w:rsidP="005229E5">
      <w:pPr>
        <w:pStyle w:val="ListParagraph"/>
        <w:numPr>
          <w:ilvl w:val="0"/>
          <w:numId w:val="3"/>
        </w:numPr>
        <w:tabs>
          <w:tab w:val="left" w:pos="2860"/>
        </w:tabs>
        <w:rPr>
          <w:rFonts w:ascii="Times New Roman" w:hAnsi="Times New Roman" w:cs="Times New Roman"/>
        </w:rPr>
      </w:pPr>
      <w:bookmarkStart w:id="13" w:name="_Hlk98242199"/>
      <w:r w:rsidRPr="00A155FA">
        <w:rPr>
          <w:rFonts w:ascii="Times New Roman" w:hAnsi="Times New Roman" w:cs="Times New Roman"/>
          <w:b/>
          <w:bCs/>
        </w:rPr>
        <w:t>321 (tentacle):</w:t>
      </w:r>
      <w:r w:rsidRPr="00A155FA">
        <w:rPr>
          <w:rFonts w:ascii="Times New Roman" w:hAnsi="Times New Roman" w:cs="Times New Roman"/>
        </w:rPr>
        <w:t xml:space="preserve"> the presence of an osteological correlate for the tentacular organ is a derived condition found in all extant gymnophionans, </w:t>
      </w:r>
      <w:r w:rsidRPr="00A155FA">
        <w:rPr>
          <w:rFonts w:ascii="Times New Roman" w:hAnsi="Times New Roman" w:cs="Times New Roman"/>
          <w:i/>
          <w:iCs/>
        </w:rPr>
        <w:t>Eocaecilia</w:t>
      </w:r>
      <w:r w:rsidRPr="00A155FA">
        <w:rPr>
          <w:rFonts w:ascii="Times New Roman" w:hAnsi="Times New Roman" w:cs="Times New Roman"/>
        </w:rPr>
        <w:t xml:space="preserve">, and perhaps in </w:t>
      </w:r>
      <w:r w:rsidRPr="00A155FA">
        <w:rPr>
          <w:rFonts w:ascii="Times New Roman" w:hAnsi="Times New Roman" w:cs="Times New Roman"/>
          <w:i/>
          <w:iCs/>
        </w:rPr>
        <w:t>Chinlestegophis</w:t>
      </w:r>
      <w:r w:rsidRPr="00A155FA">
        <w:rPr>
          <w:rFonts w:ascii="Times New Roman" w:hAnsi="Times New Roman" w:cs="Times New Roman"/>
        </w:rPr>
        <w:t xml:space="preserve">. Extant gymnophionans provide the only examples of the soft-tissue </w:t>
      </w:r>
      <w:r w:rsidRPr="00A155FA">
        <w:rPr>
          <w:rFonts w:ascii="Times New Roman" w:hAnsi="Times New Roman" w:cs="Times New Roman"/>
        </w:rPr>
        <w:lastRenderedPageBreak/>
        <w:t xml:space="preserve">tentacular organ and its osteological correlate; therefore, coding of this feature for fossils </w:t>
      </w:r>
      <w:r w:rsidR="003134B0">
        <w:rPr>
          <w:rFonts w:ascii="Times New Roman" w:hAnsi="Times New Roman" w:cs="Times New Roman"/>
        </w:rPr>
        <w:t>in which</w:t>
      </w:r>
      <w:r w:rsidRPr="00A155FA">
        <w:rPr>
          <w:rFonts w:ascii="Times New Roman" w:hAnsi="Times New Roman" w:cs="Times New Roman"/>
        </w:rPr>
        <w:t xml:space="preserve"> soft tissue features representing the tentacular organ are not preserved requires the presence of morphology similar to the osteological correlate of this feature in extant gymnophionans. In extant gymnophionans</w:t>
      </w:r>
      <w:r w:rsidR="005F4FE8">
        <w:rPr>
          <w:rFonts w:ascii="Times New Roman" w:hAnsi="Times New Roman" w:cs="Times New Roman"/>
        </w:rPr>
        <w:t>,</w:t>
      </w:r>
      <w:r w:rsidRPr="00A155FA">
        <w:rPr>
          <w:rFonts w:ascii="Times New Roman" w:hAnsi="Times New Roman" w:cs="Times New Roman"/>
        </w:rPr>
        <w:t xml:space="preserve"> the osteological correlate for the tentacular organ occupies a single fossa </w:t>
      </w:r>
      <w:proofErr w:type="spellStart"/>
      <w:r w:rsidRPr="00A155FA">
        <w:rPr>
          <w:rFonts w:ascii="Times New Roman" w:hAnsi="Times New Roman" w:cs="Times New Roman"/>
        </w:rPr>
        <w:t>transversing</w:t>
      </w:r>
      <w:proofErr w:type="spellEnd"/>
      <w:r w:rsidRPr="00A155FA">
        <w:rPr>
          <w:rFonts w:ascii="Times New Roman" w:hAnsi="Times New Roman" w:cs="Times New Roman"/>
        </w:rPr>
        <w:t xml:space="preserve"> the anteroventral orbital margin of the maxillopalatine or a single aperture in the maxillopalatine anterior to and separate from the orbit; therefore, coding the presence of an osteological correlate in a fossil lacking soft tissue preservation requires the following: the presence of only a single fossa or aperture; and, presence of th</w:t>
      </w:r>
      <w:r w:rsidR="005F4FE8">
        <w:rPr>
          <w:rFonts w:ascii="Times New Roman" w:hAnsi="Times New Roman" w:cs="Times New Roman"/>
        </w:rPr>
        <w:t>at</w:t>
      </w:r>
      <w:r w:rsidRPr="00A155FA">
        <w:rPr>
          <w:rFonts w:ascii="Times New Roman" w:hAnsi="Times New Roman" w:cs="Times New Roman"/>
        </w:rPr>
        <w:t xml:space="preserve"> fossa or aperture on the anterior orbital margin or anterior to the orbital margin. The presence of multiple branches of the nasolacrimal duct exiting the skull just anterior to the orbital margin in taxa like </w:t>
      </w:r>
      <w:r w:rsidRPr="00A155FA">
        <w:rPr>
          <w:rFonts w:ascii="Times New Roman" w:hAnsi="Times New Roman" w:cs="Times New Roman"/>
          <w:i/>
          <w:iCs/>
        </w:rPr>
        <w:t>Pasawioops mayi</w:t>
      </w:r>
      <w:r w:rsidRPr="00A155FA">
        <w:rPr>
          <w:rFonts w:ascii="Times New Roman" w:hAnsi="Times New Roman" w:cs="Times New Roman"/>
        </w:rPr>
        <w:t xml:space="preserve"> should not be regarded as an osteological correlate for the tentacular organ based on the presence of only a single fossa or aperture for the tentacular organ in extant gymnophionomorphs (Anderson and Bolt, 2013; Pardo et al., 2017a). </w:t>
      </w:r>
      <w:bookmarkEnd w:id="13"/>
      <w:r w:rsidRPr="00A155FA">
        <w:rPr>
          <w:rFonts w:ascii="Times New Roman" w:hAnsi="Times New Roman" w:cs="Times New Roman"/>
        </w:rPr>
        <w:t xml:space="preserve">The character was coded for 321–0 (tentacle absent) in the majority of temnospondyls, but not for any non-metoposaurid trematosaurs or early diverging stereospondyls. This presented as a strange pattern, and there were instances where one member of a clade was coded (for 321–0, absent) but another member of no poorer quality was not (e.g., </w:t>
      </w:r>
      <w:r w:rsidRPr="00A155FA">
        <w:rPr>
          <w:rFonts w:ascii="Times New Roman" w:hAnsi="Times New Roman" w:cs="Times New Roman"/>
          <w:i/>
          <w:iCs/>
        </w:rPr>
        <w:t xml:space="preserve">Acanthostomatops </w:t>
      </w:r>
      <w:r w:rsidRPr="00A155FA">
        <w:rPr>
          <w:rFonts w:ascii="Times New Roman" w:hAnsi="Times New Roman" w:cs="Times New Roman"/>
        </w:rPr>
        <w:t xml:space="preserve">was coded but </w:t>
      </w:r>
      <w:r w:rsidRPr="00A155FA">
        <w:rPr>
          <w:rFonts w:ascii="Times New Roman" w:hAnsi="Times New Roman" w:cs="Times New Roman"/>
          <w:i/>
          <w:iCs/>
        </w:rPr>
        <w:t xml:space="preserve">Zatrachys </w:t>
      </w:r>
      <w:r w:rsidRPr="00A155FA">
        <w:rPr>
          <w:rFonts w:ascii="Times New Roman" w:hAnsi="Times New Roman" w:cs="Times New Roman"/>
        </w:rPr>
        <w:t xml:space="preserve">was not). The possible correlate of the tentacle that Pardo et al. (2017a) identified in </w:t>
      </w:r>
      <w:r w:rsidRPr="00A155FA">
        <w:rPr>
          <w:rFonts w:ascii="Times New Roman" w:hAnsi="Times New Roman" w:cs="Times New Roman"/>
          <w:i/>
          <w:iCs/>
        </w:rPr>
        <w:t xml:space="preserve">Chinlestegophis </w:t>
      </w:r>
      <w:r w:rsidRPr="00A155FA">
        <w:rPr>
          <w:rFonts w:ascii="Times New Roman" w:hAnsi="Times New Roman" w:cs="Times New Roman"/>
        </w:rPr>
        <w:t xml:space="preserve">is a sulcus below the orbit in the position where the nasolacrimal duct normally passes through the lacrimal. Uncoded taxa were generally, but not always, aquatic taxa with lateral line systems, and the coding of some taxa with lateral lines (e.g., </w:t>
      </w:r>
      <w:r w:rsidRPr="00A155FA">
        <w:rPr>
          <w:rFonts w:ascii="Times New Roman" w:hAnsi="Times New Roman" w:cs="Times New Roman"/>
          <w:i/>
          <w:iCs/>
        </w:rPr>
        <w:t>Mastodonsaurus</w:t>
      </w:r>
      <w:r w:rsidRPr="00A155FA">
        <w:rPr>
          <w:rFonts w:ascii="Times New Roman" w:hAnsi="Times New Roman" w:cs="Times New Roman"/>
        </w:rPr>
        <w:t xml:space="preserve">) and the lack of coding for some without (e.g., </w:t>
      </w:r>
      <w:r w:rsidRPr="00A155FA">
        <w:rPr>
          <w:rFonts w:ascii="Times New Roman" w:hAnsi="Times New Roman" w:cs="Times New Roman"/>
          <w:i/>
          <w:iCs/>
        </w:rPr>
        <w:t>Cacops</w:t>
      </w:r>
      <w:r w:rsidRPr="00A155FA">
        <w:rPr>
          <w:rFonts w:ascii="Times New Roman" w:hAnsi="Times New Roman" w:cs="Times New Roman"/>
        </w:rPr>
        <w:t xml:space="preserve">) suggests that these cells were not left uncoded because of uncertainty about whether a groove represented a lateral line, the nasolacrimal duct, or a tentacle. The identification of a tentacular correlate in </w:t>
      </w:r>
      <w:r w:rsidRPr="00A155FA">
        <w:rPr>
          <w:rFonts w:ascii="Times New Roman" w:hAnsi="Times New Roman" w:cs="Times New Roman"/>
          <w:i/>
          <w:iCs/>
        </w:rPr>
        <w:t xml:space="preserve">Chinlestegophis </w:t>
      </w:r>
      <w:r w:rsidRPr="00A155FA">
        <w:rPr>
          <w:rFonts w:ascii="Times New Roman" w:hAnsi="Times New Roman" w:cs="Times New Roman"/>
        </w:rPr>
        <w:t xml:space="preserve">remains to be further explored (Pardo et al., 2017a, equivocated on the issue and coded it for partial uncertainty). </w:t>
      </w:r>
    </w:p>
    <w:p w14:paraId="7C91BDA2" w14:textId="77777777" w:rsidR="00FA06B2" w:rsidRPr="00A155FA" w:rsidRDefault="00FA06B2" w:rsidP="005229E5">
      <w:pPr>
        <w:pStyle w:val="ListParagraph"/>
        <w:numPr>
          <w:ilvl w:val="1"/>
          <w:numId w:val="3"/>
        </w:numPr>
        <w:tabs>
          <w:tab w:val="left" w:pos="2860"/>
        </w:tabs>
        <w:rPr>
          <w:rFonts w:ascii="Times New Roman" w:hAnsi="Times New Roman" w:cs="Times New Roman"/>
        </w:rPr>
      </w:pPr>
      <w:r w:rsidRPr="00A155FA">
        <w:rPr>
          <w:rFonts w:ascii="Times New Roman" w:hAnsi="Times New Roman" w:cs="Times New Roman"/>
        </w:rPr>
        <w:t xml:space="preserve">All taxa with sufficiently preserved suborbital regions were newly coded for 321–0 in the absence of the identification of a similar sulcus. This includes </w:t>
      </w:r>
      <w:r w:rsidRPr="00A155FA">
        <w:rPr>
          <w:rFonts w:ascii="Times New Roman" w:hAnsi="Times New Roman" w:cs="Times New Roman"/>
          <w:i/>
          <w:iCs/>
        </w:rPr>
        <w:t xml:space="preserve">Zatrachys, Micromelerpeton, Cacops, Broiliellus, Uranocentrodon, Lydekkerina, Siderops, Batrachosuchus, Plagiosuchus, Sangaia, Gerrothorax, Edingerella, Benthosuchus, Trematosaurus, Trematolestes, Lyrocephaliscus, Callistomordax, Metoposaurus, </w:t>
      </w:r>
      <w:r w:rsidRPr="00A155FA">
        <w:rPr>
          <w:rFonts w:ascii="Times New Roman" w:hAnsi="Times New Roman" w:cs="Times New Roman"/>
        </w:rPr>
        <w:t xml:space="preserve">and </w:t>
      </w:r>
      <w:r w:rsidRPr="00A155FA">
        <w:rPr>
          <w:rFonts w:ascii="Times New Roman" w:hAnsi="Times New Roman" w:cs="Times New Roman"/>
          <w:i/>
          <w:iCs/>
        </w:rPr>
        <w:t>Rileymillerus</w:t>
      </w:r>
      <w:r w:rsidRPr="00A155FA">
        <w:rPr>
          <w:rFonts w:ascii="Times New Roman" w:hAnsi="Times New Roman" w:cs="Times New Roman"/>
        </w:rPr>
        <w:t>.</w:t>
      </w:r>
    </w:p>
    <w:p w14:paraId="7E24F213" w14:textId="77777777" w:rsidR="00FA06B2" w:rsidRPr="00A155FA" w:rsidRDefault="00FA06B2" w:rsidP="005229E5">
      <w:pPr>
        <w:pStyle w:val="ListParagraph"/>
        <w:numPr>
          <w:ilvl w:val="0"/>
          <w:numId w:val="3"/>
        </w:numPr>
        <w:tabs>
          <w:tab w:val="left" w:pos="2860"/>
        </w:tabs>
        <w:rPr>
          <w:rFonts w:ascii="Times New Roman" w:hAnsi="Times New Roman" w:cs="Times New Roman"/>
          <w:b/>
          <w:bCs/>
          <w:u w:val="single"/>
        </w:rPr>
      </w:pPr>
      <w:r w:rsidRPr="00A155FA">
        <w:rPr>
          <w:rFonts w:ascii="Times New Roman" w:hAnsi="Times New Roman" w:cs="Times New Roman"/>
          <w:b/>
          <w:bCs/>
        </w:rPr>
        <w:t>324 (sphenethmoid); 328 (dorsomedial process of the sphenethmoid); 329 (dorsomedial process of the sphenethmoid); 330 (dorsal sutural surface of the sphenethmoid); 332 (length of the lateral walls of the sphenethmoid); 341 (anterior wall of sphenethmoid); 342 (anterolateral process of sphenethmoid)</w:t>
      </w:r>
      <w:r w:rsidRPr="00A155FA">
        <w:rPr>
          <w:rFonts w:ascii="Times New Roman" w:hAnsi="Times New Roman" w:cs="Times New Roman"/>
        </w:rPr>
        <w:t>: any taxon coded for 257–1 (sphenethmoid unossified) cannot be coded for these characters.</w:t>
      </w:r>
    </w:p>
    <w:p w14:paraId="6A67B76A"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Character 324: Codes were corrected from 324–0 (sphenethmoid covered dorsally) for </w:t>
      </w:r>
      <w:r w:rsidRPr="00A155FA">
        <w:rPr>
          <w:rFonts w:ascii="Times New Roman" w:hAnsi="Times New Roman" w:cs="Times New Roman"/>
          <w:i/>
          <w:iCs/>
        </w:rPr>
        <w:t xml:space="preserve">Acanthostomatops, Apateon, </w:t>
      </w:r>
      <w:r w:rsidRPr="00A155FA">
        <w:rPr>
          <w:rFonts w:ascii="Times New Roman" w:hAnsi="Times New Roman" w:cs="Times New Roman"/>
        </w:rPr>
        <w:t xml:space="preserve">and </w:t>
      </w:r>
      <w:r w:rsidRPr="00A155FA">
        <w:rPr>
          <w:rFonts w:ascii="Times New Roman" w:hAnsi="Times New Roman" w:cs="Times New Roman"/>
          <w:i/>
          <w:iCs/>
        </w:rPr>
        <w:t>Amphibamus</w:t>
      </w:r>
      <w:r w:rsidRPr="00A155FA">
        <w:rPr>
          <w:rFonts w:ascii="Times New Roman" w:hAnsi="Times New Roman" w:cs="Times New Roman"/>
        </w:rPr>
        <w:t xml:space="preserve">. </w:t>
      </w:r>
    </w:p>
    <w:p w14:paraId="27F448BB" w14:textId="77777777" w:rsidR="00FA06B2" w:rsidRPr="00A155FA" w:rsidRDefault="00FA06B2" w:rsidP="005229E5">
      <w:pPr>
        <w:pStyle w:val="ListParagraph"/>
        <w:numPr>
          <w:ilvl w:val="1"/>
          <w:numId w:val="3"/>
        </w:numPr>
        <w:tabs>
          <w:tab w:val="left" w:pos="2860"/>
        </w:tabs>
        <w:rPr>
          <w:rFonts w:ascii="Times New Roman" w:hAnsi="Times New Roman" w:cs="Times New Roman"/>
          <w:b/>
          <w:bCs/>
          <w:u w:val="single"/>
        </w:rPr>
      </w:pPr>
      <w:r w:rsidRPr="00A155FA">
        <w:rPr>
          <w:rFonts w:ascii="Times New Roman" w:hAnsi="Times New Roman" w:cs="Times New Roman"/>
        </w:rPr>
        <w:t xml:space="preserve">Codes for these seven characters were updated from unknown to inapplicable (when originally coded as unknown) for the above taxa as well as for </w:t>
      </w:r>
      <w:r w:rsidRPr="00A155FA">
        <w:rPr>
          <w:rFonts w:ascii="Times New Roman" w:hAnsi="Times New Roman" w:cs="Times New Roman"/>
          <w:i/>
          <w:iCs/>
        </w:rPr>
        <w:t>Siderops, Batrachosuchus, Trematolestes, Lyrocephaliscus, Callistomordax</w:t>
      </w:r>
      <w:r w:rsidRPr="00A155FA">
        <w:rPr>
          <w:rFonts w:ascii="Times New Roman" w:hAnsi="Times New Roman" w:cs="Times New Roman"/>
        </w:rPr>
        <w:t xml:space="preserve">, </w:t>
      </w:r>
      <w:r w:rsidRPr="00A155FA">
        <w:rPr>
          <w:rFonts w:ascii="Times New Roman" w:hAnsi="Times New Roman" w:cs="Times New Roman"/>
          <w:i/>
          <w:iCs/>
        </w:rPr>
        <w:t xml:space="preserve">Rileymillerus, </w:t>
      </w:r>
      <w:r w:rsidRPr="00A155FA">
        <w:rPr>
          <w:rFonts w:ascii="Times New Roman" w:hAnsi="Times New Roman" w:cs="Times New Roman"/>
        </w:rPr>
        <w:t xml:space="preserve">and </w:t>
      </w:r>
      <w:r w:rsidRPr="00A155FA">
        <w:rPr>
          <w:rFonts w:ascii="Times New Roman" w:hAnsi="Times New Roman" w:cs="Times New Roman"/>
          <w:i/>
          <w:iCs/>
        </w:rPr>
        <w:t>Chinlestegophis</w:t>
      </w:r>
      <w:r w:rsidRPr="00A155FA">
        <w:rPr>
          <w:rFonts w:ascii="Times New Roman" w:hAnsi="Times New Roman" w:cs="Times New Roman"/>
        </w:rPr>
        <w:t xml:space="preserve"> for consistency.</w:t>
      </w:r>
    </w:p>
    <w:p w14:paraId="61970500" w14:textId="2ADCD86E" w:rsidR="00FA06B2" w:rsidRPr="00A155FA" w:rsidRDefault="00FA06B2" w:rsidP="005229E5">
      <w:pPr>
        <w:pStyle w:val="ListParagraph"/>
        <w:numPr>
          <w:ilvl w:val="0"/>
          <w:numId w:val="3"/>
        </w:numPr>
        <w:tabs>
          <w:tab w:val="left" w:pos="2860"/>
        </w:tabs>
        <w:rPr>
          <w:rFonts w:ascii="Times New Roman" w:hAnsi="Times New Roman" w:cs="Times New Roman"/>
        </w:rPr>
      </w:pPr>
      <w:r w:rsidRPr="00A155FA">
        <w:rPr>
          <w:rFonts w:ascii="Times New Roman" w:hAnsi="Times New Roman" w:cs="Times New Roman"/>
          <w:b/>
          <w:bCs/>
        </w:rPr>
        <w:t xml:space="preserve">325 (larval stage): </w:t>
      </w:r>
      <w:r w:rsidRPr="00A155FA">
        <w:rPr>
          <w:rFonts w:ascii="Times New Roman" w:hAnsi="Times New Roman" w:cs="Times New Roman"/>
        </w:rPr>
        <w:t xml:space="preserve">the original coding for this character is difficult to interpret and therein to apply to newly added taxa. Pardo et al. (2017a) originally coded most </w:t>
      </w:r>
      <w:r w:rsidRPr="00A155FA">
        <w:rPr>
          <w:rFonts w:ascii="Times New Roman" w:hAnsi="Times New Roman" w:cs="Times New Roman"/>
        </w:rPr>
        <w:lastRenderedPageBreak/>
        <w:t xml:space="preserve">lissamphibians and a number of European temnospondyls with well-sampled ontogenies (e.g., </w:t>
      </w:r>
      <w:r w:rsidRPr="00A155FA">
        <w:rPr>
          <w:rFonts w:ascii="Times New Roman" w:hAnsi="Times New Roman" w:cs="Times New Roman"/>
          <w:i/>
          <w:iCs/>
        </w:rPr>
        <w:t>Micromelerpeton</w:t>
      </w:r>
      <w:r w:rsidRPr="00A155FA">
        <w:rPr>
          <w:rFonts w:ascii="Times New Roman" w:hAnsi="Times New Roman" w:cs="Times New Roman"/>
        </w:rPr>
        <w:t xml:space="preserve">, </w:t>
      </w:r>
      <w:r w:rsidRPr="00A155FA">
        <w:rPr>
          <w:rFonts w:ascii="Times New Roman" w:hAnsi="Times New Roman" w:cs="Times New Roman"/>
          <w:i/>
          <w:iCs/>
        </w:rPr>
        <w:t>Sclerocephalus</w:t>
      </w:r>
      <w:r w:rsidRPr="00A155FA">
        <w:rPr>
          <w:rFonts w:ascii="Times New Roman" w:hAnsi="Times New Roman" w:cs="Times New Roman"/>
        </w:rPr>
        <w:t xml:space="preserve">) as having larval stages (325–0). Conversely, </w:t>
      </w:r>
      <w:r w:rsidRPr="00A155FA">
        <w:rPr>
          <w:rFonts w:ascii="Times New Roman" w:hAnsi="Times New Roman" w:cs="Times New Roman"/>
          <w:i/>
          <w:iCs/>
        </w:rPr>
        <w:t>Gerrothorax, Trematolestes, Callistomordax</w:t>
      </w:r>
      <w:r w:rsidRPr="00A155FA">
        <w:rPr>
          <w:rFonts w:ascii="Times New Roman" w:hAnsi="Times New Roman" w:cs="Times New Roman"/>
        </w:rPr>
        <w:t xml:space="preserve">, and </w:t>
      </w:r>
      <w:r w:rsidRPr="00A155FA">
        <w:rPr>
          <w:rFonts w:ascii="Times New Roman" w:hAnsi="Times New Roman" w:cs="Times New Roman"/>
          <w:i/>
          <w:iCs/>
        </w:rPr>
        <w:t>Mastodonsaurus</w:t>
      </w:r>
      <w:r w:rsidRPr="00A155FA">
        <w:rPr>
          <w:rFonts w:ascii="Times New Roman" w:hAnsi="Times New Roman" w:cs="Times New Roman"/>
        </w:rPr>
        <w:t xml:space="preserve"> were coded as having direct development (325–1). Schoch et al. (2020) coded direct development in the three ‘lepospondyls’ as well. The stereospondyls coded for 325–1 appear entirely random. At least one, </w:t>
      </w:r>
      <w:r w:rsidRPr="00A155FA">
        <w:rPr>
          <w:rFonts w:ascii="Times New Roman" w:hAnsi="Times New Roman" w:cs="Times New Roman"/>
          <w:i/>
          <w:iCs/>
        </w:rPr>
        <w:t>Trematolestes</w:t>
      </w:r>
      <w:r w:rsidRPr="00A155FA">
        <w:rPr>
          <w:rFonts w:ascii="Times New Roman" w:hAnsi="Times New Roman" w:cs="Times New Roman"/>
        </w:rPr>
        <w:t xml:space="preserve">, is actually stated to have a larval form (Schoch, 2006:38). Literature on the other three makes no mention of direct development, which would be unexpected in these obligately aquatic, paedomorphic taxa, and arguably it cannot be well-assessed in at least </w:t>
      </w:r>
      <w:r w:rsidRPr="00A155FA">
        <w:rPr>
          <w:rFonts w:ascii="Times New Roman" w:hAnsi="Times New Roman" w:cs="Times New Roman"/>
          <w:i/>
          <w:iCs/>
        </w:rPr>
        <w:t xml:space="preserve">Callistomordax </w:t>
      </w:r>
      <w:r w:rsidRPr="00A155FA">
        <w:rPr>
          <w:rFonts w:ascii="Times New Roman" w:hAnsi="Times New Roman" w:cs="Times New Roman"/>
        </w:rPr>
        <w:t>based on the narrow known ontogenetic range, (Schoch, 2008</w:t>
      </w:r>
      <w:r w:rsidR="002639C2">
        <w:rPr>
          <w:rFonts w:ascii="Times New Roman" w:hAnsi="Times New Roman" w:cs="Times New Roman"/>
        </w:rPr>
        <w:t>b</w:t>
      </w:r>
      <w:r w:rsidRPr="00A155FA">
        <w:rPr>
          <w:rFonts w:ascii="Times New Roman" w:hAnsi="Times New Roman" w:cs="Times New Roman"/>
        </w:rPr>
        <w:t>). The character does not prescribe anatomical features considered to be unequivocal evidence of larval stages (e.g., Boy &amp; Sues, 2000).</w:t>
      </w:r>
    </w:p>
    <w:p w14:paraId="79A7AD62" w14:textId="77777777" w:rsidR="00FA06B2" w:rsidRPr="00A155FA" w:rsidRDefault="00FA06B2" w:rsidP="005229E5">
      <w:pPr>
        <w:pStyle w:val="ListParagraph"/>
        <w:numPr>
          <w:ilvl w:val="1"/>
          <w:numId w:val="3"/>
        </w:numPr>
        <w:tabs>
          <w:tab w:val="left" w:pos="2860"/>
        </w:tabs>
        <w:rPr>
          <w:rFonts w:ascii="Times New Roman" w:hAnsi="Times New Roman" w:cs="Times New Roman"/>
        </w:rPr>
      </w:pPr>
      <w:r w:rsidRPr="00A155FA">
        <w:rPr>
          <w:rFonts w:ascii="Times New Roman" w:hAnsi="Times New Roman" w:cs="Times New Roman"/>
          <w:i/>
          <w:iCs/>
        </w:rPr>
        <w:t xml:space="preserve">Trematolestes </w:t>
      </w:r>
      <w:r w:rsidRPr="00A155FA">
        <w:rPr>
          <w:rFonts w:ascii="Times New Roman" w:hAnsi="Times New Roman" w:cs="Times New Roman"/>
        </w:rPr>
        <w:t>is recoded to 325</w:t>
      </w:r>
      <w:r w:rsidRPr="00A155FA">
        <w:rPr>
          <w:rFonts w:ascii="Times New Roman" w:hAnsi="Times New Roman" w:cs="Times New Roman"/>
        </w:rPr>
        <w:softHyphen/>
        <w:t>–0, and the other three stereospondyls are recoded as unknown.</w:t>
      </w:r>
    </w:p>
    <w:p w14:paraId="30B38762" w14:textId="77777777" w:rsidR="00FA06B2" w:rsidRPr="00A155FA" w:rsidRDefault="00FA06B2" w:rsidP="005229E5">
      <w:pPr>
        <w:pStyle w:val="ListParagraph"/>
        <w:numPr>
          <w:ilvl w:val="1"/>
          <w:numId w:val="3"/>
        </w:numPr>
        <w:tabs>
          <w:tab w:val="left" w:pos="2860"/>
        </w:tabs>
        <w:rPr>
          <w:rFonts w:ascii="Times New Roman" w:hAnsi="Times New Roman" w:cs="Times New Roman"/>
        </w:rPr>
      </w:pPr>
      <w:r w:rsidRPr="00A155FA">
        <w:rPr>
          <w:rFonts w:ascii="Times New Roman" w:hAnsi="Times New Roman" w:cs="Times New Roman"/>
          <w:i/>
          <w:iCs/>
        </w:rPr>
        <w:t xml:space="preserve">Batropetes </w:t>
      </w:r>
      <w:r w:rsidRPr="00A155FA">
        <w:rPr>
          <w:rFonts w:ascii="Times New Roman" w:hAnsi="Times New Roman" w:cs="Times New Roman"/>
        </w:rPr>
        <w:t xml:space="preserve">was modified in line with the substitution of </w:t>
      </w:r>
      <w:r w:rsidRPr="00A155FA">
        <w:rPr>
          <w:rFonts w:ascii="Times New Roman" w:hAnsi="Times New Roman" w:cs="Times New Roman"/>
          <w:i/>
          <w:iCs/>
        </w:rPr>
        <w:t>B. palatinus</w:t>
      </w:r>
      <w:r w:rsidRPr="00A155FA">
        <w:rPr>
          <w:rFonts w:ascii="Times New Roman" w:hAnsi="Times New Roman" w:cs="Times New Roman"/>
        </w:rPr>
        <w:t xml:space="preserve">, and </w:t>
      </w:r>
      <w:r w:rsidRPr="00A155FA">
        <w:rPr>
          <w:rFonts w:ascii="Times New Roman" w:hAnsi="Times New Roman" w:cs="Times New Roman"/>
          <w:i/>
          <w:iCs/>
        </w:rPr>
        <w:t xml:space="preserve">Rhynchonkos </w:t>
      </w:r>
      <w:r w:rsidRPr="00A155FA">
        <w:rPr>
          <w:rFonts w:ascii="Times New Roman" w:hAnsi="Times New Roman" w:cs="Times New Roman"/>
        </w:rPr>
        <w:t>was modified in line with the restriction of the OTU to the holotype; these changes were noted in the taxon-specific section.</w:t>
      </w:r>
    </w:p>
    <w:p w14:paraId="725D7AF6" w14:textId="77777777" w:rsidR="00FA06B2" w:rsidRPr="00A155FA" w:rsidRDefault="00FA06B2" w:rsidP="009C1A18">
      <w:pPr>
        <w:pStyle w:val="ListParagraph"/>
        <w:tabs>
          <w:tab w:val="left" w:pos="2860"/>
        </w:tabs>
        <w:ind w:left="1440"/>
        <w:rPr>
          <w:rFonts w:ascii="Times New Roman" w:hAnsi="Times New Roman" w:cs="Times New Roman"/>
        </w:rPr>
      </w:pPr>
    </w:p>
    <w:p w14:paraId="074330B2" w14:textId="77777777" w:rsidR="00FA06B2" w:rsidRPr="00A155FA" w:rsidRDefault="00FA06B2" w:rsidP="009C1A18">
      <w:pPr>
        <w:tabs>
          <w:tab w:val="left" w:pos="2860"/>
        </w:tabs>
      </w:pPr>
      <w:r w:rsidRPr="00A155FA">
        <w:t>The following are characters with partial dependencies that did not result in any coding changes but for which cells coded as ‘?’ were updated to ‘-‘ for consistency.</w:t>
      </w:r>
    </w:p>
    <w:p w14:paraId="37AFE3EC" w14:textId="77777777" w:rsidR="00FA06B2" w:rsidRPr="00A155FA" w:rsidRDefault="00FA06B2" w:rsidP="005229E5">
      <w:pPr>
        <w:pStyle w:val="ListParagraph"/>
        <w:numPr>
          <w:ilvl w:val="0"/>
          <w:numId w:val="6"/>
        </w:numPr>
        <w:tabs>
          <w:tab w:val="left" w:pos="2860"/>
        </w:tabs>
        <w:rPr>
          <w:rFonts w:ascii="Times New Roman" w:hAnsi="Times New Roman" w:cs="Times New Roman"/>
        </w:rPr>
      </w:pPr>
      <w:r w:rsidRPr="00A155FA">
        <w:rPr>
          <w:rFonts w:ascii="Times New Roman" w:hAnsi="Times New Roman" w:cs="Times New Roman"/>
          <w:b/>
          <w:bCs/>
        </w:rPr>
        <w:t xml:space="preserve">175–177 (cleithrum): </w:t>
      </w:r>
      <w:r w:rsidRPr="00A155FA">
        <w:rPr>
          <w:rFonts w:ascii="Times New Roman" w:hAnsi="Times New Roman" w:cs="Times New Roman"/>
        </w:rPr>
        <w:t xml:space="preserve">any taxon coded for 348–1 (cleithrum absent) cannot be coded for these characters. Codes updated for: </w:t>
      </w:r>
      <w:r w:rsidRPr="00A155FA">
        <w:rPr>
          <w:rFonts w:ascii="Times New Roman" w:hAnsi="Times New Roman" w:cs="Times New Roman"/>
          <w:i/>
          <w:iCs/>
        </w:rPr>
        <w:t xml:space="preserve">Triadobatrachus, Leptodactylus, Xenopus, Celtedens, Karaurus, Kokartus, Ambystoma, Hynobius, Cryptobranchus, Triassurus, Ichthyophis, Epicrionops, </w:t>
      </w:r>
      <w:r w:rsidRPr="00A155FA">
        <w:rPr>
          <w:rFonts w:ascii="Times New Roman" w:hAnsi="Times New Roman" w:cs="Times New Roman"/>
        </w:rPr>
        <w:t xml:space="preserve">and </w:t>
      </w:r>
      <w:r w:rsidRPr="00A155FA">
        <w:rPr>
          <w:rFonts w:ascii="Times New Roman" w:hAnsi="Times New Roman" w:cs="Times New Roman"/>
          <w:i/>
          <w:iCs/>
        </w:rPr>
        <w:t>Eocaecilia.</w:t>
      </w:r>
    </w:p>
    <w:p w14:paraId="71C7A49B" w14:textId="77777777" w:rsidR="00FA06B2" w:rsidRPr="00A155FA" w:rsidRDefault="00FA06B2" w:rsidP="005229E5">
      <w:pPr>
        <w:pStyle w:val="ListParagraph"/>
        <w:numPr>
          <w:ilvl w:val="0"/>
          <w:numId w:val="6"/>
        </w:numPr>
        <w:tabs>
          <w:tab w:val="left" w:pos="2860"/>
        </w:tabs>
        <w:rPr>
          <w:rFonts w:ascii="Times New Roman" w:hAnsi="Times New Roman" w:cs="Times New Roman"/>
        </w:rPr>
      </w:pPr>
      <w:r w:rsidRPr="00A155FA">
        <w:rPr>
          <w:rFonts w:ascii="Times New Roman" w:hAnsi="Times New Roman" w:cs="Times New Roman"/>
          <w:b/>
          <w:bCs/>
        </w:rPr>
        <w:t xml:space="preserve">309 (number of distal tarsals): </w:t>
      </w:r>
      <w:r w:rsidRPr="00A155FA">
        <w:rPr>
          <w:rFonts w:ascii="Times New Roman" w:hAnsi="Times New Roman" w:cs="Times New Roman"/>
        </w:rPr>
        <w:t xml:space="preserve">any taxon coded for 206–1 (tarsals all unossified) cannot be coded for this character. Codes updated for: </w:t>
      </w:r>
      <w:r w:rsidRPr="00A155FA">
        <w:rPr>
          <w:rFonts w:ascii="Times New Roman" w:hAnsi="Times New Roman" w:cs="Times New Roman"/>
          <w:i/>
          <w:iCs/>
        </w:rPr>
        <w:t xml:space="preserve">Trimerorhachis, Acanthostomatops, Micromelerpeton, Apateon, Sclerocephalus, Glanochthon, Siderops, Plagiosuchus, Gerrothorax, Trematolestes, Callistomordax, Metoposaurus, Paracyclotosaurus, Mastodonsaurus, </w:t>
      </w:r>
      <w:r w:rsidRPr="00A155FA">
        <w:rPr>
          <w:rFonts w:ascii="Times New Roman" w:hAnsi="Times New Roman" w:cs="Times New Roman"/>
        </w:rPr>
        <w:t xml:space="preserve">and </w:t>
      </w:r>
      <w:r w:rsidRPr="00A155FA">
        <w:rPr>
          <w:rFonts w:ascii="Times New Roman" w:hAnsi="Times New Roman" w:cs="Times New Roman"/>
          <w:i/>
          <w:iCs/>
        </w:rPr>
        <w:t>Karaurus</w:t>
      </w:r>
      <w:r w:rsidRPr="00A155FA">
        <w:rPr>
          <w:rFonts w:ascii="Times New Roman" w:hAnsi="Times New Roman" w:cs="Times New Roman"/>
        </w:rPr>
        <w:t>.</w:t>
      </w:r>
    </w:p>
    <w:p w14:paraId="1302C047" w14:textId="77777777" w:rsidR="00FA06B2" w:rsidRPr="00A155FA" w:rsidRDefault="00FA06B2" w:rsidP="009C1A18">
      <w:pPr>
        <w:tabs>
          <w:tab w:val="left" w:pos="2860"/>
        </w:tabs>
        <w:rPr>
          <w:b/>
          <w:bCs/>
        </w:rPr>
      </w:pPr>
    </w:p>
    <w:p w14:paraId="6B9721E8" w14:textId="77777777" w:rsidR="00FA06B2" w:rsidRPr="00A155FA" w:rsidRDefault="00FA06B2" w:rsidP="009C1A18">
      <w:pPr>
        <w:tabs>
          <w:tab w:val="left" w:pos="2860"/>
        </w:tabs>
      </w:pPr>
      <w:r w:rsidRPr="00A155FA">
        <w:rPr>
          <w:b/>
          <w:bCs/>
        </w:rPr>
        <w:t xml:space="preserve">Taxon-specific changes. </w:t>
      </w:r>
      <w:r w:rsidRPr="00A155FA">
        <w:t xml:space="preserve">As with the above section, taxa are referred to only by the genus and should be assumed to be the species sampled in the matrix (for multi-species genera) unless otherwise stated (e.g., a reference to </w:t>
      </w:r>
      <w:r w:rsidRPr="00A155FA">
        <w:rPr>
          <w:i/>
          <w:iCs/>
        </w:rPr>
        <w:t>Eryops</w:t>
      </w:r>
      <w:r w:rsidRPr="00A155FA">
        <w:t xml:space="preserve"> is specifically to </w:t>
      </w:r>
      <w:r w:rsidRPr="00A155FA">
        <w:rPr>
          <w:i/>
          <w:iCs/>
        </w:rPr>
        <w:t>Eryops megacephalus</w:t>
      </w:r>
      <w:r w:rsidRPr="00A155FA">
        <w:t>).</w:t>
      </w:r>
    </w:p>
    <w:p w14:paraId="1FFCB160" w14:textId="77777777" w:rsidR="00FA06B2" w:rsidRPr="00A155FA" w:rsidRDefault="00FA06B2" w:rsidP="009C1A18">
      <w:pPr>
        <w:tabs>
          <w:tab w:val="left" w:pos="2860"/>
        </w:tabs>
        <w:rPr>
          <w:b/>
          <w:bCs/>
        </w:rPr>
      </w:pPr>
    </w:p>
    <w:p w14:paraId="3C2D7F86" w14:textId="77777777" w:rsidR="00FA06B2" w:rsidRPr="00A155FA" w:rsidRDefault="00FA06B2" w:rsidP="005229E5">
      <w:pPr>
        <w:pStyle w:val="ListParagraph"/>
        <w:numPr>
          <w:ilvl w:val="0"/>
          <w:numId w:val="12"/>
        </w:numPr>
        <w:tabs>
          <w:tab w:val="left" w:pos="2860"/>
        </w:tabs>
        <w:rPr>
          <w:rFonts w:ascii="Times New Roman" w:hAnsi="Times New Roman" w:cs="Times New Roman"/>
          <w:b/>
          <w:bCs/>
          <w:i/>
          <w:iCs/>
        </w:rPr>
      </w:pPr>
      <w:r w:rsidRPr="00A155FA">
        <w:rPr>
          <w:rFonts w:ascii="Times New Roman" w:hAnsi="Times New Roman" w:cs="Times New Roman"/>
          <w:b/>
          <w:bCs/>
          <w:i/>
          <w:iCs/>
        </w:rPr>
        <w:t>Proterogyrinus scheelei</w:t>
      </w:r>
    </w:p>
    <w:p w14:paraId="388214BE" w14:textId="77777777" w:rsidR="00FA06B2" w:rsidRPr="00A155FA" w:rsidRDefault="00FA06B2" w:rsidP="005229E5">
      <w:pPr>
        <w:pStyle w:val="ListParagraph"/>
        <w:numPr>
          <w:ilvl w:val="1"/>
          <w:numId w:val="12"/>
        </w:numPr>
        <w:tabs>
          <w:tab w:val="left" w:pos="1260"/>
        </w:tabs>
        <w:rPr>
          <w:rFonts w:ascii="Times New Roman" w:hAnsi="Times New Roman" w:cs="Times New Roman"/>
        </w:rPr>
      </w:pPr>
      <w:r w:rsidRPr="00A155FA">
        <w:rPr>
          <w:rFonts w:ascii="Times New Roman" w:hAnsi="Times New Roman" w:cs="Times New Roman"/>
          <w:b/>
          <w:bCs/>
        </w:rPr>
        <w:t xml:space="preserve">24 (lacrimal, posterior extension):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Holmes (1984:447, fig. 3) indicated that the suture between the lacrimal and the jugal is entirely unknown, and there is no comment on the anterior extent of the latter in the text. As reconstructed by Holmes, the lacrimal would extend past the antorbital region (24–1).</w:t>
      </w:r>
    </w:p>
    <w:p w14:paraId="7162876D" w14:textId="77777777" w:rsidR="00FA06B2" w:rsidRPr="00A155FA" w:rsidRDefault="00FA06B2" w:rsidP="005229E5">
      <w:pPr>
        <w:pStyle w:val="ListParagraph"/>
        <w:numPr>
          <w:ilvl w:val="1"/>
          <w:numId w:val="12"/>
        </w:numPr>
        <w:tabs>
          <w:tab w:val="left" w:pos="1260"/>
        </w:tabs>
        <w:rPr>
          <w:rFonts w:ascii="Times New Roman" w:hAnsi="Times New Roman" w:cs="Times New Roman"/>
        </w:rPr>
      </w:pPr>
      <w:r w:rsidRPr="00A155FA">
        <w:rPr>
          <w:rFonts w:ascii="Times New Roman" w:hAnsi="Times New Roman" w:cs="Times New Roman"/>
          <w:b/>
          <w:bCs/>
        </w:rPr>
        <w:t xml:space="preserve">35 (infraorbital sulcus):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Holmes (1984:440–441) noted that the grooves are poorly developed and only appear on the “the postfrontal, postorbital, the suborbital ramus of the jugal, and on the lateral edge of the nasal.” In taxa with a lacrimal, like </w:t>
      </w:r>
      <w:r w:rsidRPr="00A155FA">
        <w:rPr>
          <w:rFonts w:ascii="Times New Roman" w:hAnsi="Times New Roman" w:cs="Times New Roman"/>
          <w:i/>
          <w:iCs/>
        </w:rPr>
        <w:t>Proterogyrinus</w:t>
      </w:r>
      <w:r w:rsidRPr="00A155FA">
        <w:rPr>
          <w:rFonts w:ascii="Times New Roman" w:hAnsi="Times New Roman" w:cs="Times New Roman"/>
        </w:rPr>
        <w:t>, any flexure of the infraorbital sulcus would occur on the lacrimal, which does not have any groove per Holmes’ description.</w:t>
      </w:r>
    </w:p>
    <w:p w14:paraId="6BF24899" w14:textId="77777777" w:rsidR="00FA06B2" w:rsidRPr="00A155FA" w:rsidRDefault="00FA06B2" w:rsidP="005229E5">
      <w:pPr>
        <w:pStyle w:val="ListParagraph"/>
        <w:numPr>
          <w:ilvl w:val="1"/>
          <w:numId w:val="12"/>
        </w:numPr>
        <w:tabs>
          <w:tab w:val="left" w:pos="1260"/>
        </w:tabs>
        <w:rPr>
          <w:rFonts w:ascii="Times New Roman" w:hAnsi="Times New Roman" w:cs="Times New Roman"/>
        </w:rPr>
      </w:pPr>
      <w:r w:rsidRPr="00A155FA">
        <w:rPr>
          <w:rFonts w:ascii="Times New Roman" w:hAnsi="Times New Roman" w:cs="Times New Roman"/>
          <w:b/>
          <w:bCs/>
        </w:rPr>
        <w:t xml:space="preserve">57 (jugal, ventral process):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Holmes (1984:453) stated that “the relation between the posterior end of the ectopterygoid and the jugal is not clear in any of the articulated specimens. However, in CMNH 11067 the right jugal clearly </w:t>
      </w:r>
      <w:r w:rsidRPr="00A155FA">
        <w:rPr>
          <w:rFonts w:ascii="Times New Roman" w:hAnsi="Times New Roman" w:cs="Times New Roman"/>
        </w:rPr>
        <w:lastRenderedPageBreak/>
        <w:t xml:space="preserve">shows a modest </w:t>
      </w:r>
      <w:proofErr w:type="spellStart"/>
      <w:r w:rsidRPr="00A155FA">
        <w:rPr>
          <w:rFonts w:ascii="Times New Roman" w:hAnsi="Times New Roman" w:cs="Times New Roman"/>
        </w:rPr>
        <w:t>processus</w:t>
      </w:r>
      <w:proofErr w:type="spellEnd"/>
      <w:r w:rsidRPr="00A155FA">
        <w:rPr>
          <w:rFonts w:ascii="Times New Roman" w:hAnsi="Times New Roman" w:cs="Times New Roman"/>
        </w:rPr>
        <w:t xml:space="preserve"> alaris that would almost certainly have made contact with the pterygoid </w:t>
      </w:r>
      <w:proofErr w:type="spellStart"/>
      <w:r w:rsidRPr="00A155FA">
        <w:rPr>
          <w:rFonts w:ascii="Times New Roman" w:hAnsi="Times New Roman" w:cs="Times New Roman"/>
        </w:rPr>
        <w:t>mesially</w:t>
      </w:r>
      <w:proofErr w:type="spellEnd"/>
      <w:r w:rsidRPr="00A155FA">
        <w:rPr>
          <w:rFonts w:ascii="Times New Roman" w:hAnsi="Times New Roman" w:cs="Times New Roman"/>
        </w:rPr>
        <w:t xml:space="preserve"> and excluded the ectopterygoid from the rim of the adductor chamber, as it does in </w:t>
      </w:r>
      <w:r w:rsidRPr="00A155FA">
        <w:rPr>
          <w:rFonts w:ascii="Times New Roman" w:hAnsi="Times New Roman" w:cs="Times New Roman"/>
          <w:i/>
          <w:iCs/>
        </w:rPr>
        <w:t>Eogyrinus</w:t>
      </w:r>
      <w:r w:rsidRPr="00A155FA">
        <w:rPr>
          <w:rFonts w:ascii="Times New Roman" w:hAnsi="Times New Roman" w:cs="Times New Roman"/>
        </w:rPr>
        <w:t xml:space="preserve"> and </w:t>
      </w:r>
      <w:r w:rsidRPr="00A155FA">
        <w:rPr>
          <w:rFonts w:ascii="Times New Roman" w:hAnsi="Times New Roman" w:cs="Times New Roman"/>
          <w:i/>
          <w:iCs/>
        </w:rPr>
        <w:t>Palaeoherpeton</w:t>
      </w:r>
      <w:r w:rsidRPr="00A155FA">
        <w:rPr>
          <w:rFonts w:ascii="Times New Roman" w:hAnsi="Times New Roman" w:cs="Times New Roman"/>
        </w:rPr>
        <w:t xml:space="preserve">.” Although a ventral exposure of the jugal is typically thought of as a stereospondyl feature, it occurs also in </w:t>
      </w:r>
      <w:r w:rsidRPr="00A155FA">
        <w:rPr>
          <w:rFonts w:ascii="Times New Roman" w:hAnsi="Times New Roman" w:cs="Times New Roman"/>
          <w:i/>
          <w:iCs/>
        </w:rPr>
        <w:t xml:space="preserve">Cochleosaurus </w:t>
      </w:r>
      <w:r w:rsidRPr="00A155FA">
        <w:rPr>
          <w:rFonts w:ascii="Times New Roman" w:hAnsi="Times New Roman" w:cs="Times New Roman"/>
        </w:rPr>
        <w:t xml:space="preserve">and </w:t>
      </w:r>
      <w:r w:rsidRPr="00A155FA">
        <w:rPr>
          <w:rFonts w:ascii="Times New Roman" w:hAnsi="Times New Roman" w:cs="Times New Roman"/>
          <w:i/>
          <w:iCs/>
        </w:rPr>
        <w:t xml:space="preserve">Eryops </w:t>
      </w:r>
      <w:r w:rsidRPr="00A155FA">
        <w:rPr>
          <w:rFonts w:ascii="Times New Roman" w:hAnsi="Times New Roman" w:cs="Times New Roman"/>
        </w:rPr>
        <w:t>(and was originally coded as such).</w:t>
      </w:r>
    </w:p>
    <w:p w14:paraId="48D7F3EB" w14:textId="77777777" w:rsidR="00FA06B2" w:rsidRPr="00A155FA" w:rsidRDefault="00FA06B2" w:rsidP="005229E5">
      <w:pPr>
        <w:pStyle w:val="ListParagraph"/>
        <w:numPr>
          <w:ilvl w:val="1"/>
          <w:numId w:val="12"/>
        </w:numPr>
        <w:tabs>
          <w:tab w:val="left" w:pos="1260"/>
        </w:tabs>
        <w:rPr>
          <w:rFonts w:ascii="Times New Roman" w:hAnsi="Times New Roman" w:cs="Times New Roman"/>
        </w:rPr>
      </w:pPr>
      <w:r w:rsidRPr="00A155FA">
        <w:rPr>
          <w:rFonts w:ascii="Times New Roman" w:hAnsi="Times New Roman" w:cs="Times New Roman"/>
          <w:b/>
          <w:bCs/>
        </w:rPr>
        <w:t>58 (jugal, anterior extension):</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24.</w:t>
      </w:r>
    </w:p>
    <w:p w14:paraId="1FB54C39" w14:textId="77777777" w:rsidR="00FA06B2" w:rsidRPr="00A155FA" w:rsidRDefault="00FA06B2" w:rsidP="005229E5">
      <w:pPr>
        <w:pStyle w:val="ListParagraph"/>
        <w:numPr>
          <w:ilvl w:val="1"/>
          <w:numId w:val="12"/>
        </w:numPr>
        <w:tabs>
          <w:tab w:val="left" w:pos="1260"/>
        </w:tabs>
        <w:rPr>
          <w:rFonts w:ascii="Times New Roman" w:hAnsi="Times New Roman" w:cs="Times New Roman"/>
        </w:rPr>
      </w:pPr>
      <w:r w:rsidRPr="00A155FA">
        <w:rPr>
          <w:rFonts w:ascii="Times New Roman" w:hAnsi="Times New Roman" w:cs="Times New Roman"/>
          <w:b/>
          <w:bCs/>
        </w:rPr>
        <w:t xml:space="preserve">59 (jugal-lacrimal):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24. While a LEP (or LEE) would be highly unexpected in an embolomere, it cannot be assumed that one was absent because this taxon is an embolomere (circular logic).</w:t>
      </w:r>
    </w:p>
    <w:p w14:paraId="0939F5FC" w14:textId="77777777" w:rsidR="00FA06B2" w:rsidRPr="00A155FA" w:rsidRDefault="00FA06B2" w:rsidP="005229E5">
      <w:pPr>
        <w:pStyle w:val="ListParagraph"/>
        <w:numPr>
          <w:ilvl w:val="1"/>
          <w:numId w:val="12"/>
        </w:numPr>
        <w:tabs>
          <w:tab w:val="left" w:pos="1260"/>
        </w:tabs>
        <w:rPr>
          <w:rFonts w:ascii="Times New Roman" w:hAnsi="Times New Roman" w:cs="Times New Roman"/>
          <w:b/>
          <w:bCs/>
        </w:rPr>
      </w:pPr>
      <w:r w:rsidRPr="00A155FA">
        <w:rPr>
          <w:rFonts w:ascii="Times New Roman" w:hAnsi="Times New Roman" w:cs="Times New Roman"/>
          <w:b/>
          <w:bCs/>
        </w:rPr>
        <w:t xml:space="preserve">74 (posttemporal fenestra):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There are no openings homologous with the posttemporal fenestrae of temnospondyls in which it is enclosed by the tabular, the </w:t>
      </w:r>
      <w:proofErr w:type="spellStart"/>
      <w:r w:rsidRPr="00A155FA">
        <w:rPr>
          <w:rFonts w:ascii="Times New Roman" w:hAnsi="Times New Roman" w:cs="Times New Roman"/>
        </w:rPr>
        <w:t>postparietal</w:t>
      </w:r>
      <w:proofErr w:type="spellEnd"/>
      <w:r w:rsidRPr="00A155FA">
        <w:rPr>
          <w:rFonts w:ascii="Times New Roman" w:hAnsi="Times New Roman" w:cs="Times New Roman"/>
        </w:rPr>
        <w:t xml:space="preserve">, and the </w:t>
      </w:r>
      <w:proofErr w:type="spellStart"/>
      <w:r w:rsidRPr="00A155FA">
        <w:rPr>
          <w:rFonts w:ascii="Times New Roman" w:hAnsi="Times New Roman" w:cs="Times New Roman"/>
        </w:rPr>
        <w:t>exocciptal</w:t>
      </w:r>
      <w:proofErr w:type="spellEnd"/>
      <w:r w:rsidRPr="00A155FA">
        <w:rPr>
          <w:rFonts w:ascii="Times New Roman" w:hAnsi="Times New Roman" w:cs="Times New Roman"/>
        </w:rPr>
        <w:t>.</w:t>
      </w:r>
    </w:p>
    <w:p w14:paraId="0F9E7EC5" w14:textId="77777777" w:rsidR="00FA06B2" w:rsidRPr="00A155FA" w:rsidRDefault="00FA06B2" w:rsidP="005229E5">
      <w:pPr>
        <w:pStyle w:val="ListParagraph"/>
        <w:numPr>
          <w:ilvl w:val="1"/>
          <w:numId w:val="12"/>
        </w:numPr>
        <w:tabs>
          <w:tab w:val="left" w:pos="1260"/>
        </w:tabs>
        <w:rPr>
          <w:rFonts w:ascii="Times New Roman" w:hAnsi="Times New Roman" w:cs="Times New Roman"/>
        </w:rPr>
      </w:pPr>
      <w:r w:rsidRPr="00A155FA">
        <w:rPr>
          <w:rFonts w:ascii="Times New Roman" w:hAnsi="Times New Roman" w:cs="Times New Roman"/>
          <w:b/>
          <w:bCs/>
        </w:rPr>
        <w:t xml:space="preserve">85 (transvomerine tooth row):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Holmes (1984:452) stated that there is no identifiable vomer in any specimen, and the only putative fragment of a vomer confers practically no information.</w:t>
      </w:r>
    </w:p>
    <w:p w14:paraId="4E720436" w14:textId="77777777" w:rsidR="00FA06B2" w:rsidRPr="00A155FA" w:rsidRDefault="00FA06B2" w:rsidP="005229E5">
      <w:pPr>
        <w:pStyle w:val="ListParagraph"/>
        <w:numPr>
          <w:ilvl w:val="1"/>
          <w:numId w:val="12"/>
        </w:numPr>
        <w:tabs>
          <w:tab w:val="left" w:pos="1260"/>
        </w:tabs>
        <w:rPr>
          <w:rFonts w:ascii="Times New Roman" w:hAnsi="Times New Roman" w:cs="Times New Roman"/>
        </w:rPr>
      </w:pPr>
      <w:r w:rsidRPr="00A155FA">
        <w:rPr>
          <w:rFonts w:ascii="Times New Roman" w:hAnsi="Times New Roman" w:cs="Times New Roman"/>
          <w:b/>
          <w:bCs/>
        </w:rPr>
        <w:t>86 (additional vomerine fangs):</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85. Alternatively, this could be coded as ‘-‘ based on Holmes’ inference that there were no vomerine fangs because these are often large in early tetrapods, and there was no evidence for such fangs in material of this taxon.</w:t>
      </w:r>
    </w:p>
    <w:p w14:paraId="071871C0" w14:textId="77777777" w:rsidR="00FA06B2" w:rsidRPr="00A155FA" w:rsidRDefault="00FA06B2" w:rsidP="005229E5">
      <w:pPr>
        <w:pStyle w:val="ListParagraph"/>
        <w:numPr>
          <w:ilvl w:val="1"/>
          <w:numId w:val="12"/>
        </w:numPr>
        <w:tabs>
          <w:tab w:val="left" w:pos="1260"/>
        </w:tabs>
        <w:rPr>
          <w:rFonts w:ascii="Times New Roman" w:hAnsi="Times New Roman" w:cs="Times New Roman"/>
        </w:rPr>
      </w:pPr>
      <w:r w:rsidRPr="00A155FA">
        <w:rPr>
          <w:rFonts w:ascii="Times New Roman" w:hAnsi="Times New Roman" w:cs="Times New Roman"/>
          <w:b/>
          <w:bCs/>
        </w:rPr>
        <w:t xml:space="preserve">93 (vomer):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85.</w:t>
      </w:r>
    </w:p>
    <w:p w14:paraId="4FD075F7" w14:textId="77777777" w:rsidR="00FA06B2" w:rsidRPr="00A155FA" w:rsidRDefault="00FA06B2" w:rsidP="005229E5">
      <w:pPr>
        <w:pStyle w:val="ListParagraph"/>
        <w:numPr>
          <w:ilvl w:val="1"/>
          <w:numId w:val="12"/>
        </w:numPr>
        <w:tabs>
          <w:tab w:val="left" w:pos="1260"/>
        </w:tabs>
        <w:rPr>
          <w:rFonts w:ascii="Times New Roman" w:hAnsi="Times New Roman" w:cs="Times New Roman"/>
        </w:rPr>
      </w:pPr>
      <w:r w:rsidRPr="00A155FA">
        <w:rPr>
          <w:rFonts w:ascii="Times New Roman" w:hAnsi="Times New Roman" w:cs="Times New Roman"/>
          <w:b/>
          <w:bCs/>
        </w:rPr>
        <w:t>94 (vomer, paired anterior depressions):</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85.</w:t>
      </w:r>
    </w:p>
    <w:p w14:paraId="0B4A6CCF" w14:textId="77777777" w:rsidR="00FA06B2" w:rsidRPr="00A155FA" w:rsidRDefault="00FA06B2" w:rsidP="005229E5">
      <w:pPr>
        <w:pStyle w:val="ListParagraph"/>
        <w:numPr>
          <w:ilvl w:val="1"/>
          <w:numId w:val="12"/>
        </w:numPr>
        <w:tabs>
          <w:tab w:val="left" w:pos="1260"/>
        </w:tabs>
        <w:rPr>
          <w:rFonts w:ascii="Times New Roman" w:hAnsi="Times New Roman" w:cs="Times New Roman"/>
        </w:rPr>
      </w:pPr>
      <w:r w:rsidRPr="00A155FA">
        <w:rPr>
          <w:rFonts w:ascii="Times New Roman" w:hAnsi="Times New Roman" w:cs="Times New Roman"/>
          <w:b/>
          <w:bCs/>
        </w:rPr>
        <w:t xml:space="preserve">96 (vomerine ridges):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85.</w:t>
      </w:r>
    </w:p>
    <w:p w14:paraId="413D0024" w14:textId="77777777" w:rsidR="00FA06B2" w:rsidRPr="00A155FA" w:rsidRDefault="00FA06B2" w:rsidP="005229E5">
      <w:pPr>
        <w:pStyle w:val="ListParagraph"/>
        <w:numPr>
          <w:ilvl w:val="1"/>
          <w:numId w:val="12"/>
        </w:numPr>
        <w:tabs>
          <w:tab w:val="left" w:pos="1260"/>
        </w:tabs>
        <w:rPr>
          <w:rFonts w:ascii="Times New Roman" w:hAnsi="Times New Roman" w:cs="Times New Roman"/>
        </w:rPr>
      </w:pPr>
      <w:r w:rsidRPr="00A155FA">
        <w:rPr>
          <w:rFonts w:ascii="Times New Roman" w:hAnsi="Times New Roman" w:cs="Times New Roman"/>
          <w:b/>
          <w:bCs/>
        </w:rPr>
        <w:t xml:space="preserve">97 (vomerine pit and fontanelle):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85.</w:t>
      </w:r>
    </w:p>
    <w:p w14:paraId="5C3B2EBB" w14:textId="77777777" w:rsidR="00FA06B2" w:rsidRPr="00A155FA" w:rsidRDefault="00FA06B2" w:rsidP="005229E5">
      <w:pPr>
        <w:pStyle w:val="ListParagraph"/>
        <w:numPr>
          <w:ilvl w:val="1"/>
          <w:numId w:val="12"/>
        </w:numPr>
        <w:tabs>
          <w:tab w:val="left" w:pos="1260"/>
        </w:tabs>
        <w:rPr>
          <w:rFonts w:ascii="Times New Roman" w:hAnsi="Times New Roman" w:cs="Times New Roman"/>
        </w:rPr>
      </w:pPr>
      <w:r w:rsidRPr="00A155FA">
        <w:rPr>
          <w:rFonts w:ascii="Times New Roman" w:hAnsi="Times New Roman" w:cs="Times New Roman"/>
          <w:b/>
          <w:bCs/>
        </w:rPr>
        <w:t xml:space="preserve">98 (vomerine septum):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85.</w:t>
      </w:r>
    </w:p>
    <w:p w14:paraId="657CAAFA" w14:textId="77777777" w:rsidR="00FA06B2" w:rsidRPr="00A155FA" w:rsidRDefault="00FA06B2" w:rsidP="005229E5">
      <w:pPr>
        <w:pStyle w:val="ListParagraph"/>
        <w:numPr>
          <w:ilvl w:val="1"/>
          <w:numId w:val="12"/>
        </w:numPr>
        <w:tabs>
          <w:tab w:val="left" w:pos="1260"/>
        </w:tabs>
        <w:rPr>
          <w:rFonts w:ascii="Times New Roman" w:hAnsi="Times New Roman" w:cs="Times New Roman"/>
        </w:rPr>
      </w:pPr>
      <w:r w:rsidRPr="00A155FA">
        <w:rPr>
          <w:rFonts w:ascii="Times New Roman" w:hAnsi="Times New Roman" w:cs="Times New Roman"/>
          <w:b/>
          <w:bCs/>
        </w:rPr>
        <w:t xml:space="preserve">100 (choana, medial):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85.</w:t>
      </w:r>
    </w:p>
    <w:p w14:paraId="7AB81A00" w14:textId="77777777" w:rsidR="00FA06B2" w:rsidRPr="00A155FA" w:rsidRDefault="00FA06B2" w:rsidP="005229E5">
      <w:pPr>
        <w:pStyle w:val="ListParagraph"/>
        <w:numPr>
          <w:ilvl w:val="1"/>
          <w:numId w:val="12"/>
        </w:numPr>
        <w:tabs>
          <w:tab w:val="left" w:pos="1260"/>
        </w:tabs>
        <w:rPr>
          <w:rFonts w:ascii="Times New Roman" w:hAnsi="Times New Roman" w:cs="Times New Roman"/>
        </w:rPr>
      </w:pPr>
      <w:r w:rsidRPr="00A155FA">
        <w:rPr>
          <w:rFonts w:ascii="Times New Roman" w:hAnsi="Times New Roman" w:cs="Times New Roman"/>
          <w:b/>
          <w:bCs/>
        </w:rPr>
        <w:t xml:space="preserve">101 (choana, width):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85.</w:t>
      </w:r>
    </w:p>
    <w:p w14:paraId="03CA6265" w14:textId="77777777" w:rsidR="00FA06B2" w:rsidRPr="00A155FA" w:rsidRDefault="00FA06B2" w:rsidP="005229E5">
      <w:pPr>
        <w:pStyle w:val="ListParagraph"/>
        <w:numPr>
          <w:ilvl w:val="1"/>
          <w:numId w:val="12"/>
        </w:numPr>
        <w:tabs>
          <w:tab w:val="left" w:pos="1260"/>
        </w:tabs>
        <w:rPr>
          <w:rFonts w:ascii="Times New Roman" w:hAnsi="Times New Roman" w:cs="Times New Roman"/>
        </w:rPr>
      </w:pPr>
      <w:r w:rsidRPr="00A155FA">
        <w:rPr>
          <w:rFonts w:ascii="Times New Roman" w:hAnsi="Times New Roman" w:cs="Times New Roman"/>
          <w:b/>
          <w:bCs/>
        </w:rPr>
        <w:t xml:space="preserve">103 (vomer, anterior part):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85.</w:t>
      </w:r>
    </w:p>
    <w:p w14:paraId="062D81DB" w14:textId="77777777" w:rsidR="00FA06B2" w:rsidRPr="00A155FA" w:rsidRDefault="00FA06B2" w:rsidP="005229E5">
      <w:pPr>
        <w:pStyle w:val="ListParagraph"/>
        <w:numPr>
          <w:ilvl w:val="1"/>
          <w:numId w:val="12"/>
        </w:numPr>
        <w:tabs>
          <w:tab w:val="left" w:pos="1260"/>
        </w:tabs>
        <w:rPr>
          <w:rFonts w:ascii="Times New Roman" w:hAnsi="Times New Roman" w:cs="Times New Roman"/>
        </w:rPr>
      </w:pPr>
      <w:r w:rsidRPr="00A155FA">
        <w:rPr>
          <w:rFonts w:ascii="Times New Roman" w:hAnsi="Times New Roman" w:cs="Times New Roman"/>
          <w:b/>
          <w:bCs/>
        </w:rPr>
        <w:t>120 (pterygoid, squamosal):</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Holmes (1984:453–454, fig. 4) showed that it is the epipterygoid, not the pterygoid, that sutures to the skull roof. There is therefore neither pterygoid-squamosal contact (120–0) nor an open fissure (120–1).</w:t>
      </w:r>
    </w:p>
    <w:p w14:paraId="1ADB54C6" w14:textId="77777777" w:rsidR="00FA06B2" w:rsidRPr="00A155FA" w:rsidRDefault="00FA06B2" w:rsidP="005229E5">
      <w:pPr>
        <w:pStyle w:val="ListParagraph"/>
        <w:numPr>
          <w:ilvl w:val="1"/>
          <w:numId w:val="12"/>
        </w:numPr>
        <w:tabs>
          <w:tab w:val="left" w:pos="1260"/>
        </w:tabs>
        <w:rPr>
          <w:rFonts w:ascii="Times New Roman" w:hAnsi="Times New Roman" w:cs="Times New Roman"/>
        </w:rPr>
      </w:pPr>
      <w:r w:rsidRPr="00A155FA">
        <w:rPr>
          <w:rFonts w:ascii="Times New Roman" w:hAnsi="Times New Roman" w:cs="Times New Roman"/>
          <w:b/>
          <w:bCs/>
        </w:rPr>
        <w:t xml:space="preserve">126 (palatine, vomer):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85.</w:t>
      </w:r>
    </w:p>
    <w:p w14:paraId="6B4FFBD4" w14:textId="77777777" w:rsidR="00FA06B2" w:rsidRPr="00A155FA" w:rsidRDefault="00FA06B2" w:rsidP="005229E5">
      <w:pPr>
        <w:pStyle w:val="ListParagraph"/>
        <w:numPr>
          <w:ilvl w:val="1"/>
          <w:numId w:val="12"/>
        </w:numPr>
        <w:tabs>
          <w:tab w:val="left" w:pos="1260"/>
        </w:tabs>
        <w:rPr>
          <w:rFonts w:ascii="Times New Roman" w:hAnsi="Times New Roman" w:cs="Times New Roman"/>
        </w:rPr>
      </w:pPr>
      <w:r w:rsidRPr="00A155FA">
        <w:rPr>
          <w:rFonts w:ascii="Times New Roman" w:hAnsi="Times New Roman" w:cs="Times New Roman"/>
          <w:b/>
          <w:bCs/>
        </w:rPr>
        <w:t>127 (LEP):</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24.</w:t>
      </w:r>
    </w:p>
    <w:p w14:paraId="767CF44A" w14:textId="77777777" w:rsidR="00FA06B2" w:rsidRPr="00A155FA" w:rsidRDefault="00FA06B2" w:rsidP="005229E5">
      <w:pPr>
        <w:pStyle w:val="ListParagraph"/>
        <w:numPr>
          <w:ilvl w:val="1"/>
          <w:numId w:val="12"/>
        </w:numPr>
        <w:tabs>
          <w:tab w:val="left" w:pos="1260"/>
        </w:tabs>
        <w:rPr>
          <w:rFonts w:ascii="Times New Roman" w:hAnsi="Times New Roman" w:cs="Times New Roman"/>
        </w:rPr>
      </w:pPr>
      <w:r w:rsidRPr="00A155FA">
        <w:rPr>
          <w:rFonts w:ascii="Times New Roman" w:hAnsi="Times New Roman" w:cs="Times New Roman"/>
          <w:b/>
          <w:bCs/>
        </w:rPr>
        <w:t>144 (preglenoid process):</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This refers to the dorsal margin of the coronoid process as formed by the surangular (i.e. is it mostly flat or convex); Holmes (1984:460, figs. 14–15) stated that there is a prominent dorsal process and reconstructed a markedly convex margin (144–1), but the latter morphology is only inferred.</w:t>
      </w:r>
    </w:p>
    <w:p w14:paraId="32B4B9E3" w14:textId="77777777" w:rsidR="00FA06B2" w:rsidRPr="00A155FA" w:rsidRDefault="00FA06B2" w:rsidP="005229E5">
      <w:pPr>
        <w:pStyle w:val="ListParagraph"/>
        <w:numPr>
          <w:ilvl w:val="1"/>
          <w:numId w:val="12"/>
        </w:numPr>
        <w:tabs>
          <w:tab w:val="left" w:pos="1260"/>
        </w:tabs>
        <w:rPr>
          <w:rFonts w:ascii="Times New Roman" w:hAnsi="Times New Roman" w:cs="Times New Roman"/>
        </w:rPr>
      </w:pPr>
      <w:r w:rsidRPr="00A155FA">
        <w:rPr>
          <w:rFonts w:ascii="Times New Roman" w:hAnsi="Times New Roman" w:cs="Times New Roman"/>
          <w:b/>
          <w:bCs/>
        </w:rPr>
        <w:t>145 (Meckelian window):</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1/2. Holmes (1984:461–462, fig. 15) indicated that this region of the lingual surface is not well-preserved, but it was reconstructed based on partial preservation of a “large” window. </w:t>
      </w:r>
    </w:p>
    <w:p w14:paraId="5A4C0ECF" w14:textId="77777777" w:rsidR="00FA06B2" w:rsidRPr="00A155FA" w:rsidRDefault="00FA06B2" w:rsidP="005229E5">
      <w:pPr>
        <w:pStyle w:val="ListParagraph"/>
        <w:numPr>
          <w:ilvl w:val="1"/>
          <w:numId w:val="12"/>
        </w:numPr>
        <w:tabs>
          <w:tab w:val="left" w:pos="1260"/>
        </w:tabs>
        <w:rPr>
          <w:rFonts w:ascii="Times New Roman" w:hAnsi="Times New Roman" w:cs="Times New Roman"/>
          <w:b/>
          <w:bCs/>
          <w:u w:val="single"/>
        </w:rPr>
      </w:pPr>
      <w:r w:rsidRPr="00A155FA">
        <w:rPr>
          <w:rFonts w:ascii="Times New Roman" w:hAnsi="Times New Roman" w:cs="Times New Roman"/>
          <w:b/>
          <w:bCs/>
        </w:rPr>
        <w:t xml:space="preserve">150 (stapes, quadrate process):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Holmes (1984) did not describe any stapes, fragmentary or otherwise, and Clack et al. (2016:84) noted that stapes are found in only two embolomeres: </w:t>
      </w:r>
      <w:r w:rsidRPr="00A155FA">
        <w:rPr>
          <w:rFonts w:ascii="Times New Roman" w:hAnsi="Times New Roman" w:cs="Times New Roman"/>
          <w:i/>
          <w:iCs/>
        </w:rPr>
        <w:t xml:space="preserve">Palaeoherpeton </w:t>
      </w:r>
      <w:r w:rsidRPr="00A155FA">
        <w:rPr>
          <w:rFonts w:ascii="Times New Roman" w:hAnsi="Times New Roman" w:cs="Times New Roman"/>
        </w:rPr>
        <w:t xml:space="preserve">and </w:t>
      </w:r>
      <w:r w:rsidRPr="00A155FA">
        <w:rPr>
          <w:rFonts w:ascii="Times New Roman" w:hAnsi="Times New Roman" w:cs="Times New Roman"/>
          <w:i/>
          <w:iCs/>
        </w:rPr>
        <w:t>Pholiderpeton</w:t>
      </w:r>
      <w:r w:rsidRPr="00A155FA">
        <w:rPr>
          <w:rFonts w:ascii="Times New Roman" w:hAnsi="Times New Roman" w:cs="Times New Roman"/>
        </w:rPr>
        <w:t>.</w:t>
      </w:r>
    </w:p>
    <w:p w14:paraId="32E0F0C5" w14:textId="77777777" w:rsidR="00FA06B2" w:rsidRPr="00A155FA" w:rsidRDefault="00FA06B2" w:rsidP="005229E5">
      <w:pPr>
        <w:pStyle w:val="ListParagraph"/>
        <w:numPr>
          <w:ilvl w:val="1"/>
          <w:numId w:val="12"/>
        </w:numPr>
        <w:tabs>
          <w:tab w:val="left" w:pos="1260"/>
        </w:tabs>
        <w:rPr>
          <w:rFonts w:ascii="Times New Roman" w:hAnsi="Times New Roman" w:cs="Times New Roman"/>
          <w:b/>
          <w:bCs/>
          <w:u w:val="single"/>
        </w:rPr>
      </w:pPr>
      <w:r w:rsidRPr="00A155FA">
        <w:rPr>
          <w:rFonts w:ascii="Times New Roman" w:hAnsi="Times New Roman" w:cs="Times New Roman"/>
          <w:b/>
          <w:bCs/>
        </w:rPr>
        <w:t xml:space="preserve">151 (stapes, ventral process):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150.</w:t>
      </w:r>
    </w:p>
    <w:p w14:paraId="7A8179AC" w14:textId="77777777" w:rsidR="00FA06B2" w:rsidRPr="00A155FA" w:rsidRDefault="00FA06B2" w:rsidP="005229E5">
      <w:pPr>
        <w:pStyle w:val="ListParagraph"/>
        <w:numPr>
          <w:ilvl w:val="1"/>
          <w:numId w:val="12"/>
        </w:numPr>
        <w:tabs>
          <w:tab w:val="left" w:pos="1260"/>
        </w:tabs>
        <w:rPr>
          <w:rFonts w:ascii="Times New Roman" w:hAnsi="Times New Roman" w:cs="Times New Roman"/>
          <w:b/>
          <w:bCs/>
          <w:u w:val="single"/>
        </w:rPr>
      </w:pPr>
      <w:r w:rsidRPr="00A155FA">
        <w:rPr>
          <w:rFonts w:ascii="Times New Roman" w:hAnsi="Times New Roman" w:cs="Times New Roman"/>
          <w:b/>
          <w:bCs/>
        </w:rPr>
        <w:t xml:space="preserve">152 (stapes, shape):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150.</w:t>
      </w:r>
    </w:p>
    <w:p w14:paraId="5425BFF5" w14:textId="77777777" w:rsidR="00FA06B2" w:rsidRPr="00A155FA" w:rsidRDefault="00FA06B2" w:rsidP="005229E5">
      <w:pPr>
        <w:pStyle w:val="ListParagraph"/>
        <w:numPr>
          <w:ilvl w:val="1"/>
          <w:numId w:val="12"/>
        </w:numPr>
        <w:tabs>
          <w:tab w:val="left" w:pos="1260"/>
        </w:tabs>
        <w:rPr>
          <w:rFonts w:ascii="Times New Roman" w:hAnsi="Times New Roman" w:cs="Times New Roman"/>
          <w:b/>
          <w:bCs/>
          <w:u w:val="single"/>
        </w:rPr>
      </w:pPr>
      <w:r w:rsidRPr="00A155FA">
        <w:rPr>
          <w:rFonts w:ascii="Times New Roman" w:hAnsi="Times New Roman" w:cs="Times New Roman"/>
          <w:b/>
          <w:bCs/>
        </w:rPr>
        <w:lastRenderedPageBreak/>
        <w:t xml:space="preserve">153 (stapes, curvature):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150.</w:t>
      </w:r>
    </w:p>
    <w:p w14:paraId="4741F93D" w14:textId="77777777" w:rsidR="00FA06B2" w:rsidRPr="00A155FA" w:rsidRDefault="00FA06B2" w:rsidP="005229E5">
      <w:pPr>
        <w:pStyle w:val="ListParagraph"/>
        <w:numPr>
          <w:ilvl w:val="1"/>
          <w:numId w:val="12"/>
        </w:numPr>
        <w:tabs>
          <w:tab w:val="left" w:pos="1260"/>
        </w:tabs>
        <w:rPr>
          <w:rFonts w:ascii="Times New Roman" w:hAnsi="Times New Roman" w:cs="Times New Roman"/>
          <w:b/>
          <w:bCs/>
          <w:u w:val="single"/>
        </w:rPr>
      </w:pPr>
      <w:r w:rsidRPr="00A155FA">
        <w:rPr>
          <w:rFonts w:ascii="Times New Roman" w:hAnsi="Times New Roman" w:cs="Times New Roman"/>
          <w:b/>
          <w:bCs/>
        </w:rPr>
        <w:t xml:space="preserve">173 (ribs, uncinate blades):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This character requires the presence of uncinate blades, which are absent.</w:t>
      </w:r>
    </w:p>
    <w:p w14:paraId="49036DD4" w14:textId="77777777" w:rsidR="00FA06B2" w:rsidRPr="00A155FA" w:rsidRDefault="00FA06B2" w:rsidP="005229E5">
      <w:pPr>
        <w:pStyle w:val="ListParagraph"/>
        <w:numPr>
          <w:ilvl w:val="1"/>
          <w:numId w:val="12"/>
        </w:numPr>
        <w:tabs>
          <w:tab w:val="left" w:pos="1260"/>
        </w:tabs>
        <w:rPr>
          <w:rFonts w:ascii="Times New Roman" w:hAnsi="Times New Roman" w:cs="Times New Roman"/>
          <w:b/>
          <w:bCs/>
          <w:u w:val="single"/>
        </w:rPr>
      </w:pPr>
      <w:r w:rsidRPr="00A155FA">
        <w:rPr>
          <w:rFonts w:ascii="Times New Roman" w:hAnsi="Times New Roman" w:cs="Times New Roman"/>
          <w:b/>
          <w:bCs/>
        </w:rPr>
        <w:t>174 (ribs, uncinate spines):</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173.</w:t>
      </w:r>
    </w:p>
    <w:p w14:paraId="23994199" w14:textId="77777777" w:rsidR="00FA06B2" w:rsidRPr="00A155FA" w:rsidRDefault="00FA06B2" w:rsidP="005229E5">
      <w:pPr>
        <w:pStyle w:val="ListParagraph"/>
        <w:numPr>
          <w:ilvl w:val="1"/>
          <w:numId w:val="12"/>
        </w:numPr>
        <w:tabs>
          <w:tab w:val="left" w:pos="1260"/>
        </w:tabs>
        <w:rPr>
          <w:rFonts w:ascii="Times New Roman" w:hAnsi="Times New Roman" w:cs="Times New Roman"/>
        </w:rPr>
      </w:pPr>
      <w:r w:rsidRPr="00A155FA">
        <w:rPr>
          <w:rFonts w:ascii="Times New Roman" w:hAnsi="Times New Roman" w:cs="Times New Roman"/>
          <w:b/>
          <w:bCs/>
        </w:rPr>
        <w:t xml:space="preserve">196 (carpals):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Holmes (1984:481, fig. 28) depicted two ossified distal carpals.</w:t>
      </w:r>
    </w:p>
    <w:p w14:paraId="49764D6B" w14:textId="77777777" w:rsidR="00FA06B2" w:rsidRPr="00A155FA" w:rsidRDefault="00FA06B2" w:rsidP="005229E5">
      <w:pPr>
        <w:pStyle w:val="ListParagraph"/>
        <w:numPr>
          <w:ilvl w:val="1"/>
          <w:numId w:val="12"/>
        </w:numPr>
        <w:tabs>
          <w:tab w:val="left" w:pos="1260"/>
        </w:tabs>
        <w:rPr>
          <w:rFonts w:ascii="Times New Roman" w:hAnsi="Times New Roman" w:cs="Times New Roman"/>
        </w:rPr>
      </w:pPr>
      <w:r w:rsidRPr="00A155FA">
        <w:rPr>
          <w:rFonts w:ascii="Times New Roman" w:hAnsi="Times New Roman" w:cs="Times New Roman"/>
          <w:b/>
          <w:bCs/>
        </w:rPr>
        <w:t xml:space="preserve">266 (Meckelian fossa):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0/1. Holmes (1984:461–462) noted one anterior fossa near the anterior end of the prearticular. He tentatively suggested there was a second one more posteriorly, which is typical for early tetrapods, but the degree of confidence expressed is not sufficient to code it exclusively for 266–0 (two fossae).</w:t>
      </w:r>
    </w:p>
    <w:p w14:paraId="5A84DC9C" w14:textId="77777777" w:rsidR="00FA06B2" w:rsidRPr="00A155FA" w:rsidRDefault="00FA06B2" w:rsidP="005229E5">
      <w:pPr>
        <w:pStyle w:val="ListParagraph"/>
        <w:numPr>
          <w:ilvl w:val="1"/>
          <w:numId w:val="12"/>
        </w:numPr>
        <w:tabs>
          <w:tab w:val="left" w:pos="1260"/>
        </w:tabs>
        <w:rPr>
          <w:rFonts w:ascii="Times New Roman" w:hAnsi="Times New Roman" w:cs="Times New Roman"/>
        </w:rPr>
      </w:pPr>
      <w:r w:rsidRPr="00A155FA">
        <w:rPr>
          <w:rFonts w:ascii="Times New Roman" w:hAnsi="Times New Roman" w:cs="Times New Roman"/>
          <w:b/>
          <w:bCs/>
        </w:rPr>
        <w:t>312 (parietal width):</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As shown by Holmes (1984:figs. 5–6).</w:t>
      </w:r>
    </w:p>
    <w:p w14:paraId="3610253D" w14:textId="77777777" w:rsidR="00FA06B2" w:rsidRPr="00A155FA" w:rsidRDefault="00FA06B2" w:rsidP="005229E5">
      <w:pPr>
        <w:pStyle w:val="ListParagraph"/>
        <w:numPr>
          <w:ilvl w:val="1"/>
          <w:numId w:val="12"/>
        </w:numPr>
        <w:tabs>
          <w:tab w:val="left" w:pos="1260"/>
        </w:tabs>
        <w:rPr>
          <w:rFonts w:ascii="Times New Roman" w:hAnsi="Times New Roman" w:cs="Times New Roman"/>
        </w:rPr>
      </w:pPr>
      <w:r w:rsidRPr="00A155FA">
        <w:rPr>
          <w:rFonts w:ascii="Times New Roman" w:hAnsi="Times New Roman" w:cs="Times New Roman"/>
          <w:b/>
          <w:bCs/>
        </w:rPr>
        <w:t>349 (vomer):</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85.</w:t>
      </w:r>
    </w:p>
    <w:p w14:paraId="24716376" w14:textId="77777777" w:rsidR="00FA06B2" w:rsidRPr="00A155FA" w:rsidRDefault="00FA06B2" w:rsidP="005229E5">
      <w:pPr>
        <w:pStyle w:val="ListParagraph"/>
        <w:numPr>
          <w:ilvl w:val="0"/>
          <w:numId w:val="12"/>
        </w:numPr>
        <w:tabs>
          <w:tab w:val="left" w:pos="1260"/>
        </w:tabs>
        <w:rPr>
          <w:rFonts w:ascii="Times New Roman" w:hAnsi="Times New Roman" w:cs="Times New Roman"/>
          <w:b/>
          <w:bCs/>
          <w:i/>
          <w:iCs/>
        </w:rPr>
      </w:pPr>
      <w:r w:rsidRPr="00A155FA">
        <w:rPr>
          <w:rFonts w:ascii="Times New Roman" w:hAnsi="Times New Roman" w:cs="Times New Roman"/>
          <w:b/>
          <w:bCs/>
          <w:i/>
          <w:iCs/>
        </w:rPr>
        <w:t>Greererpeton burkemorani</w:t>
      </w:r>
    </w:p>
    <w:p w14:paraId="2D017897" w14:textId="77777777" w:rsidR="00FA06B2" w:rsidRPr="007A0A6B" w:rsidRDefault="00FA06B2" w:rsidP="007A0A6B">
      <w:pPr>
        <w:pStyle w:val="ListParagraph"/>
        <w:numPr>
          <w:ilvl w:val="0"/>
          <w:numId w:val="13"/>
        </w:numPr>
        <w:ind w:left="1260" w:hanging="180"/>
        <w:rPr>
          <w:rFonts w:ascii="Times New Roman" w:hAnsi="Times New Roman" w:cs="Times New Roman"/>
        </w:rPr>
      </w:pPr>
      <w:r w:rsidRPr="007A0A6B">
        <w:rPr>
          <w:rFonts w:ascii="Times New Roman" w:hAnsi="Times New Roman" w:cs="Times New Roman"/>
        </w:rPr>
        <w:t xml:space="preserve">15 (snout, internarial distance): 0 </w:t>
      </w:r>
      <w:r w:rsidRPr="007A0A6B">
        <w:rPr>
          <w:rFonts w:ascii="Times New Roman" w:hAnsi="Times New Roman" w:cs="Times New Roman"/>
        </w:rPr>
        <w:sym w:font="Wingdings" w:char="F0E0"/>
      </w:r>
      <w:r w:rsidRPr="007A0A6B">
        <w:rPr>
          <w:rFonts w:ascii="Times New Roman" w:hAnsi="Times New Roman" w:cs="Times New Roman"/>
        </w:rPr>
        <w:t xml:space="preserve"> 1. The nares of this taxon are not exposed dorsally in adults (this is an ontogenetic shift; Godfrey, 1989), and consequently, the interorbital distance is much narrower (see also, Smithson, 1982).</w:t>
      </w:r>
    </w:p>
    <w:p w14:paraId="2C7C00B7" w14:textId="77777777" w:rsidR="00FA06B2" w:rsidRPr="00A155FA" w:rsidRDefault="00FA06B2" w:rsidP="007A0A6B">
      <w:pPr>
        <w:pStyle w:val="ListParagraph"/>
        <w:numPr>
          <w:ilvl w:val="0"/>
          <w:numId w:val="13"/>
        </w:numPr>
        <w:tabs>
          <w:tab w:val="left" w:pos="1260"/>
        </w:tabs>
        <w:ind w:left="1260" w:hanging="180"/>
        <w:rPr>
          <w:rFonts w:ascii="Times New Roman" w:hAnsi="Times New Roman" w:cs="Times New Roman"/>
        </w:rPr>
      </w:pPr>
      <w:r w:rsidRPr="00A155FA">
        <w:rPr>
          <w:rFonts w:ascii="Times New Roman" w:hAnsi="Times New Roman" w:cs="Times New Roman"/>
          <w:b/>
          <w:bCs/>
        </w:rPr>
        <w:t xml:space="preserve">24 (lacrimal, posterior extension):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As shown and described by Romer (1969:figs. 2–3) and Smithson (1982:44, figs. 5, 7), the lacrimal forms a substantial portion of the lateral orbital margin. This is slightly reduced throughout ontogeny (Godfrey et al., 1989:fig. 4), but the posterior terminus of the lacrimal remains well posterior to the level of the anterior orbital margin.</w:t>
      </w:r>
    </w:p>
    <w:p w14:paraId="67D75EDF" w14:textId="77777777" w:rsidR="00FA06B2" w:rsidRPr="00A155FA" w:rsidRDefault="00FA06B2" w:rsidP="007A0A6B">
      <w:pPr>
        <w:pStyle w:val="ListParagraph"/>
        <w:numPr>
          <w:ilvl w:val="0"/>
          <w:numId w:val="13"/>
        </w:numPr>
        <w:tabs>
          <w:tab w:val="left" w:pos="1260"/>
        </w:tabs>
        <w:ind w:left="1260" w:hanging="180"/>
        <w:rPr>
          <w:rFonts w:ascii="Times New Roman" w:hAnsi="Times New Roman" w:cs="Times New Roman"/>
        </w:rPr>
      </w:pPr>
      <w:r w:rsidRPr="00A155FA">
        <w:rPr>
          <w:rFonts w:ascii="Times New Roman" w:hAnsi="Times New Roman" w:cs="Times New Roman"/>
          <w:b/>
          <w:bCs/>
        </w:rPr>
        <w:t xml:space="preserve">45 (prefrontal-maxilla):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There is a prominent contact between these elements (Romer, 1969:figs. 2–3; Smithson, 1982:44, fig. 9; Godfrey, 1989:fig. 4).</w:t>
      </w:r>
    </w:p>
    <w:p w14:paraId="4C5F786A" w14:textId="77777777" w:rsidR="00FA06B2" w:rsidRPr="00A155FA" w:rsidRDefault="00FA06B2" w:rsidP="007A0A6B">
      <w:pPr>
        <w:pStyle w:val="ListParagraph"/>
        <w:numPr>
          <w:ilvl w:val="0"/>
          <w:numId w:val="13"/>
        </w:numPr>
        <w:tabs>
          <w:tab w:val="left" w:pos="1260"/>
        </w:tabs>
        <w:ind w:left="1260" w:hanging="180"/>
        <w:rPr>
          <w:rFonts w:ascii="Times New Roman" w:hAnsi="Times New Roman" w:cs="Times New Roman"/>
        </w:rPr>
      </w:pPr>
      <w:r w:rsidRPr="00A155FA">
        <w:rPr>
          <w:rFonts w:ascii="Times New Roman" w:hAnsi="Times New Roman" w:cs="Times New Roman"/>
          <w:b/>
          <w:bCs/>
        </w:rPr>
        <w:t>120 (pterygoid, squamosal):</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It is the epipterygoid, not the pterygoid, that sutures to the skull roof. There is therefore neither pterygoid-squamosal contact nor an open fissure (Smithson, 1982:42, 44, fig. 12).</w:t>
      </w:r>
    </w:p>
    <w:p w14:paraId="059B4777" w14:textId="77777777" w:rsidR="00FA06B2" w:rsidRPr="00A155FA" w:rsidRDefault="00FA06B2" w:rsidP="007A0A6B">
      <w:pPr>
        <w:pStyle w:val="ListParagraph"/>
        <w:numPr>
          <w:ilvl w:val="0"/>
          <w:numId w:val="13"/>
        </w:numPr>
        <w:tabs>
          <w:tab w:val="left" w:pos="1260"/>
        </w:tabs>
        <w:ind w:left="1260" w:hanging="180"/>
        <w:rPr>
          <w:rFonts w:ascii="Times New Roman" w:hAnsi="Times New Roman" w:cs="Times New Roman"/>
        </w:rPr>
      </w:pPr>
      <w:r w:rsidRPr="00A155FA">
        <w:rPr>
          <w:rFonts w:ascii="Times New Roman" w:hAnsi="Times New Roman" w:cs="Times New Roman"/>
          <w:b/>
          <w:bCs/>
        </w:rPr>
        <w:t>196 (carpals):</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1. Godfrey (1989:109) made brief mention of ossified carpals.</w:t>
      </w:r>
    </w:p>
    <w:p w14:paraId="31114240" w14:textId="77777777" w:rsidR="00FA06B2" w:rsidRPr="00A155FA" w:rsidRDefault="00FA06B2" w:rsidP="007A0A6B">
      <w:pPr>
        <w:pStyle w:val="ListParagraph"/>
        <w:numPr>
          <w:ilvl w:val="0"/>
          <w:numId w:val="13"/>
        </w:numPr>
        <w:tabs>
          <w:tab w:val="left" w:pos="1260"/>
        </w:tabs>
        <w:ind w:left="1260" w:hanging="180"/>
        <w:rPr>
          <w:rFonts w:ascii="Times New Roman" w:hAnsi="Times New Roman" w:cs="Times New Roman"/>
        </w:rPr>
      </w:pPr>
      <w:r w:rsidRPr="00A155FA">
        <w:rPr>
          <w:rFonts w:ascii="Times New Roman" w:hAnsi="Times New Roman" w:cs="Times New Roman"/>
          <w:b/>
          <w:bCs/>
        </w:rPr>
        <w:t>267 (ventral border of Meckel’s fossa):</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0&amp;1. This taxon has an unusually large Meckelian fossa, which is largely bordered ventrally by the postsplenial, with contributes on the ends by both the splenial (267–0) and the angular (267–1) (e.g., Smithson, 1982:fig. 19; Bolt &amp; Lombard, 2001:figs. 2, 4–5). </w:t>
      </w:r>
    </w:p>
    <w:p w14:paraId="7E27568E"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r w:rsidRPr="00A155FA">
        <w:rPr>
          <w:rFonts w:ascii="Times New Roman" w:hAnsi="Times New Roman" w:cs="Times New Roman"/>
          <w:b/>
          <w:bCs/>
          <w:i/>
          <w:iCs/>
        </w:rPr>
        <w:t>Brachydectes newberryi</w:t>
      </w:r>
    </w:p>
    <w:p w14:paraId="46308676" w14:textId="77777777" w:rsidR="00FA06B2" w:rsidRPr="00A155FA" w:rsidRDefault="00FA06B2" w:rsidP="00B953AE">
      <w:pPr>
        <w:tabs>
          <w:tab w:val="left" w:pos="1260"/>
        </w:tabs>
      </w:pPr>
      <w:r w:rsidRPr="00A155FA">
        <w:t>*Note that these changes are considered to be applicable regardless of whether the more restrictive concept of ‘</w:t>
      </w:r>
      <w:r w:rsidRPr="00A155FA">
        <w:rPr>
          <w:i/>
          <w:iCs/>
        </w:rPr>
        <w:t>B. elongatus</w:t>
      </w:r>
      <w:r w:rsidRPr="00A155FA">
        <w:t xml:space="preserve">’ (sensu </w:t>
      </w:r>
      <w:proofErr w:type="spellStart"/>
      <w:r w:rsidRPr="00A155FA">
        <w:t>Wellstead</w:t>
      </w:r>
      <w:proofErr w:type="spellEnd"/>
      <w:r w:rsidRPr="00A155FA">
        <w:t xml:space="preserve">, 1991) or the more expansive concept of </w:t>
      </w:r>
      <w:r w:rsidRPr="00A155FA">
        <w:rPr>
          <w:i/>
          <w:iCs/>
        </w:rPr>
        <w:t xml:space="preserve">B. newberryi </w:t>
      </w:r>
      <w:r w:rsidRPr="00A155FA">
        <w:t>(sensu Pardo &amp; Anderson, 2016)</w:t>
      </w:r>
      <w:r w:rsidRPr="00A155FA">
        <w:rPr>
          <w:i/>
          <w:iCs/>
        </w:rPr>
        <w:t xml:space="preserve"> </w:t>
      </w:r>
      <w:r w:rsidRPr="00A155FA">
        <w:t xml:space="preserve">is employed. </w:t>
      </w:r>
    </w:p>
    <w:p w14:paraId="4EA346E4" w14:textId="77777777" w:rsidR="00FA06B2" w:rsidRPr="00A155FA" w:rsidRDefault="00FA06B2" w:rsidP="007A0A6B">
      <w:pPr>
        <w:pStyle w:val="ListParagraph"/>
        <w:numPr>
          <w:ilvl w:val="0"/>
          <w:numId w:val="14"/>
        </w:numPr>
        <w:tabs>
          <w:tab w:val="left" w:pos="1080"/>
        </w:tabs>
        <w:rPr>
          <w:rFonts w:ascii="Times New Roman" w:hAnsi="Times New Roman" w:cs="Times New Roman"/>
          <w:b/>
          <w:bCs/>
        </w:rPr>
      </w:pPr>
      <w:r w:rsidRPr="00A155FA">
        <w:rPr>
          <w:rFonts w:ascii="Times New Roman" w:hAnsi="Times New Roman" w:cs="Times New Roman"/>
          <w:b/>
          <w:bCs/>
        </w:rPr>
        <w:t xml:space="preserve">15 (internarial distance): </w:t>
      </w:r>
      <w:r w:rsidRPr="00A155FA">
        <w:rPr>
          <w:rFonts w:ascii="Times New Roman" w:hAnsi="Times New Roman" w:cs="Times New Roman"/>
        </w:rPr>
        <w:t xml:space="preserve">1 </w:t>
      </w:r>
      <w:r w:rsidRPr="00A155FA">
        <w:rPr>
          <w:rFonts w:ascii="Times New Roman" w:hAnsi="Times New Roman" w:cs="Times New Roman"/>
        </w:rPr>
        <w:sym w:font="Wingdings" w:char="F0E0"/>
      </w:r>
      <w:r w:rsidRPr="00A155FA">
        <w:rPr>
          <w:rFonts w:ascii="Times New Roman" w:hAnsi="Times New Roman" w:cs="Times New Roman"/>
        </w:rPr>
        <w:t xml:space="preserve"> 0. The nares approach each other very closely on the dorsal surface of the skull (e.g., Pardo &amp; Anderson, 2016:fig. 4B).</w:t>
      </w:r>
    </w:p>
    <w:p w14:paraId="68E3737D" w14:textId="77777777" w:rsidR="00FA06B2" w:rsidRPr="00A155FA" w:rsidRDefault="00FA06B2" w:rsidP="00A30351">
      <w:pPr>
        <w:pStyle w:val="ListParagraph"/>
        <w:numPr>
          <w:ilvl w:val="0"/>
          <w:numId w:val="14"/>
        </w:numPr>
        <w:tabs>
          <w:tab w:val="left" w:pos="1260"/>
        </w:tabs>
        <w:rPr>
          <w:rFonts w:ascii="Times New Roman" w:hAnsi="Times New Roman" w:cs="Times New Roman"/>
          <w:b/>
          <w:bCs/>
        </w:rPr>
      </w:pPr>
      <w:r w:rsidRPr="00A155FA">
        <w:rPr>
          <w:rFonts w:ascii="Times New Roman" w:hAnsi="Times New Roman" w:cs="Times New Roman"/>
          <w:b/>
          <w:bCs/>
        </w:rPr>
        <w:t xml:space="preserve">17 (naris, position):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1. As with character 15.</w:t>
      </w:r>
    </w:p>
    <w:p w14:paraId="78D27A5E" w14:textId="77777777" w:rsidR="00FA06B2" w:rsidRPr="00A155FA" w:rsidRDefault="00FA06B2" w:rsidP="005229E5">
      <w:pPr>
        <w:pStyle w:val="ListParagraph"/>
        <w:numPr>
          <w:ilvl w:val="0"/>
          <w:numId w:val="14"/>
        </w:numPr>
        <w:tabs>
          <w:tab w:val="left" w:pos="1260"/>
        </w:tabs>
        <w:rPr>
          <w:rFonts w:ascii="Times New Roman" w:hAnsi="Times New Roman" w:cs="Times New Roman"/>
          <w:b/>
          <w:bCs/>
        </w:rPr>
      </w:pPr>
      <w:r w:rsidRPr="00A155FA">
        <w:rPr>
          <w:rFonts w:ascii="Times New Roman" w:hAnsi="Times New Roman" w:cs="Times New Roman"/>
          <w:b/>
          <w:bCs/>
        </w:rPr>
        <w:t xml:space="preserve">24 (lacrimal, posterior extension):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As shown by Pardo &amp; Anderson (2016:figs. 3C, 4A), the lacrimal forms the anterolateral corner of the orbit and extends beyond the antorbital region.</w:t>
      </w:r>
    </w:p>
    <w:p w14:paraId="3DAD60EF" w14:textId="77777777" w:rsidR="00FA06B2" w:rsidRPr="00A155FA" w:rsidRDefault="00FA06B2" w:rsidP="005229E5">
      <w:pPr>
        <w:pStyle w:val="ListParagraph"/>
        <w:numPr>
          <w:ilvl w:val="0"/>
          <w:numId w:val="14"/>
        </w:numPr>
        <w:tabs>
          <w:tab w:val="left" w:pos="1260"/>
        </w:tabs>
        <w:rPr>
          <w:rFonts w:ascii="Times New Roman" w:hAnsi="Times New Roman" w:cs="Times New Roman"/>
          <w:b/>
          <w:bCs/>
        </w:rPr>
      </w:pPr>
      <w:r w:rsidRPr="00A155FA">
        <w:rPr>
          <w:rFonts w:ascii="Times New Roman" w:hAnsi="Times New Roman" w:cs="Times New Roman"/>
          <w:b/>
          <w:bCs/>
        </w:rPr>
        <w:t xml:space="preserve">26 (orbit location):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 This taxon has no jugal.</w:t>
      </w:r>
    </w:p>
    <w:p w14:paraId="3F6C832C" w14:textId="77777777" w:rsidR="00FA06B2" w:rsidRPr="00A155FA" w:rsidRDefault="00FA06B2" w:rsidP="005229E5">
      <w:pPr>
        <w:pStyle w:val="ListParagraph"/>
        <w:numPr>
          <w:ilvl w:val="0"/>
          <w:numId w:val="14"/>
        </w:numPr>
        <w:tabs>
          <w:tab w:val="left" w:pos="1260"/>
        </w:tabs>
        <w:rPr>
          <w:rFonts w:ascii="Times New Roman" w:hAnsi="Times New Roman" w:cs="Times New Roman"/>
          <w:b/>
          <w:bCs/>
        </w:rPr>
      </w:pPr>
      <w:r w:rsidRPr="00A155FA">
        <w:rPr>
          <w:rFonts w:ascii="Times New Roman" w:hAnsi="Times New Roman" w:cs="Times New Roman"/>
          <w:b/>
          <w:bCs/>
        </w:rPr>
        <w:t xml:space="preserve">30 (interorbital distance):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The interorbital region is wider than the orbits, even when accounting for the laterally facing orientation (e.g., Pardo &amp; Anderson, 2016:figs. 3–4).</w:t>
      </w:r>
    </w:p>
    <w:p w14:paraId="40F0FA5D" w14:textId="77777777" w:rsidR="00FA06B2" w:rsidRPr="00A155FA" w:rsidRDefault="00FA06B2" w:rsidP="005229E5">
      <w:pPr>
        <w:pStyle w:val="ListParagraph"/>
        <w:numPr>
          <w:ilvl w:val="0"/>
          <w:numId w:val="14"/>
        </w:numPr>
        <w:tabs>
          <w:tab w:val="left" w:pos="1260"/>
        </w:tabs>
        <w:rPr>
          <w:rFonts w:ascii="Times New Roman" w:hAnsi="Times New Roman" w:cs="Times New Roman"/>
          <w:b/>
          <w:bCs/>
        </w:rPr>
      </w:pPr>
      <w:r w:rsidRPr="00A155FA">
        <w:rPr>
          <w:rFonts w:ascii="Times New Roman" w:hAnsi="Times New Roman" w:cs="Times New Roman"/>
          <w:b/>
          <w:bCs/>
        </w:rPr>
        <w:lastRenderedPageBreak/>
        <w:t xml:space="preserve">44 (prefrontal-jugal):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26.</w:t>
      </w:r>
    </w:p>
    <w:p w14:paraId="77C19148" w14:textId="77777777" w:rsidR="00FA06B2" w:rsidRPr="00A155FA" w:rsidRDefault="00FA06B2" w:rsidP="005229E5">
      <w:pPr>
        <w:pStyle w:val="ListParagraph"/>
        <w:numPr>
          <w:ilvl w:val="0"/>
          <w:numId w:val="14"/>
        </w:numPr>
        <w:tabs>
          <w:tab w:val="left" w:pos="1260"/>
        </w:tabs>
        <w:rPr>
          <w:rFonts w:ascii="Times New Roman" w:hAnsi="Times New Roman" w:cs="Times New Roman"/>
          <w:b/>
          <w:bCs/>
        </w:rPr>
      </w:pPr>
      <w:r w:rsidRPr="00A155FA">
        <w:rPr>
          <w:rFonts w:ascii="Times New Roman" w:hAnsi="Times New Roman" w:cs="Times New Roman"/>
          <w:b/>
          <w:bCs/>
        </w:rPr>
        <w:t xml:space="preserve">51 (otic notch):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‘Microsaurs’ lack any form of otic notch or squamosal embayment (</w:t>
      </w:r>
      <w:proofErr w:type="spellStart"/>
      <w:r w:rsidRPr="00A155FA">
        <w:rPr>
          <w:rFonts w:ascii="Times New Roman" w:hAnsi="Times New Roman" w:cs="Times New Roman"/>
        </w:rPr>
        <w:t>Wellstead</w:t>
      </w:r>
      <w:proofErr w:type="spellEnd"/>
      <w:r w:rsidRPr="00A155FA">
        <w:rPr>
          <w:rFonts w:ascii="Times New Roman" w:hAnsi="Times New Roman" w:cs="Times New Roman"/>
        </w:rPr>
        <w:t>, 1991; Pardo &amp; Anderson, 2016).</w:t>
      </w:r>
    </w:p>
    <w:p w14:paraId="57EF6CA5" w14:textId="77777777" w:rsidR="00FA06B2" w:rsidRPr="00A155FA" w:rsidRDefault="00FA06B2" w:rsidP="005229E5">
      <w:pPr>
        <w:pStyle w:val="ListParagraph"/>
        <w:numPr>
          <w:ilvl w:val="0"/>
          <w:numId w:val="14"/>
        </w:numPr>
        <w:tabs>
          <w:tab w:val="left" w:pos="1260"/>
        </w:tabs>
        <w:rPr>
          <w:rFonts w:ascii="Times New Roman" w:hAnsi="Times New Roman" w:cs="Times New Roman"/>
          <w:b/>
          <w:bCs/>
        </w:rPr>
      </w:pPr>
      <w:r w:rsidRPr="00A155FA">
        <w:rPr>
          <w:rFonts w:ascii="Times New Roman" w:hAnsi="Times New Roman" w:cs="Times New Roman"/>
          <w:b/>
          <w:bCs/>
        </w:rPr>
        <w:t>59 (jugal-lacrimal):</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 As with character 26.</w:t>
      </w:r>
    </w:p>
    <w:p w14:paraId="1727C897" w14:textId="77777777" w:rsidR="00FA06B2" w:rsidRPr="00A155FA" w:rsidRDefault="00FA06B2" w:rsidP="005229E5">
      <w:pPr>
        <w:pStyle w:val="ListParagraph"/>
        <w:numPr>
          <w:ilvl w:val="0"/>
          <w:numId w:val="14"/>
        </w:numPr>
        <w:tabs>
          <w:tab w:val="left" w:pos="1260"/>
        </w:tabs>
        <w:rPr>
          <w:rFonts w:ascii="Times New Roman" w:hAnsi="Times New Roman" w:cs="Times New Roman"/>
          <w:b/>
          <w:bCs/>
        </w:rPr>
      </w:pPr>
      <w:r w:rsidRPr="00A155FA">
        <w:rPr>
          <w:rFonts w:ascii="Times New Roman" w:hAnsi="Times New Roman" w:cs="Times New Roman"/>
          <w:b/>
          <w:bCs/>
        </w:rPr>
        <w:t xml:space="preserve">74 (posttemporal fenestra):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There are no openings homologous with the posttemporal fenestrae of temnospondyls.</w:t>
      </w:r>
    </w:p>
    <w:p w14:paraId="6C4709BE" w14:textId="77777777" w:rsidR="00FA06B2" w:rsidRPr="007A0A6B" w:rsidRDefault="00FA06B2" w:rsidP="00A30351">
      <w:pPr>
        <w:pStyle w:val="ListParagraph"/>
        <w:numPr>
          <w:ilvl w:val="0"/>
          <w:numId w:val="14"/>
        </w:numPr>
        <w:tabs>
          <w:tab w:val="left" w:pos="1260"/>
        </w:tabs>
        <w:rPr>
          <w:rFonts w:ascii="Times New Roman" w:hAnsi="Times New Roman" w:cs="Times New Roman"/>
          <w:b/>
          <w:bCs/>
        </w:rPr>
      </w:pPr>
      <w:r w:rsidRPr="00A155FA">
        <w:rPr>
          <w:rFonts w:ascii="Times New Roman" w:hAnsi="Times New Roman" w:cs="Times New Roman"/>
          <w:b/>
          <w:bCs/>
        </w:rPr>
        <w:t xml:space="preserve">89 (interpterygoid vacuities):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 There are no interpterygoid vacuities in this taxon.</w:t>
      </w:r>
    </w:p>
    <w:p w14:paraId="7C4DA366" w14:textId="77777777" w:rsidR="00FA06B2" w:rsidRPr="007A0A6B" w:rsidRDefault="00FA06B2" w:rsidP="00A30351">
      <w:pPr>
        <w:pStyle w:val="ListParagraph"/>
        <w:numPr>
          <w:ilvl w:val="0"/>
          <w:numId w:val="14"/>
        </w:numPr>
        <w:tabs>
          <w:tab w:val="left" w:pos="1260"/>
        </w:tabs>
        <w:rPr>
          <w:rFonts w:ascii="Times New Roman" w:hAnsi="Times New Roman" w:cs="Times New Roman"/>
          <w:b/>
          <w:bCs/>
        </w:rPr>
      </w:pPr>
      <w:r w:rsidRPr="00A155FA">
        <w:rPr>
          <w:rFonts w:ascii="Times New Roman" w:hAnsi="Times New Roman" w:cs="Times New Roman"/>
          <w:b/>
          <w:bCs/>
        </w:rPr>
        <w:t xml:space="preserve">90 (interpterygoid vacuities, pterygoid):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 As with character 89.</w:t>
      </w:r>
    </w:p>
    <w:p w14:paraId="4982771E" w14:textId="77777777" w:rsidR="00FA06B2" w:rsidRPr="007A0A6B" w:rsidRDefault="00FA06B2" w:rsidP="00A30351">
      <w:pPr>
        <w:pStyle w:val="ListParagraph"/>
        <w:numPr>
          <w:ilvl w:val="0"/>
          <w:numId w:val="14"/>
        </w:numPr>
        <w:tabs>
          <w:tab w:val="left" w:pos="1260"/>
        </w:tabs>
        <w:rPr>
          <w:rFonts w:ascii="Times New Roman" w:hAnsi="Times New Roman" w:cs="Times New Roman"/>
          <w:b/>
          <w:bCs/>
        </w:rPr>
      </w:pPr>
      <w:r w:rsidRPr="00A155FA">
        <w:rPr>
          <w:rFonts w:ascii="Times New Roman" w:hAnsi="Times New Roman" w:cs="Times New Roman"/>
          <w:b/>
          <w:bCs/>
        </w:rPr>
        <w:t xml:space="preserve">105 (basipterygoid ramus):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 As with character 89.</w:t>
      </w:r>
    </w:p>
    <w:p w14:paraId="2D208581" w14:textId="77777777" w:rsidR="00FA06B2" w:rsidRPr="00A155FA" w:rsidRDefault="00FA06B2" w:rsidP="00A30351">
      <w:pPr>
        <w:pStyle w:val="ListParagraph"/>
        <w:numPr>
          <w:ilvl w:val="0"/>
          <w:numId w:val="14"/>
        </w:numPr>
        <w:tabs>
          <w:tab w:val="left" w:pos="1260"/>
        </w:tabs>
        <w:rPr>
          <w:rFonts w:ascii="Times New Roman" w:hAnsi="Times New Roman" w:cs="Times New Roman"/>
          <w:b/>
          <w:bCs/>
        </w:rPr>
      </w:pPr>
      <w:r w:rsidRPr="00A155FA">
        <w:rPr>
          <w:rFonts w:ascii="Times New Roman" w:hAnsi="Times New Roman" w:cs="Times New Roman"/>
          <w:b/>
          <w:bCs/>
        </w:rPr>
        <w:t xml:space="preserve">106 (basicranium, contact):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1. The pterygoid and parasphenoid have a long abutting contact.</w:t>
      </w:r>
    </w:p>
    <w:p w14:paraId="53AE63E7" w14:textId="77777777" w:rsidR="00FA06B2" w:rsidRPr="00A155FA" w:rsidRDefault="00FA06B2" w:rsidP="005229E5">
      <w:pPr>
        <w:pStyle w:val="ListParagraph"/>
        <w:numPr>
          <w:ilvl w:val="0"/>
          <w:numId w:val="14"/>
        </w:numPr>
        <w:tabs>
          <w:tab w:val="left" w:pos="1260"/>
        </w:tabs>
        <w:rPr>
          <w:rFonts w:ascii="Times New Roman" w:hAnsi="Times New Roman" w:cs="Times New Roman"/>
          <w:b/>
          <w:bCs/>
        </w:rPr>
      </w:pPr>
      <w:r w:rsidRPr="00A155FA">
        <w:rPr>
          <w:rFonts w:ascii="Times New Roman" w:hAnsi="Times New Roman" w:cs="Times New Roman"/>
          <w:b/>
          <w:bCs/>
        </w:rPr>
        <w:t xml:space="preserve">120 (pterygoid-squamosal):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The pterygoid is not a vaulted element in ‘microsaurs,’ and therefore there is a large separation between the pterygoid and the skull roof. </w:t>
      </w:r>
    </w:p>
    <w:p w14:paraId="643B7E0A" w14:textId="77777777" w:rsidR="00FA06B2" w:rsidRPr="00A155FA" w:rsidRDefault="00FA06B2" w:rsidP="005229E5">
      <w:pPr>
        <w:pStyle w:val="ListParagraph"/>
        <w:numPr>
          <w:ilvl w:val="0"/>
          <w:numId w:val="14"/>
        </w:numPr>
        <w:tabs>
          <w:tab w:val="left" w:pos="1260"/>
        </w:tabs>
        <w:rPr>
          <w:rFonts w:ascii="Times New Roman" w:hAnsi="Times New Roman" w:cs="Times New Roman"/>
          <w:b/>
          <w:bCs/>
        </w:rPr>
      </w:pPr>
      <w:r w:rsidRPr="00A155FA">
        <w:rPr>
          <w:rFonts w:ascii="Times New Roman" w:hAnsi="Times New Roman" w:cs="Times New Roman"/>
          <w:b/>
          <w:bCs/>
        </w:rPr>
        <w:t xml:space="preserve">147 (posterior coronoid teeth):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Pardo &amp; Anderson (2016:18–19) described only one coronoid (of uncertain homology among the three present in most temnospondyls) and it has no teeth. Here, the coronoid of this taxon is treated as the posterior coronoid to capture the edentulous state.</w:t>
      </w:r>
    </w:p>
    <w:p w14:paraId="595F3FC4" w14:textId="77777777" w:rsidR="00FA06B2" w:rsidRPr="00A155FA" w:rsidRDefault="00FA06B2" w:rsidP="005229E5">
      <w:pPr>
        <w:pStyle w:val="ListParagraph"/>
        <w:numPr>
          <w:ilvl w:val="0"/>
          <w:numId w:val="14"/>
        </w:numPr>
        <w:tabs>
          <w:tab w:val="left" w:pos="1260"/>
        </w:tabs>
        <w:rPr>
          <w:rFonts w:ascii="Times New Roman" w:hAnsi="Times New Roman" w:cs="Times New Roman"/>
          <w:b/>
          <w:bCs/>
        </w:rPr>
      </w:pPr>
      <w:r w:rsidRPr="00A155FA">
        <w:rPr>
          <w:rFonts w:ascii="Times New Roman" w:hAnsi="Times New Roman" w:cs="Times New Roman"/>
          <w:b/>
          <w:bCs/>
        </w:rPr>
        <w:t xml:space="preserve">148 (anterior, middle coronoid teeth):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147; these coronoids are considered to be entirely absent here and are therefore not </w:t>
      </w:r>
      <w:proofErr w:type="spellStart"/>
      <w:r w:rsidRPr="00A155FA">
        <w:rPr>
          <w:rFonts w:ascii="Times New Roman" w:hAnsi="Times New Roman" w:cs="Times New Roman"/>
        </w:rPr>
        <w:t>codeable</w:t>
      </w:r>
      <w:proofErr w:type="spellEnd"/>
      <w:r w:rsidRPr="00A155FA">
        <w:rPr>
          <w:rFonts w:ascii="Times New Roman" w:hAnsi="Times New Roman" w:cs="Times New Roman"/>
        </w:rPr>
        <w:t>.</w:t>
      </w:r>
    </w:p>
    <w:p w14:paraId="361E1EE4" w14:textId="77777777" w:rsidR="00FA06B2" w:rsidRPr="00A155FA" w:rsidRDefault="00FA06B2" w:rsidP="00A30351">
      <w:pPr>
        <w:pStyle w:val="ListParagraph"/>
        <w:numPr>
          <w:ilvl w:val="1"/>
          <w:numId w:val="14"/>
        </w:numPr>
        <w:tabs>
          <w:tab w:val="left" w:pos="1260"/>
        </w:tabs>
        <w:rPr>
          <w:rFonts w:ascii="Times New Roman" w:hAnsi="Times New Roman" w:cs="Times New Roman"/>
          <w:b/>
          <w:bCs/>
          <w:u w:val="single"/>
        </w:rPr>
      </w:pPr>
      <w:r w:rsidRPr="00A155FA">
        <w:rPr>
          <w:rFonts w:ascii="Times New Roman" w:hAnsi="Times New Roman" w:cs="Times New Roman"/>
          <w:b/>
          <w:bCs/>
        </w:rPr>
        <w:t xml:space="preserve">173 (ribs, uncinate blades):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This character requires the presence of uncinate blades, which are absent.</w:t>
      </w:r>
    </w:p>
    <w:p w14:paraId="3C93DEC1" w14:textId="77777777" w:rsidR="00FA06B2" w:rsidRPr="00A155FA" w:rsidRDefault="00FA06B2" w:rsidP="00A30351">
      <w:pPr>
        <w:pStyle w:val="ListParagraph"/>
        <w:numPr>
          <w:ilvl w:val="1"/>
          <w:numId w:val="14"/>
        </w:numPr>
        <w:tabs>
          <w:tab w:val="left" w:pos="1260"/>
        </w:tabs>
        <w:rPr>
          <w:rFonts w:ascii="Times New Roman" w:hAnsi="Times New Roman" w:cs="Times New Roman"/>
          <w:b/>
          <w:bCs/>
          <w:u w:val="single"/>
        </w:rPr>
      </w:pPr>
      <w:r w:rsidRPr="00A155FA">
        <w:rPr>
          <w:rFonts w:ascii="Times New Roman" w:hAnsi="Times New Roman" w:cs="Times New Roman"/>
          <w:b/>
          <w:bCs/>
        </w:rPr>
        <w:t>174 (ribs, uncinate spines):</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173.</w:t>
      </w:r>
    </w:p>
    <w:p w14:paraId="0FD5685C" w14:textId="77777777" w:rsidR="00FA06B2" w:rsidRPr="00A155FA" w:rsidRDefault="00FA06B2" w:rsidP="00A30351">
      <w:pPr>
        <w:pStyle w:val="ListParagraph"/>
        <w:numPr>
          <w:ilvl w:val="1"/>
          <w:numId w:val="14"/>
        </w:numPr>
        <w:tabs>
          <w:tab w:val="left" w:pos="1260"/>
        </w:tabs>
        <w:rPr>
          <w:rFonts w:ascii="Times New Roman" w:hAnsi="Times New Roman" w:cs="Times New Roman"/>
          <w:b/>
          <w:bCs/>
          <w:u w:val="single"/>
        </w:rPr>
      </w:pPr>
      <w:r w:rsidRPr="00A155FA">
        <w:rPr>
          <w:rFonts w:ascii="Times New Roman" w:hAnsi="Times New Roman" w:cs="Times New Roman"/>
          <w:b/>
          <w:bCs/>
        </w:rPr>
        <w:t>188 (scapula, glenoid facet):</w:t>
      </w:r>
      <w:r w:rsidRPr="00A155FA">
        <w:rPr>
          <w:rFonts w:ascii="Times New Roman" w:hAnsi="Times New Roman" w:cs="Times New Roman"/>
        </w:rPr>
        <w:t xml:space="preserve"> 0 </w:t>
      </w:r>
      <w:r w:rsidRPr="00A155FA">
        <w:rPr>
          <w:rFonts w:ascii="Times New Roman" w:hAnsi="Times New Roman" w:cs="Times New Roman"/>
        </w:rPr>
        <w:sym w:font="Wingdings" w:char="F0E0"/>
      </w:r>
      <w:r w:rsidRPr="00A155FA">
        <w:rPr>
          <w:rFonts w:ascii="Times New Roman" w:hAnsi="Times New Roman" w:cs="Times New Roman"/>
        </w:rPr>
        <w:t xml:space="preserve"> 1. </w:t>
      </w:r>
      <w:proofErr w:type="spellStart"/>
      <w:r w:rsidRPr="00A155FA">
        <w:rPr>
          <w:rFonts w:ascii="Times New Roman" w:hAnsi="Times New Roman" w:cs="Times New Roman"/>
        </w:rPr>
        <w:t>Wellstead</w:t>
      </w:r>
      <w:proofErr w:type="spellEnd"/>
      <w:r w:rsidRPr="00A155FA">
        <w:rPr>
          <w:rFonts w:ascii="Times New Roman" w:hAnsi="Times New Roman" w:cs="Times New Roman"/>
        </w:rPr>
        <w:t xml:space="preserve"> (1991:12) listed the absence of an ossified glenoid as an apomorphy of lysorophians.</w:t>
      </w:r>
    </w:p>
    <w:p w14:paraId="09114786" w14:textId="77777777" w:rsidR="00FA06B2" w:rsidRPr="00A155FA" w:rsidRDefault="00FA06B2" w:rsidP="005229E5">
      <w:pPr>
        <w:pStyle w:val="ListParagraph"/>
        <w:numPr>
          <w:ilvl w:val="0"/>
          <w:numId w:val="14"/>
        </w:numPr>
        <w:tabs>
          <w:tab w:val="left" w:pos="1260"/>
        </w:tabs>
        <w:rPr>
          <w:rFonts w:ascii="Times New Roman" w:hAnsi="Times New Roman" w:cs="Times New Roman"/>
          <w:b/>
          <w:bCs/>
        </w:rPr>
      </w:pPr>
      <w:r w:rsidRPr="00A155FA">
        <w:rPr>
          <w:rFonts w:ascii="Times New Roman" w:hAnsi="Times New Roman" w:cs="Times New Roman"/>
          <w:b/>
          <w:bCs/>
        </w:rPr>
        <w:t xml:space="preserve">192 (humerus, entepicondylar foramen):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w:t>
      </w:r>
      <w:proofErr w:type="spellStart"/>
      <w:r w:rsidRPr="00A155FA">
        <w:rPr>
          <w:rFonts w:ascii="Times New Roman" w:hAnsi="Times New Roman" w:cs="Times New Roman"/>
        </w:rPr>
        <w:t>Wellstead</w:t>
      </w:r>
      <w:proofErr w:type="spellEnd"/>
      <w:r w:rsidRPr="00A155FA">
        <w:rPr>
          <w:rFonts w:ascii="Times New Roman" w:hAnsi="Times New Roman" w:cs="Times New Roman"/>
        </w:rPr>
        <w:t xml:space="preserve"> (1991:43, fig. 21) indicated the absence of this foramen.</w:t>
      </w:r>
    </w:p>
    <w:p w14:paraId="76F198B2" w14:textId="77777777" w:rsidR="00FA06B2" w:rsidRPr="00A155FA" w:rsidRDefault="00FA06B2" w:rsidP="00A30351">
      <w:pPr>
        <w:pStyle w:val="ListParagraph"/>
        <w:numPr>
          <w:ilvl w:val="0"/>
          <w:numId w:val="14"/>
        </w:numPr>
        <w:tabs>
          <w:tab w:val="left" w:pos="1260"/>
        </w:tabs>
        <w:rPr>
          <w:rFonts w:ascii="Times New Roman" w:hAnsi="Times New Roman" w:cs="Times New Roman"/>
          <w:b/>
          <w:bCs/>
        </w:rPr>
      </w:pPr>
      <w:r w:rsidRPr="00A155FA">
        <w:rPr>
          <w:rFonts w:ascii="Times New Roman" w:hAnsi="Times New Roman" w:cs="Times New Roman"/>
          <w:b/>
          <w:bCs/>
        </w:rPr>
        <w:t xml:space="preserve">206 (tarsals):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1. No tarsals have been previously described, and given the lack of an ossified glenoid facet and an ossified pubis, it can be reasonably inferred that they were biologically absent from articulated skeletons.</w:t>
      </w:r>
    </w:p>
    <w:p w14:paraId="2D7BEDA2" w14:textId="77777777" w:rsidR="00FA06B2" w:rsidRPr="00A155FA" w:rsidRDefault="00FA06B2" w:rsidP="005229E5">
      <w:pPr>
        <w:pStyle w:val="ListParagraph"/>
        <w:numPr>
          <w:ilvl w:val="0"/>
          <w:numId w:val="14"/>
        </w:numPr>
        <w:tabs>
          <w:tab w:val="left" w:pos="1260"/>
        </w:tabs>
        <w:rPr>
          <w:rFonts w:ascii="Times New Roman" w:hAnsi="Times New Roman" w:cs="Times New Roman"/>
          <w:b/>
          <w:bCs/>
        </w:rPr>
      </w:pPr>
      <w:r w:rsidRPr="00A155FA">
        <w:rPr>
          <w:rFonts w:ascii="Times New Roman" w:hAnsi="Times New Roman" w:cs="Times New Roman"/>
          <w:b/>
          <w:bCs/>
        </w:rPr>
        <w:t>225 (septomaxilla):</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Considering that nearly every other taxon was originally coded, there is no reason to leave this taxon uncoded when numerous nearly complete skulls are known, with no reported or reconstructed septomaxilla.</w:t>
      </w:r>
    </w:p>
    <w:p w14:paraId="06583B31" w14:textId="77777777" w:rsidR="00FA06B2" w:rsidRPr="00A155FA" w:rsidRDefault="00FA06B2" w:rsidP="00A30351">
      <w:pPr>
        <w:pStyle w:val="ListParagraph"/>
        <w:numPr>
          <w:ilvl w:val="0"/>
          <w:numId w:val="14"/>
        </w:numPr>
        <w:tabs>
          <w:tab w:val="left" w:pos="1260"/>
        </w:tabs>
        <w:rPr>
          <w:rFonts w:ascii="Times New Roman" w:hAnsi="Times New Roman" w:cs="Times New Roman"/>
          <w:b/>
          <w:bCs/>
        </w:rPr>
      </w:pPr>
      <w:r w:rsidRPr="00A155FA">
        <w:rPr>
          <w:rFonts w:ascii="Times New Roman" w:hAnsi="Times New Roman" w:cs="Times New Roman"/>
          <w:b/>
          <w:bCs/>
        </w:rPr>
        <w:t xml:space="preserve">238 (squamosal-jugal): </w:t>
      </w:r>
      <w:r w:rsidRPr="00A155FA">
        <w:rPr>
          <w:rFonts w:ascii="Times New Roman" w:hAnsi="Times New Roman" w:cs="Times New Roman"/>
        </w:rPr>
        <w:t xml:space="preserve">1 </w:t>
      </w:r>
      <w:r w:rsidRPr="00A155FA">
        <w:rPr>
          <w:rFonts w:ascii="Times New Roman" w:hAnsi="Times New Roman" w:cs="Times New Roman"/>
        </w:rPr>
        <w:sym w:font="Wingdings" w:char="F0E0"/>
      </w:r>
      <w:r w:rsidRPr="00A155FA">
        <w:rPr>
          <w:rFonts w:ascii="Times New Roman" w:hAnsi="Times New Roman" w:cs="Times New Roman"/>
        </w:rPr>
        <w:t xml:space="preserve"> -. As with character 26.</w:t>
      </w:r>
    </w:p>
    <w:p w14:paraId="01E38A64" w14:textId="77777777" w:rsidR="00FA06B2" w:rsidRPr="00A155FA" w:rsidRDefault="00FA06B2" w:rsidP="005229E5">
      <w:pPr>
        <w:pStyle w:val="ListParagraph"/>
        <w:numPr>
          <w:ilvl w:val="0"/>
          <w:numId w:val="14"/>
        </w:numPr>
        <w:tabs>
          <w:tab w:val="left" w:pos="1260"/>
        </w:tabs>
        <w:rPr>
          <w:rFonts w:ascii="Times New Roman" w:hAnsi="Times New Roman" w:cs="Times New Roman"/>
          <w:b/>
          <w:bCs/>
        </w:rPr>
      </w:pPr>
      <w:r w:rsidRPr="00A155FA">
        <w:rPr>
          <w:rFonts w:ascii="Times New Roman" w:hAnsi="Times New Roman" w:cs="Times New Roman"/>
          <w:b/>
          <w:bCs/>
        </w:rPr>
        <w:t xml:space="preserve">246 (supraoccipital):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Pardo &amp; Anderson (2016:15, figs. 3–7) described a supraoccipital, which was previously identified by Case (1908:fig. 1); Williston (1908:fig. 2); </w:t>
      </w:r>
      <w:proofErr w:type="spellStart"/>
      <w:r w:rsidRPr="00A155FA">
        <w:rPr>
          <w:rFonts w:ascii="Times New Roman" w:hAnsi="Times New Roman" w:cs="Times New Roman"/>
        </w:rPr>
        <w:t>Sollas</w:t>
      </w:r>
      <w:proofErr w:type="spellEnd"/>
      <w:r w:rsidRPr="00A155FA">
        <w:rPr>
          <w:rFonts w:ascii="Times New Roman" w:hAnsi="Times New Roman" w:cs="Times New Roman"/>
        </w:rPr>
        <w:t xml:space="preserve"> (1920:493–494, figs. 5–7, 12–13); Bolt &amp; </w:t>
      </w:r>
      <w:proofErr w:type="spellStart"/>
      <w:r w:rsidRPr="00A155FA">
        <w:rPr>
          <w:rFonts w:ascii="Times New Roman" w:hAnsi="Times New Roman" w:cs="Times New Roman"/>
        </w:rPr>
        <w:t>Wassersug</w:t>
      </w:r>
      <w:proofErr w:type="spellEnd"/>
      <w:r w:rsidRPr="00A155FA">
        <w:rPr>
          <w:rFonts w:ascii="Times New Roman" w:hAnsi="Times New Roman" w:cs="Times New Roman"/>
        </w:rPr>
        <w:t xml:space="preserve"> (1975:fig. 4) and </w:t>
      </w:r>
      <w:proofErr w:type="spellStart"/>
      <w:r w:rsidRPr="00A155FA">
        <w:rPr>
          <w:rFonts w:ascii="Times New Roman" w:hAnsi="Times New Roman" w:cs="Times New Roman"/>
        </w:rPr>
        <w:t>Wellstead</w:t>
      </w:r>
      <w:proofErr w:type="spellEnd"/>
      <w:r w:rsidRPr="00A155FA">
        <w:rPr>
          <w:rFonts w:ascii="Times New Roman" w:hAnsi="Times New Roman" w:cs="Times New Roman"/>
        </w:rPr>
        <w:t xml:space="preserve"> (1991:12, 14, 17–18, 61, figs. 7–10, 13, 15), among others.</w:t>
      </w:r>
    </w:p>
    <w:p w14:paraId="1140CBAA" w14:textId="77777777" w:rsidR="00FA06B2" w:rsidRPr="00A155FA" w:rsidRDefault="00FA06B2" w:rsidP="00A30351">
      <w:pPr>
        <w:pStyle w:val="ListParagraph"/>
        <w:numPr>
          <w:ilvl w:val="0"/>
          <w:numId w:val="14"/>
        </w:numPr>
        <w:tabs>
          <w:tab w:val="left" w:pos="1260"/>
        </w:tabs>
        <w:rPr>
          <w:rFonts w:ascii="Times New Roman" w:hAnsi="Times New Roman" w:cs="Times New Roman"/>
          <w:b/>
          <w:bCs/>
        </w:rPr>
      </w:pPr>
      <w:r w:rsidRPr="00A155FA">
        <w:rPr>
          <w:rFonts w:ascii="Times New Roman" w:hAnsi="Times New Roman" w:cs="Times New Roman"/>
          <w:b/>
          <w:bCs/>
        </w:rPr>
        <w:t xml:space="preserve">251 (vomer, denticles):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1. There are only a series of large teeth on the vomer (Pardo &amp; Anderson, 2016:16).</w:t>
      </w:r>
    </w:p>
    <w:p w14:paraId="7DD1E81D" w14:textId="77777777" w:rsidR="00FA06B2" w:rsidRPr="00A155FA" w:rsidRDefault="00FA06B2" w:rsidP="00A30351">
      <w:pPr>
        <w:pStyle w:val="ListParagraph"/>
        <w:numPr>
          <w:ilvl w:val="0"/>
          <w:numId w:val="14"/>
        </w:numPr>
        <w:tabs>
          <w:tab w:val="left" w:pos="1260"/>
        </w:tabs>
        <w:rPr>
          <w:rFonts w:ascii="Times New Roman" w:hAnsi="Times New Roman" w:cs="Times New Roman"/>
          <w:b/>
          <w:bCs/>
        </w:rPr>
      </w:pPr>
      <w:r w:rsidRPr="00A155FA">
        <w:rPr>
          <w:rFonts w:ascii="Times New Roman" w:hAnsi="Times New Roman" w:cs="Times New Roman"/>
          <w:b/>
          <w:bCs/>
        </w:rPr>
        <w:t xml:space="preserve">254 (cultriform process-vomer):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1. These elements have a broad overlapping contact.</w:t>
      </w:r>
    </w:p>
    <w:p w14:paraId="78C28995" w14:textId="77777777" w:rsidR="00FA06B2" w:rsidRPr="00A155FA" w:rsidRDefault="00FA06B2" w:rsidP="00A30351">
      <w:pPr>
        <w:pStyle w:val="ListParagraph"/>
        <w:numPr>
          <w:ilvl w:val="0"/>
          <w:numId w:val="14"/>
        </w:numPr>
        <w:tabs>
          <w:tab w:val="left" w:pos="1260"/>
        </w:tabs>
        <w:rPr>
          <w:rFonts w:ascii="Times New Roman" w:hAnsi="Times New Roman" w:cs="Times New Roman"/>
          <w:b/>
          <w:bCs/>
        </w:rPr>
      </w:pPr>
      <w:r w:rsidRPr="00A155FA">
        <w:rPr>
          <w:rFonts w:ascii="Times New Roman" w:hAnsi="Times New Roman" w:cs="Times New Roman"/>
          <w:b/>
          <w:bCs/>
        </w:rPr>
        <w:lastRenderedPageBreak/>
        <w:t xml:space="preserve">258 (pterygoids, contact):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1. The pterygoids are well-separated.</w:t>
      </w:r>
    </w:p>
    <w:p w14:paraId="5A250C71" w14:textId="77777777" w:rsidR="00FA06B2" w:rsidRPr="00A155FA" w:rsidRDefault="00FA06B2" w:rsidP="00A30351">
      <w:pPr>
        <w:pStyle w:val="ListParagraph"/>
        <w:numPr>
          <w:ilvl w:val="0"/>
          <w:numId w:val="14"/>
        </w:numPr>
        <w:tabs>
          <w:tab w:val="left" w:pos="1260"/>
        </w:tabs>
        <w:rPr>
          <w:rFonts w:ascii="Times New Roman" w:hAnsi="Times New Roman" w:cs="Times New Roman"/>
          <w:b/>
          <w:bCs/>
        </w:rPr>
      </w:pPr>
      <w:r w:rsidRPr="00A155FA">
        <w:rPr>
          <w:rFonts w:ascii="Times New Roman" w:hAnsi="Times New Roman" w:cs="Times New Roman"/>
          <w:b/>
          <w:bCs/>
        </w:rPr>
        <w:t xml:space="preserve">261 (dentary, coronoid process):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1. The dentary forms the anterior portion of the process (</w:t>
      </w:r>
      <w:proofErr w:type="spellStart"/>
      <w:r w:rsidRPr="00A155FA">
        <w:rPr>
          <w:rFonts w:ascii="Times New Roman" w:hAnsi="Times New Roman" w:cs="Times New Roman"/>
        </w:rPr>
        <w:t>Wellstead</w:t>
      </w:r>
      <w:proofErr w:type="spellEnd"/>
      <w:r w:rsidRPr="00A155FA">
        <w:rPr>
          <w:rFonts w:ascii="Times New Roman" w:hAnsi="Times New Roman" w:cs="Times New Roman"/>
        </w:rPr>
        <w:t>, 1991; Pardo &amp; Anderson, 2016).</w:t>
      </w:r>
    </w:p>
    <w:p w14:paraId="5A5B39DE" w14:textId="77777777" w:rsidR="00FA06B2" w:rsidRPr="00A155FA" w:rsidRDefault="00FA06B2" w:rsidP="005229E5">
      <w:pPr>
        <w:pStyle w:val="ListParagraph"/>
        <w:numPr>
          <w:ilvl w:val="0"/>
          <w:numId w:val="14"/>
        </w:numPr>
        <w:tabs>
          <w:tab w:val="left" w:pos="1260"/>
        </w:tabs>
        <w:rPr>
          <w:rFonts w:ascii="Times New Roman" w:hAnsi="Times New Roman" w:cs="Times New Roman"/>
          <w:b/>
          <w:bCs/>
        </w:rPr>
      </w:pPr>
      <w:r w:rsidRPr="00A155FA">
        <w:rPr>
          <w:rFonts w:ascii="Times New Roman" w:hAnsi="Times New Roman" w:cs="Times New Roman"/>
          <w:b/>
          <w:bCs/>
        </w:rPr>
        <w:t xml:space="preserve">267 (ventral border of Meckel’s fossa):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 There is no splenial and no Meckelian fossa on the lingual surface, contrary to other tetrapods sampled here.</w:t>
      </w:r>
    </w:p>
    <w:p w14:paraId="78C7EC49" w14:textId="77777777" w:rsidR="00FA06B2" w:rsidRPr="00A155FA" w:rsidRDefault="00FA06B2" w:rsidP="005229E5">
      <w:pPr>
        <w:pStyle w:val="ListParagraph"/>
        <w:numPr>
          <w:ilvl w:val="0"/>
          <w:numId w:val="14"/>
        </w:numPr>
        <w:tabs>
          <w:tab w:val="left" w:pos="1260"/>
        </w:tabs>
        <w:rPr>
          <w:rFonts w:ascii="Times New Roman" w:hAnsi="Times New Roman" w:cs="Times New Roman"/>
          <w:b/>
          <w:bCs/>
        </w:rPr>
      </w:pPr>
      <w:r w:rsidRPr="00A155FA">
        <w:rPr>
          <w:rFonts w:ascii="Times New Roman" w:hAnsi="Times New Roman" w:cs="Times New Roman"/>
          <w:b/>
          <w:bCs/>
        </w:rPr>
        <w:t xml:space="preserve">271 (number of coronoids):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2. As with character 147.</w:t>
      </w:r>
    </w:p>
    <w:p w14:paraId="28C0A947" w14:textId="77777777" w:rsidR="00FA06B2" w:rsidRPr="00A155FA" w:rsidRDefault="00FA06B2" w:rsidP="005229E5">
      <w:pPr>
        <w:pStyle w:val="ListParagraph"/>
        <w:numPr>
          <w:ilvl w:val="0"/>
          <w:numId w:val="14"/>
        </w:numPr>
        <w:tabs>
          <w:tab w:val="left" w:pos="1260"/>
        </w:tabs>
        <w:rPr>
          <w:rFonts w:ascii="Times New Roman" w:hAnsi="Times New Roman" w:cs="Times New Roman"/>
          <w:b/>
          <w:bCs/>
        </w:rPr>
      </w:pPr>
      <w:r w:rsidRPr="00A155FA">
        <w:rPr>
          <w:rFonts w:ascii="Times New Roman" w:hAnsi="Times New Roman" w:cs="Times New Roman"/>
          <w:b/>
          <w:bCs/>
        </w:rPr>
        <w:t xml:space="preserve">272 (coronoid teeth):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1. As with character 147.</w:t>
      </w:r>
    </w:p>
    <w:p w14:paraId="022ACCE8" w14:textId="77777777" w:rsidR="00FA06B2" w:rsidRPr="00A155FA" w:rsidRDefault="00FA06B2" w:rsidP="005229E5">
      <w:pPr>
        <w:pStyle w:val="ListParagraph"/>
        <w:numPr>
          <w:ilvl w:val="0"/>
          <w:numId w:val="14"/>
        </w:numPr>
        <w:tabs>
          <w:tab w:val="left" w:pos="1260"/>
        </w:tabs>
        <w:rPr>
          <w:rFonts w:ascii="Times New Roman" w:hAnsi="Times New Roman" w:cs="Times New Roman"/>
          <w:b/>
          <w:bCs/>
        </w:rPr>
      </w:pPr>
      <w:r w:rsidRPr="00A155FA">
        <w:rPr>
          <w:rFonts w:ascii="Times New Roman" w:hAnsi="Times New Roman" w:cs="Times New Roman"/>
          <w:b/>
          <w:bCs/>
        </w:rPr>
        <w:t xml:space="preserve">274 (symphysis):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 As with character 267.</w:t>
      </w:r>
    </w:p>
    <w:p w14:paraId="3F039807" w14:textId="77777777" w:rsidR="00FA06B2" w:rsidRPr="007A0A6B" w:rsidRDefault="00FA06B2" w:rsidP="00A30351">
      <w:pPr>
        <w:pStyle w:val="ListParagraph"/>
        <w:numPr>
          <w:ilvl w:val="0"/>
          <w:numId w:val="14"/>
        </w:numPr>
        <w:tabs>
          <w:tab w:val="left" w:pos="1260"/>
        </w:tabs>
        <w:rPr>
          <w:rFonts w:ascii="Times New Roman" w:hAnsi="Times New Roman" w:cs="Times New Roman"/>
          <w:b/>
          <w:bCs/>
        </w:rPr>
      </w:pPr>
      <w:r w:rsidRPr="00A155FA">
        <w:rPr>
          <w:rFonts w:ascii="Times New Roman" w:hAnsi="Times New Roman" w:cs="Times New Roman"/>
          <w:b/>
          <w:bCs/>
        </w:rPr>
        <w:t xml:space="preserve">298 (caudal ribs, count): </w:t>
      </w:r>
      <w:r w:rsidRPr="00A155FA">
        <w:rPr>
          <w:rFonts w:ascii="Times New Roman" w:hAnsi="Times New Roman" w:cs="Times New Roman"/>
        </w:rPr>
        <w:t xml:space="preserve">? </w:t>
      </w:r>
      <w:r w:rsidRPr="00A155FA">
        <w:rPr>
          <w:rFonts w:ascii="Times New Roman" w:hAnsi="Times New Roman" w:cs="Times New Roman"/>
        </w:rPr>
        <w:sym w:font="Wingdings" w:char="F0E0"/>
      </w:r>
      <w:r w:rsidRPr="00A155FA">
        <w:rPr>
          <w:rFonts w:ascii="Times New Roman" w:hAnsi="Times New Roman" w:cs="Times New Roman"/>
        </w:rPr>
        <w:t xml:space="preserve"> 3. There is no evidence for caudal ribs in articulated caudal sequences (</w:t>
      </w:r>
      <w:proofErr w:type="spellStart"/>
      <w:r w:rsidRPr="00A155FA">
        <w:rPr>
          <w:rFonts w:ascii="Times New Roman" w:hAnsi="Times New Roman" w:cs="Times New Roman"/>
        </w:rPr>
        <w:t>Wellstead</w:t>
      </w:r>
      <w:proofErr w:type="spellEnd"/>
      <w:r w:rsidRPr="00A155FA">
        <w:rPr>
          <w:rFonts w:ascii="Times New Roman" w:hAnsi="Times New Roman" w:cs="Times New Roman"/>
        </w:rPr>
        <w:t>, 1991).</w:t>
      </w:r>
    </w:p>
    <w:p w14:paraId="07EC23C8" w14:textId="77777777" w:rsidR="00FA06B2" w:rsidRPr="007A0A6B" w:rsidRDefault="00FA06B2" w:rsidP="00A30351">
      <w:pPr>
        <w:pStyle w:val="ListParagraph"/>
        <w:numPr>
          <w:ilvl w:val="0"/>
          <w:numId w:val="14"/>
        </w:numPr>
        <w:tabs>
          <w:tab w:val="left" w:pos="1260"/>
        </w:tabs>
        <w:rPr>
          <w:rFonts w:ascii="Times New Roman" w:hAnsi="Times New Roman" w:cs="Times New Roman"/>
          <w:b/>
          <w:bCs/>
        </w:rPr>
      </w:pPr>
      <w:r w:rsidRPr="00A155FA">
        <w:rPr>
          <w:rFonts w:ascii="Times New Roman" w:hAnsi="Times New Roman" w:cs="Times New Roman"/>
          <w:b/>
          <w:bCs/>
        </w:rPr>
        <w:t xml:space="preserve">299 (scapula, supraglenoid foramen): </w:t>
      </w:r>
      <w:r w:rsidRPr="00A155FA">
        <w:rPr>
          <w:rFonts w:ascii="Times New Roman" w:hAnsi="Times New Roman" w:cs="Times New Roman"/>
        </w:rPr>
        <w:t xml:space="preserve">? </w:t>
      </w:r>
      <w:r w:rsidRPr="00A155FA">
        <w:rPr>
          <w:rFonts w:ascii="Times New Roman" w:hAnsi="Times New Roman" w:cs="Times New Roman"/>
        </w:rPr>
        <w:sym w:font="Wingdings" w:char="F0E0"/>
      </w:r>
      <w:r w:rsidRPr="00A155FA">
        <w:rPr>
          <w:rFonts w:ascii="Times New Roman" w:hAnsi="Times New Roman" w:cs="Times New Roman"/>
        </w:rPr>
        <w:t xml:space="preserve"> 1. As described by </w:t>
      </w:r>
      <w:proofErr w:type="spellStart"/>
      <w:r w:rsidRPr="00A155FA">
        <w:rPr>
          <w:rFonts w:ascii="Times New Roman" w:hAnsi="Times New Roman" w:cs="Times New Roman"/>
        </w:rPr>
        <w:t>Wellstead</w:t>
      </w:r>
      <w:proofErr w:type="spellEnd"/>
      <w:r w:rsidRPr="00A155FA">
        <w:rPr>
          <w:rFonts w:ascii="Times New Roman" w:hAnsi="Times New Roman" w:cs="Times New Roman"/>
        </w:rPr>
        <w:t xml:space="preserve"> (1991:24).</w:t>
      </w:r>
    </w:p>
    <w:p w14:paraId="092574F8" w14:textId="77777777" w:rsidR="00FA06B2" w:rsidRPr="007A0A6B" w:rsidRDefault="00FA06B2" w:rsidP="00A30351">
      <w:pPr>
        <w:pStyle w:val="ListParagraph"/>
        <w:numPr>
          <w:ilvl w:val="0"/>
          <w:numId w:val="14"/>
        </w:numPr>
        <w:tabs>
          <w:tab w:val="left" w:pos="1260"/>
        </w:tabs>
        <w:rPr>
          <w:rFonts w:ascii="Times New Roman" w:hAnsi="Times New Roman" w:cs="Times New Roman"/>
          <w:b/>
          <w:bCs/>
        </w:rPr>
      </w:pPr>
      <w:r w:rsidRPr="00A155FA">
        <w:rPr>
          <w:rFonts w:ascii="Times New Roman" w:hAnsi="Times New Roman" w:cs="Times New Roman"/>
          <w:b/>
          <w:bCs/>
        </w:rPr>
        <w:t xml:space="preserve">300 (coracoid, number of coracoid foramina): </w:t>
      </w:r>
      <w:r w:rsidRPr="00A155FA">
        <w:rPr>
          <w:rFonts w:ascii="Times New Roman" w:hAnsi="Times New Roman" w:cs="Times New Roman"/>
        </w:rPr>
        <w:t xml:space="preserve">? </w:t>
      </w:r>
      <w:r w:rsidRPr="00A155FA">
        <w:rPr>
          <w:rFonts w:ascii="Times New Roman" w:hAnsi="Times New Roman" w:cs="Times New Roman"/>
        </w:rPr>
        <w:sym w:font="Wingdings" w:char="F0E0"/>
      </w:r>
      <w:r w:rsidRPr="00A155FA">
        <w:rPr>
          <w:rFonts w:ascii="Times New Roman" w:hAnsi="Times New Roman" w:cs="Times New Roman"/>
        </w:rPr>
        <w:t xml:space="preserve"> 0. As with character 299.</w:t>
      </w:r>
    </w:p>
    <w:p w14:paraId="7D05023E" w14:textId="77777777" w:rsidR="00FA06B2" w:rsidRPr="007A0A6B" w:rsidRDefault="00FA06B2" w:rsidP="00A30351">
      <w:pPr>
        <w:pStyle w:val="ListParagraph"/>
        <w:numPr>
          <w:ilvl w:val="0"/>
          <w:numId w:val="14"/>
        </w:numPr>
        <w:tabs>
          <w:tab w:val="left" w:pos="1260"/>
        </w:tabs>
        <w:rPr>
          <w:rFonts w:ascii="Times New Roman" w:hAnsi="Times New Roman" w:cs="Times New Roman"/>
          <w:b/>
          <w:bCs/>
        </w:rPr>
      </w:pPr>
      <w:r w:rsidRPr="00A155FA">
        <w:rPr>
          <w:rFonts w:ascii="Times New Roman" w:hAnsi="Times New Roman" w:cs="Times New Roman"/>
          <w:b/>
          <w:bCs/>
        </w:rPr>
        <w:t>306 (</w:t>
      </w:r>
      <w:proofErr w:type="spellStart"/>
      <w:r w:rsidRPr="00A155FA">
        <w:rPr>
          <w:rFonts w:ascii="Times New Roman" w:hAnsi="Times New Roman" w:cs="Times New Roman"/>
          <w:b/>
          <w:bCs/>
        </w:rPr>
        <w:t>basale</w:t>
      </w:r>
      <w:proofErr w:type="spellEnd"/>
      <w:r w:rsidRPr="00A155FA">
        <w:rPr>
          <w:rFonts w:ascii="Times New Roman" w:hAnsi="Times New Roman" w:cs="Times New Roman"/>
          <w:b/>
          <w:bCs/>
        </w:rPr>
        <w:t xml:space="preserve"> commune):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 Following character 196.</w:t>
      </w:r>
    </w:p>
    <w:p w14:paraId="4433EE8C" w14:textId="77777777" w:rsidR="00FA06B2" w:rsidRPr="007A0A6B" w:rsidRDefault="00FA06B2" w:rsidP="00A30351">
      <w:pPr>
        <w:pStyle w:val="ListParagraph"/>
        <w:numPr>
          <w:ilvl w:val="0"/>
          <w:numId w:val="14"/>
        </w:numPr>
        <w:tabs>
          <w:tab w:val="left" w:pos="1260"/>
        </w:tabs>
        <w:rPr>
          <w:rFonts w:ascii="Times New Roman" w:hAnsi="Times New Roman" w:cs="Times New Roman"/>
          <w:b/>
          <w:bCs/>
        </w:rPr>
      </w:pPr>
      <w:r w:rsidRPr="00A155FA">
        <w:rPr>
          <w:rFonts w:ascii="Times New Roman" w:hAnsi="Times New Roman" w:cs="Times New Roman"/>
          <w:b/>
          <w:bCs/>
        </w:rPr>
        <w:t xml:space="preserve">308 (elongate tibiale and fibulare):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 As with character 206.</w:t>
      </w:r>
    </w:p>
    <w:p w14:paraId="17534B9A" w14:textId="77777777" w:rsidR="00FA06B2" w:rsidRPr="00A155FA" w:rsidRDefault="00FA06B2" w:rsidP="00A30351">
      <w:pPr>
        <w:pStyle w:val="ListParagraph"/>
        <w:numPr>
          <w:ilvl w:val="0"/>
          <w:numId w:val="14"/>
        </w:numPr>
        <w:tabs>
          <w:tab w:val="left" w:pos="1260"/>
        </w:tabs>
        <w:rPr>
          <w:rFonts w:ascii="Times New Roman" w:hAnsi="Times New Roman" w:cs="Times New Roman"/>
          <w:b/>
          <w:bCs/>
        </w:rPr>
      </w:pPr>
      <w:r w:rsidRPr="00A155FA">
        <w:rPr>
          <w:rFonts w:ascii="Times New Roman" w:hAnsi="Times New Roman" w:cs="Times New Roman"/>
          <w:b/>
          <w:bCs/>
        </w:rPr>
        <w:t>335 (</w:t>
      </w:r>
      <w:proofErr w:type="spellStart"/>
      <w:r w:rsidRPr="00A155FA">
        <w:rPr>
          <w:rFonts w:ascii="Times New Roman" w:hAnsi="Times New Roman" w:cs="Times New Roman"/>
          <w:b/>
          <w:bCs/>
        </w:rPr>
        <w:t>os</w:t>
      </w:r>
      <w:proofErr w:type="spellEnd"/>
      <w:r w:rsidRPr="00A155FA">
        <w:rPr>
          <w:rFonts w:ascii="Times New Roman" w:hAnsi="Times New Roman" w:cs="Times New Roman"/>
          <w:b/>
          <w:bCs/>
        </w:rPr>
        <w:t xml:space="preserve"> </w:t>
      </w:r>
      <w:proofErr w:type="spellStart"/>
      <w:r w:rsidRPr="00A155FA">
        <w:rPr>
          <w:rFonts w:ascii="Times New Roman" w:hAnsi="Times New Roman" w:cs="Times New Roman"/>
          <w:b/>
          <w:bCs/>
        </w:rPr>
        <w:t>basale</w:t>
      </w:r>
      <w:proofErr w:type="spellEnd"/>
      <w:r w:rsidRPr="00A155FA">
        <w:rPr>
          <w:rFonts w:ascii="Times New Roman" w:hAnsi="Times New Roman" w:cs="Times New Roman"/>
          <w:b/>
          <w:bCs/>
        </w:rPr>
        <w:t xml:space="preserve">, dorsal exposure):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 There is no </w:t>
      </w:r>
      <w:proofErr w:type="spellStart"/>
      <w:r w:rsidRPr="00A155FA">
        <w:rPr>
          <w:rFonts w:ascii="Times New Roman" w:hAnsi="Times New Roman" w:cs="Times New Roman"/>
        </w:rPr>
        <w:t>os</w:t>
      </w:r>
      <w:proofErr w:type="spellEnd"/>
      <w:r w:rsidRPr="00A155FA">
        <w:rPr>
          <w:rFonts w:ascii="Times New Roman" w:hAnsi="Times New Roman" w:cs="Times New Roman"/>
        </w:rPr>
        <w:t xml:space="preserve"> </w:t>
      </w:r>
      <w:proofErr w:type="spellStart"/>
      <w:r w:rsidRPr="00A155FA">
        <w:rPr>
          <w:rFonts w:ascii="Times New Roman" w:hAnsi="Times New Roman" w:cs="Times New Roman"/>
        </w:rPr>
        <w:t>basale</w:t>
      </w:r>
      <w:proofErr w:type="spellEnd"/>
      <w:r w:rsidRPr="00A155FA">
        <w:rPr>
          <w:rFonts w:ascii="Times New Roman" w:hAnsi="Times New Roman" w:cs="Times New Roman"/>
        </w:rPr>
        <w:t xml:space="preserve"> in this taxon.</w:t>
      </w:r>
    </w:p>
    <w:p w14:paraId="71880525" w14:textId="77777777" w:rsidR="00FA06B2" w:rsidRPr="007A0A6B" w:rsidRDefault="00FA06B2" w:rsidP="005229E5">
      <w:pPr>
        <w:pStyle w:val="ListParagraph"/>
        <w:numPr>
          <w:ilvl w:val="0"/>
          <w:numId w:val="14"/>
        </w:numPr>
        <w:tabs>
          <w:tab w:val="left" w:pos="1260"/>
        </w:tabs>
        <w:rPr>
          <w:rFonts w:ascii="Times New Roman" w:hAnsi="Times New Roman" w:cs="Times New Roman"/>
          <w:b/>
          <w:bCs/>
        </w:rPr>
      </w:pPr>
      <w:r w:rsidRPr="00A155FA">
        <w:rPr>
          <w:rFonts w:ascii="Times New Roman" w:hAnsi="Times New Roman" w:cs="Times New Roman"/>
          <w:b/>
          <w:bCs/>
        </w:rPr>
        <w:t xml:space="preserve">355 (palatine with distinct tusk pair):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Pardo &amp; Anderson (2016) stated that no teeth or denticles occur on the palatine.</w:t>
      </w:r>
    </w:p>
    <w:p w14:paraId="0A3A511C" w14:textId="77777777" w:rsidR="00FA06B2" w:rsidRPr="007A0A6B" w:rsidRDefault="00FA06B2" w:rsidP="00A30351">
      <w:pPr>
        <w:pStyle w:val="ListParagraph"/>
        <w:numPr>
          <w:ilvl w:val="0"/>
          <w:numId w:val="14"/>
        </w:numPr>
        <w:tabs>
          <w:tab w:val="left" w:pos="1260"/>
        </w:tabs>
        <w:rPr>
          <w:rFonts w:ascii="Times New Roman" w:hAnsi="Times New Roman" w:cs="Times New Roman"/>
          <w:b/>
          <w:bCs/>
        </w:rPr>
      </w:pPr>
      <w:r w:rsidRPr="00A155FA">
        <w:rPr>
          <w:rFonts w:ascii="Times New Roman" w:hAnsi="Times New Roman" w:cs="Times New Roman"/>
          <w:b/>
          <w:bCs/>
        </w:rPr>
        <w:t xml:space="preserve">359 (squamosal, shape):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 The squamosal of lysorophians is highly modified around the temporal opening such that it does not cleanly fit into either of the prescribed states.</w:t>
      </w:r>
    </w:p>
    <w:p w14:paraId="7A464B9A" w14:textId="59AA5C93" w:rsidR="00FA06B2" w:rsidRPr="00A155FA" w:rsidRDefault="00FA06B2" w:rsidP="005229E5">
      <w:pPr>
        <w:pStyle w:val="ListParagraph"/>
        <w:numPr>
          <w:ilvl w:val="0"/>
          <w:numId w:val="62"/>
        </w:numPr>
        <w:tabs>
          <w:tab w:val="left" w:pos="1260"/>
        </w:tabs>
        <w:rPr>
          <w:rFonts w:ascii="Times New Roman" w:hAnsi="Times New Roman" w:cs="Times New Roman"/>
          <w:b/>
          <w:bCs/>
        </w:rPr>
      </w:pPr>
      <w:r w:rsidRPr="00A155FA">
        <w:rPr>
          <w:rFonts w:ascii="Times New Roman" w:hAnsi="Times New Roman" w:cs="Times New Roman"/>
          <w:b/>
          <w:bCs/>
          <w:i/>
          <w:iCs/>
        </w:rPr>
        <w:t>Batropetes palatinus</w:t>
      </w:r>
    </w:p>
    <w:p w14:paraId="75CF4821" w14:textId="77777777" w:rsidR="00FA06B2" w:rsidRPr="00A155FA" w:rsidRDefault="00FA06B2" w:rsidP="00B953AE">
      <w:pPr>
        <w:tabs>
          <w:tab w:val="left" w:pos="1260"/>
        </w:tabs>
      </w:pPr>
      <w:r w:rsidRPr="00A155FA">
        <w:rPr>
          <w:b/>
          <w:bCs/>
        </w:rPr>
        <w:t>*</w:t>
      </w:r>
      <w:r w:rsidRPr="00A155FA">
        <w:t xml:space="preserve">Note that the following coding changes are made with respect to </w:t>
      </w:r>
      <w:r w:rsidRPr="00A155FA">
        <w:rPr>
          <w:i/>
          <w:iCs/>
        </w:rPr>
        <w:t>Batropetes palatinus</w:t>
      </w:r>
      <w:r w:rsidRPr="00A155FA">
        <w:t xml:space="preserve"> but are noted here because they were unsubstantiated when treated as </w:t>
      </w:r>
      <w:r w:rsidRPr="00A155FA">
        <w:rPr>
          <w:i/>
          <w:iCs/>
        </w:rPr>
        <w:t>Batropetes fritschi</w:t>
      </w:r>
      <w:r w:rsidRPr="00A155FA">
        <w:t>.</w:t>
      </w:r>
    </w:p>
    <w:p w14:paraId="2C0F1D7D" w14:textId="77777777" w:rsidR="00FA06B2" w:rsidRPr="00A155FA" w:rsidRDefault="00FA06B2" w:rsidP="00A30351">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 xml:space="preserve">1 (skull outline):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1. The skull of this taxon is distinctly triangular (e.g., Carroll, 1991; Glienke, 2013, 2015).</w:t>
      </w:r>
    </w:p>
    <w:p w14:paraId="5AEB15DB" w14:textId="77777777" w:rsidR="00FA06B2" w:rsidRPr="00A155FA" w:rsidRDefault="00FA06B2" w:rsidP="005229E5">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 xml:space="preserve">8 (spines):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Spines, as in zatracheids, occur on the quadratojugal (as specified by 8–1), which is determinable but not properly </w:t>
      </w:r>
      <w:proofErr w:type="spellStart"/>
      <w:r w:rsidRPr="00A155FA">
        <w:rPr>
          <w:rFonts w:ascii="Times New Roman" w:hAnsi="Times New Roman" w:cs="Times New Roman"/>
        </w:rPr>
        <w:t>codeable</w:t>
      </w:r>
      <w:proofErr w:type="spellEnd"/>
      <w:r w:rsidRPr="00A155FA">
        <w:rPr>
          <w:rFonts w:ascii="Times New Roman" w:hAnsi="Times New Roman" w:cs="Times New Roman"/>
        </w:rPr>
        <w:t xml:space="preserve"> in this taxon in the absence of a quadratojugal (Carroll &amp; Gaskill, 1978:140; Carroll, 1991:234).</w:t>
      </w:r>
    </w:p>
    <w:p w14:paraId="07B25D69" w14:textId="59908E9C" w:rsidR="00FA06B2" w:rsidRPr="00A155FA" w:rsidRDefault="00FA06B2" w:rsidP="005229E5">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 xml:space="preserve">12 (premaxilla, outline):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The anterior margin in </w:t>
      </w:r>
      <w:r w:rsidRPr="00A155FA">
        <w:rPr>
          <w:rFonts w:ascii="Times New Roman" w:hAnsi="Times New Roman" w:cs="Times New Roman"/>
          <w:i/>
          <w:iCs/>
        </w:rPr>
        <w:t xml:space="preserve">Batropetes fritschi </w:t>
      </w:r>
      <w:r w:rsidRPr="00A155FA">
        <w:rPr>
          <w:rFonts w:ascii="Times New Roman" w:hAnsi="Times New Roman" w:cs="Times New Roman"/>
        </w:rPr>
        <w:t xml:space="preserve">was entirely reconstructed by Glienke (2013:fig. 6), in part because these elements readily detach from the roof in taxa with recumbent snouts. As reconstructed for </w:t>
      </w:r>
      <w:r w:rsidRPr="00A155FA">
        <w:rPr>
          <w:rFonts w:ascii="Times New Roman" w:hAnsi="Times New Roman" w:cs="Times New Roman"/>
          <w:i/>
          <w:iCs/>
        </w:rPr>
        <w:t xml:space="preserve">Batropetes palatinus </w:t>
      </w:r>
      <w:r w:rsidRPr="00A155FA">
        <w:rPr>
          <w:rFonts w:ascii="Times New Roman" w:hAnsi="Times New Roman" w:cs="Times New Roman"/>
        </w:rPr>
        <w:t>(Glienke, 2015:fig. 1), it favors characterization as 12–1 (box-like and anteriorly blunt).</w:t>
      </w:r>
    </w:p>
    <w:p w14:paraId="60B6395E" w14:textId="77777777" w:rsidR="00FA06B2" w:rsidRPr="00A155FA" w:rsidRDefault="00FA06B2" w:rsidP="005229E5">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 xml:space="preserve">30 (interorbital distance):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The orbits are proportionately narrow, even when viewed laterally (Carroll, 1991:figs. 4–5; Glienke, 2013:fig. 6; Glienke, 2015:fig. 1).</w:t>
      </w:r>
    </w:p>
    <w:p w14:paraId="49C3BC24" w14:textId="77777777" w:rsidR="00FA06B2" w:rsidRPr="00A155FA" w:rsidRDefault="00FA06B2" w:rsidP="005229E5">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 xml:space="preserve">51 (otic notch):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‘Microsaurs’ lack any form of otic notch or squamosal embayment (e.g., Carroll &amp; Gaskill, 1978; Carroll, 1991; Glienke, 2013, 2015).</w:t>
      </w:r>
    </w:p>
    <w:p w14:paraId="7515879E" w14:textId="77777777" w:rsidR="00FA06B2" w:rsidRPr="00A155FA" w:rsidRDefault="00FA06B2" w:rsidP="00A30351">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 xml:space="preserve">59 (jugal-lacrimal): </w:t>
      </w:r>
      <w:r w:rsidRPr="00A155FA">
        <w:rPr>
          <w:rFonts w:ascii="Times New Roman" w:hAnsi="Times New Roman" w:cs="Times New Roman"/>
        </w:rPr>
        <w:t xml:space="preserve">1 </w:t>
      </w:r>
      <w:r w:rsidRPr="00A155FA">
        <w:rPr>
          <w:rFonts w:ascii="Times New Roman" w:hAnsi="Times New Roman" w:cs="Times New Roman"/>
        </w:rPr>
        <w:sym w:font="Wingdings" w:char="F0E0"/>
      </w:r>
      <w:r w:rsidRPr="00A155FA">
        <w:rPr>
          <w:rFonts w:ascii="Times New Roman" w:hAnsi="Times New Roman" w:cs="Times New Roman"/>
        </w:rPr>
        <w:t xml:space="preserve"> 0. These elements share a broad contact in all species of </w:t>
      </w:r>
      <w:r w:rsidRPr="00A155FA">
        <w:rPr>
          <w:rFonts w:ascii="Times New Roman" w:hAnsi="Times New Roman" w:cs="Times New Roman"/>
          <w:i/>
          <w:iCs/>
        </w:rPr>
        <w:t>Batropetes</w:t>
      </w:r>
      <w:r w:rsidRPr="00A155FA">
        <w:rPr>
          <w:rFonts w:ascii="Times New Roman" w:hAnsi="Times New Roman" w:cs="Times New Roman"/>
        </w:rPr>
        <w:t>.</w:t>
      </w:r>
    </w:p>
    <w:p w14:paraId="5600B0BB" w14:textId="77777777" w:rsidR="00FA06B2" w:rsidRPr="00A155FA" w:rsidRDefault="00FA06B2" w:rsidP="005229E5">
      <w:pPr>
        <w:pStyle w:val="ListParagraph"/>
        <w:numPr>
          <w:ilvl w:val="0"/>
          <w:numId w:val="15"/>
        </w:numPr>
        <w:tabs>
          <w:tab w:val="left" w:pos="1260"/>
        </w:tabs>
        <w:rPr>
          <w:rFonts w:ascii="Times New Roman" w:hAnsi="Times New Roman" w:cs="Times New Roman"/>
          <w:b/>
          <w:bCs/>
          <w:i/>
          <w:iCs/>
        </w:rPr>
      </w:pPr>
      <w:r w:rsidRPr="00A155FA">
        <w:rPr>
          <w:rFonts w:ascii="Times New Roman" w:hAnsi="Times New Roman" w:cs="Times New Roman"/>
          <w:b/>
          <w:bCs/>
        </w:rPr>
        <w:lastRenderedPageBreak/>
        <w:t xml:space="preserve">60 (intertemporal):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An intertemporal is definitively absent, as in all ‘microsaurs.’</w:t>
      </w:r>
    </w:p>
    <w:p w14:paraId="7388EB58" w14:textId="77777777" w:rsidR="00FA06B2" w:rsidRPr="00A155FA" w:rsidRDefault="00FA06B2" w:rsidP="00A30351">
      <w:pPr>
        <w:pStyle w:val="ListParagraph"/>
        <w:numPr>
          <w:ilvl w:val="0"/>
          <w:numId w:val="15"/>
        </w:numPr>
        <w:tabs>
          <w:tab w:val="left" w:pos="1260"/>
        </w:tabs>
        <w:rPr>
          <w:rFonts w:ascii="Times New Roman" w:hAnsi="Times New Roman" w:cs="Times New Roman"/>
          <w:b/>
          <w:bCs/>
          <w:i/>
          <w:iCs/>
        </w:rPr>
      </w:pPr>
      <w:r w:rsidRPr="00A155FA">
        <w:rPr>
          <w:rFonts w:ascii="Times New Roman" w:hAnsi="Times New Roman" w:cs="Times New Roman"/>
          <w:b/>
          <w:bCs/>
        </w:rPr>
        <w:t xml:space="preserve">61 (parietal-postorbital):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1. There is a broad contact associated with the laterally expanded parietal.</w:t>
      </w:r>
    </w:p>
    <w:p w14:paraId="66B98102" w14:textId="77777777" w:rsidR="00FA06B2" w:rsidRPr="00A155FA" w:rsidRDefault="00FA06B2" w:rsidP="005229E5">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 xml:space="preserve">69 (quadratojugal-maxilla):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 As with character 8; note also that character 68 (quadratojugal, medial process) was originally uncoded.</w:t>
      </w:r>
    </w:p>
    <w:p w14:paraId="7597153F" w14:textId="77777777" w:rsidR="00FA06B2" w:rsidRPr="00A155FA" w:rsidRDefault="00FA06B2" w:rsidP="005229E5">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 xml:space="preserve">74 (posttemporal fenestra):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There are no openings homologous with the posttemporal fenestrae of temnospondyls.</w:t>
      </w:r>
    </w:p>
    <w:p w14:paraId="401704D4" w14:textId="02504AA4" w:rsidR="00FA06B2" w:rsidRPr="00A155FA" w:rsidRDefault="00FA06B2" w:rsidP="005229E5">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 xml:space="preserve">80 (palatal tusks, cross-section):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The palate of </w:t>
      </w:r>
      <w:r w:rsidRPr="00A155FA">
        <w:rPr>
          <w:rFonts w:ascii="Times New Roman" w:hAnsi="Times New Roman" w:cs="Times New Roman"/>
          <w:i/>
          <w:iCs/>
        </w:rPr>
        <w:t xml:space="preserve">Batropetes fritschi </w:t>
      </w:r>
      <w:r w:rsidRPr="00A155FA">
        <w:rPr>
          <w:rFonts w:ascii="Times New Roman" w:hAnsi="Times New Roman" w:cs="Times New Roman"/>
        </w:rPr>
        <w:t xml:space="preserve">was stated to be poorly preserved, is described in two sentences, is not reconstructed, and makes no comments on dentition (Glienke, 2013:86). It is slightly better preserved in </w:t>
      </w:r>
      <w:r w:rsidRPr="00A155FA">
        <w:rPr>
          <w:rFonts w:ascii="Times New Roman" w:hAnsi="Times New Roman" w:cs="Times New Roman"/>
          <w:i/>
          <w:iCs/>
        </w:rPr>
        <w:t>Batropetes palatinus</w:t>
      </w:r>
      <w:r w:rsidRPr="00A155FA">
        <w:rPr>
          <w:rFonts w:ascii="Times New Roman" w:hAnsi="Times New Roman" w:cs="Times New Roman"/>
        </w:rPr>
        <w:t xml:space="preserve"> but not sufficiently so to code this character (Glienke, 2015:9–10, fig. 3).</w:t>
      </w:r>
    </w:p>
    <w:p w14:paraId="4E210511" w14:textId="77777777" w:rsidR="00FA06B2" w:rsidRPr="00A155FA" w:rsidRDefault="00FA06B2" w:rsidP="00A30351">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83 (</w:t>
      </w:r>
      <w:proofErr w:type="spellStart"/>
      <w:r w:rsidRPr="00A155FA">
        <w:rPr>
          <w:rFonts w:ascii="Times New Roman" w:hAnsi="Times New Roman" w:cs="Times New Roman"/>
          <w:b/>
          <w:bCs/>
        </w:rPr>
        <w:t>bicuspidity</w:t>
      </w:r>
      <w:proofErr w:type="spellEnd"/>
      <w:r w:rsidRPr="00A155FA">
        <w:rPr>
          <w:rFonts w:ascii="Times New Roman" w:hAnsi="Times New Roman" w:cs="Times New Roman"/>
          <w:b/>
          <w:bCs/>
        </w:rPr>
        <w:t xml:space="preserve">): </w:t>
      </w:r>
      <w:r w:rsidRPr="00A155FA">
        <w:rPr>
          <w:rFonts w:ascii="Times New Roman" w:hAnsi="Times New Roman" w:cs="Times New Roman"/>
        </w:rPr>
        <w:t xml:space="preserve">1 </w:t>
      </w:r>
      <w:r w:rsidRPr="00A155FA">
        <w:rPr>
          <w:rFonts w:ascii="Times New Roman" w:hAnsi="Times New Roman" w:cs="Times New Roman"/>
        </w:rPr>
        <w:sym w:font="Wingdings" w:char="F0E0"/>
      </w:r>
      <w:r w:rsidRPr="00A155FA">
        <w:rPr>
          <w:rFonts w:ascii="Times New Roman" w:hAnsi="Times New Roman" w:cs="Times New Roman"/>
        </w:rPr>
        <w:t xml:space="preserve"> -. Brachystelechids are well-known for having tricuspid dentition, which is not covered by this character.</w:t>
      </w:r>
    </w:p>
    <w:p w14:paraId="63CC4506" w14:textId="77777777" w:rsidR="00FA06B2" w:rsidRPr="00A155FA" w:rsidRDefault="00FA06B2" w:rsidP="005229E5">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 xml:space="preserve">86 (additional vomerine fangs):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There is no comment on whether any pair of vomerine fangs are present, so it cannot be determined whether “additional” fangs were present (Carroll &amp; Gaskill, 1978; Carroll, 1991; Glienke, 2013, 2015).</w:t>
      </w:r>
    </w:p>
    <w:p w14:paraId="2E80EDF1" w14:textId="77777777" w:rsidR="00FA06B2" w:rsidRPr="00A155FA" w:rsidRDefault="00FA06B2" w:rsidP="005229E5">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 xml:space="preserve">88 (ectopterygoid, fangs):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No ectopterygoid is described.</w:t>
      </w:r>
    </w:p>
    <w:p w14:paraId="23350C92" w14:textId="77777777" w:rsidR="00FA06B2" w:rsidRPr="00A155FA" w:rsidRDefault="00FA06B2" w:rsidP="00A30351">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 xml:space="preserve">98 (vomer, septum):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 In addition to the poor preservation of the vomer in this particular taxon, the compression and disarticulation of all specimens of </w:t>
      </w:r>
      <w:r w:rsidRPr="00A155FA">
        <w:rPr>
          <w:rFonts w:ascii="Times New Roman" w:hAnsi="Times New Roman" w:cs="Times New Roman"/>
          <w:i/>
          <w:iCs/>
        </w:rPr>
        <w:t xml:space="preserve">Batropetes </w:t>
      </w:r>
      <w:r w:rsidRPr="00A155FA">
        <w:rPr>
          <w:rFonts w:ascii="Times New Roman" w:hAnsi="Times New Roman" w:cs="Times New Roman"/>
        </w:rPr>
        <w:t>precludes confident determination of this feature.</w:t>
      </w:r>
    </w:p>
    <w:p w14:paraId="45300498" w14:textId="77777777" w:rsidR="00FA06B2" w:rsidRPr="00A155FA" w:rsidRDefault="00FA06B2" w:rsidP="005229E5">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 xml:space="preserve">102 (vomer, pterygoid):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These elements are not sufficiently preserved to code this.</w:t>
      </w:r>
    </w:p>
    <w:p w14:paraId="5E2D26F7" w14:textId="77777777" w:rsidR="00FA06B2" w:rsidRPr="00A155FA" w:rsidRDefault="00FA06B2" w:rsidP="005229E5">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 xml:space="preserve">104 (vomer, extension):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102.</w:t>
      </w:r>
    </w:p>
    <w:p w14:paraId="053CB337" w14:textId="77777777" w:rsidR="00FA06B2" w:rsidRPr="00A155FA" w:rsidRDefault="00FA06B2" w:rsidP="005229E5">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 xml:space="preserve">120 (pterygoid-squamosal):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Crushing of the skulls prevents any confident interpretation of this condition, although the pterygoid is not typically dorsally vaulted in ‘microsaurs.’</w:t>
      </w:r>
    </w:p>
    <w:p w14:paraId="04B40486" w14:textId="77777777" w:rsidR="00FA06B2" w:rsidRPr="00A155FA" w:rsidRDefault="00FA06B2" w:rsidP="005229E5">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123 (pterygoid, ectopterygoid):</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88.</w:t>
      </w:r>
    </w:p>
    <w:p w14:paraId="091E3D5C" w14:textId="77777777" w:rsidR="00FA06B2" w:rsidRPr="00A155FA" w:rsidRDefault="00FA06B2" w:rsidP="005229E5">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 xml:space="preserve">124 (pterygoid-palatine-ectopterygoid):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88. </w:t>
      </w:r>
    </w:p>
    <w:p w14:paraId="68249A22" w14:textId="77777777" w:rsidR="00FA06B2" w:rsidRPr="00A155FA" w:rsidRDefault="00FA06B2" w:rsidP="005229E5">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 xml:space="preserve">125 (palatine, ectopterygoid):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88.</w:t>
      </w:r>
    </w:p>
    <w:p w14:paraId="5F39EE87" w14:textId="77777777" w:rsidR="00FA06B2" w:rsidRPr="00A155FA" w:rsidRDefault="00FA06B2" w:rsidP="005229E5">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 xml:space="preserve">126 (palatine, vomer):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This suture is not preserved.</w:t>
      </w:r>
    </w:p>
    <w:p w14:paraId="4C80ABA0" w14:textId="77777777" w:rsidR="00FA06B2" w:rsidRPr="00A155FA" w:rsidRDefault="00FA06B2" w:rsidP="005229E5">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 xml:space="preserve">128 (palatine, ectopterygoid, ontogeny):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88.</w:t>
      </w:r>
    </w:p>
    <w:p w14:paraId="7F44F941" w14:textId="77777777" w:rsidR="00FA06B2" w:rsidRPr="00A155FA" w:rsidRDefault="00FA06B2" w:rsidP="005229E5">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 xml:space="preserve">129 (palatine, ectopterygoid, width):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88.</w:t>
      </w:r>
    </w:p>
    <w:p w14:paraId="141B348B" w14:textId="77777777" w:rsidR="00FA06B2" w:rsidRPr="00A155FA" w:rsidRDefault="00FA06B2" w:rsidP="005229E5">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 xml:space="preserve">130 (palatine, ectopterygoid, continuous tooth row):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88.</w:t>
      </w:r>
    </w:p>
    <w:p w14:paraId="72BB6AC5" w14:textId="77777777" w:rsidR="00FA06B2" w:rsidRPr="00A155FA" w:rsidRDefault="00FA06B2" w:rsidP="005229E5">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 xml:space="preserve">131 (ectopterygoid, length):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88.</w:t>
      </w:r>
    </w:p>
    <w:p w14:paraId="1AFC0333" w14:textId="77777777" w:rsidR="00FA06B2" w:rsidRPr="00A155FA" w:rsidRDefault="00FA06B2" w:rsidP="005229E5">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 xml:space="preserve">133 (ectopterygoid, Y-shaped):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88.</w:t>
      </w:r>
    </w:p>
    <w:p w14:paraId="51138A47" w14:textId="77777777" w:rsidR="00FA06B2" w:rsidRPr="00A155FA" w:rsidRDefault="00FA06B2" w:rsidP="005229E5">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 xml:space="preserve">173 (ribs, uncinate blades):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There are no uncinate blades.</w:t>
      </w:r>
    </w:p>
    <w:p w14:paraId="75AC9BF5" w14:textId="77777777" w:rsidR="00FA06B2" w:rsidRPr="00A155FA" w:rsidRDefault="00FA06B2" w:rsidP="005229E5">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 xml:space="preserve">174 (ribs, uncinate spines):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There are no uncinate spines.</w:t>
      </w:r>
    </w:p>
    <w:p w14:paraId="79E801DB" w14:textId="77777777" w:rsidR="00FA06B2" w:rsidRPr="00A155FA" w:rsidRDefault="00FA06B2" w:rsidP="00A30351">
      <w:pPr>
        <w:pStyle w:val="ListParagraph"/>
        <w:numPr>
          <w:ilvl w:val="1"/>
          <w:numId w:val="15"/>
        </w:numPr>
        <w:tabs>
          <w:tab w:val="left" w:pos="1260"/>
        </w:tabs>
        <w:rPr>
          <w:rFonts w:ascii="Times New Roman" w:hAnsi="Times New Roman" w:cs="Times New Roman"/>
          <w:b/>
          <w:bCs/>
          <w:u w:val="single"/>
        </w:rPr>
      </w:pPr>
      <w:r w:rsidRPr="00A155FA">
        <w:rPr>
          <w:rFonts w:ascii="Times New Roman" w:hAnsi="Times New Roman" w:cs="Times New Roman"/>
          <w:b/>
          <w:bCs/>
        </w:rPr>
        <w:t xml:space="preserve">187 (interclavicle, clavicles):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1. The reconstruction by Glienke (2015) depicted a very narrow separation of the clavicles.</w:t>
      </w:r>
    </w:p>
    <w:p w14:paraId="549C3880" w14:textId="77777777" w:rsidR="00FA06B2" w:rsidRPr="00A155FA" w:rsidRDefault="00FA06B2" w:rsidP="005229E5">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 xml:space="preserve">212 (rib cage):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Brachystelechids consistently display wide trunks (e.g., Carroll, 1991:fig. 3).</w:t>
      </w:r>
    </w:p>
    <w:p w14:paraId="08306FC7" w14:textId="77777777" w:rsidR="00FA06B2" w:rsidRPr="00A155FA" w:rsidRDefault="00FA06B2" w:rsidP="005229E5">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lastRenderedPageBreak/>
        <w:t xml:space="preserve">240 (maxilla into external naris):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Reconstruction by Glienke (2013, 2015) with a septomaxilla inferred from other species indicates the maxilla does not enter the naris.</w:t>
      </w:r>
    </w:p>
    <w:p w14:paraId="453CE0A3" w14:textId="77777777" w:rsidR="00FA06B2" w:rsidRPr="00A155FA" w:rsidRDefault="00FA06B2" w:rsidP="005229E5">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 xml:space="preserve">241 (maxilla forms entire ventral naris):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240.</w:t>
      </w:r>
    </w:p>
    <w:p w14:paraId="4B82A1A9" w14:textId="3B0D8A19" w:rsidR="00FA06B2" w:rsidRPr="00A155FA" w:rsidRDefault="00FA06B2" w:rsidP="005229E5">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 xml:space="preserve">246 (supraoccipital):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Carroll (1991:235) and Glienke (2015:10) described a supraoccipital in </w:t>
      </w:r>
      <w:r w:rsidRPr="00A155FA">
        <w:rPr>
          <w:rFonts w:ascii="Times New Roman" w:hAnsi="Times New Roman" w:cs="Times New Roman"/>
          <w:i/>
          <w:iCs/>
        </w:rPr>
        <w:t>Batropetes palatinus</w:t>
      </w:r>
      <w:r w:rsidRPr="00A155FA">
        <w:rPr>
          <w:rFonts w:ascii="Times New Roman" w:hAnsi="Times New Roman" w:cs="Times New Roman"/>
        </w:rPr>
        <w:t xml:space="preserve">; this ossification is also present in </w:t>
      </w:r>
      <w:r w:rsidRPr="00A155FA">
        <w:rPr>
          <w:rFonts w:ascii="Times New Roman" w:hAnsi="Times New Roman" w:cs="Times New Roman"/>
          <w:i/>
          <w:iCs/>
        </w:rPr>
        <w:t xml:space="preserve">Batropetes fritschi </w:t>
      </w:r>
      <w:r w:rsidRPr="00A155FA">
        <w:rPr>
          <w:rFonts w:ascii="Times New Roman" w:hAnsi="Times New Roman" w:cs="Times New Roman"/>
        </w:rPr>
        <w:t>(Glienke, 2013:86, fig. 6).</w:t>
      </w:r>
    </w:p>
    <w:p w14:paraId="6D809F11" w14:textId="77777777" w:rsidR="00FA06B2" w:rsidRPr="00A155FA" w:rsidRDefault="00FA06B2" w:rsidP="005229E5">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 xml:space="preserve">248 (anterior palatine):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126; the palatine is also essentially undefined.</w:t>
      </w:r>
    </w:p>
    <w:p w14:paraId="7A6344BC" w14:textId="77777777" w:rsidR="00FA06B2" w:rsidRPr="00A155FA" w:rsidRDefault="00FA06B2" w:rsidP="005229E5">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 xml:space="preserve">249 (denticles on pterygoid):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Glienke (2015:9) stated that there appear to be no denticles except on the parasphenoid; as with character 80 for </w:t>
      </w:r>
      <w:r w:rsidRPr="00A155FA">
        <w:rPr>
          <w:rFonts w:ascii="Times New Roman" w:hAnsi="Times New Roman" w:cs="Times New Roman"/>
          <w:i/>
          <w:iCs/>
        </w:rPr>
        <w:t>Batropetes fritschi</w:t>
      </w:r>
      <w:r w:rsidRPr="00A155FA">
        <w:rPr>
          <w:rFonts w:ascii="Times New Roman" w:hAnsi="Times New Roman" w:cs="Times New Roman"/>
        </w:rPr>
        <w:t>.</w:t>
      </w:r>
    </w:p>
    <w:p w14:paraId="4D50E059" w14:textId="77777777" w:rsidR="00FA06B2" w:rsidRPr="00A155FA" w:rsidRDefault="00FA06B2" w:rsidP="005229E5">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 xml:space="preserve">251 (denticles on vomers):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As with character 249.</w:t>
      </w:r>
    </w:p>
    <w:p w14:paraId="32BBA082" w14:textId="77777777" w:rsidR="00FA06B2" w:rsidRPr="00A155FA" w:rsidRDefault="00FA06B2" w:rsidP="005229E5">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 xml:space="preserve">270 (angular extends to lateral view):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Glienke (2015:10) stated that the angular does not extend to the posterior end of the tooth row, which is also evident in her reconstruction of </w:t>
      </w:r>
      <w:r w:rsidRPr="00A155FA">
        <w:rPr>
          <w:rFonts w:ascii="Times New Roman" w:hAnsi="Times New Roman" w:cs="Times New Roman"/>
          <w:i/>
          <w:iCs/>
        </w:rPr>
        <w:t xml:space="preserve">Batropetes fritschi </w:t>
      </w:r>
      <w:r w:rsidRPr="00A155FA">
        <w:rPr>
          <w:rFonts w:ascii="Times New Roman" w:hAnsi="Times New Roman" w:cs="Times New Roman"/>
        </w:rPr>
        <w:t>(Glienke, 2013:fig. 7Q).</w:t>
      </w:r>
    </w:p>
    <w:p w14:paraId="63095D76" w14:textId="77777777" w:rsidR="00FA06B2" w:rsidRPr="00A155FA" w:rsidRDefault="00FA06B2" w:rsidP="00A30351">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304 (</w:t>
      </w:r>
      <w:proofErr w:type="spellStart"/>
      <w:r w:rsidRPr="00A155FA">
        <w:rPr>
          <w:rFonts w:ascii="Times New Roman" w:hAnsi="Times New Roman" w:cs="Times New Roman"/>
          <w:b/>
          <w:bCs/>
        </w:rPr>
        <w:t>radius:humerus</w:t>
      </w:r>
      <w:proofErr w:type="spellEnd"/>
      <w:r w:rsidRPr="00A155FA">
        <w:rPr>
          <w:rFonts w:ascii="Times New Roman" w:hAnsi="Times New Roman" w:cs="Times New Roman"/>
          <w:b/>
          <w:bCs/>
        </w:rPr>
        <w:t xml:space="preserve"> length):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2. The radius is much shorter than the humerus in </w:t>
      </w:r>
      <w:r w:rsidRPr="00A155FA">
        <w:rPr>
          <w:rFonts w:ascii="Times New Roman" w:hAnsi="Times New Roman" w:cs="Times New Roman"/>
          <w:i/>
          <w:iCs/>
        </w:rPr>
        <w:t>Batropetes</w:t>
      </w:r>
      <w:r w:rsidRPr="00A155FA">
        <w:rPr>
          <w:rFonts w:ascii="Times New Roman" w:hAnsi="Times New Roman" w:cs="Times New Roman"/>
        </w:rPr>
        <w:t>. For this particular species, Glienke (2015:12) noted that the ulna was about half three length of the humerus, and the radius is shorter than the ulna.</w:t>
      </w:r>
    </w:p>
    <w:p w14:paraId="79536795" w14:textId="77777777" w:rsidR="00FA06B2" w:rsidRPr="00A155FA" w:rsidRDefault="00FA06B2" w:rsidP="005229E5">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 xml:space="preserve">305 (olecranon process):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Glienke (2013, 2015) noted the presence of a short triangular olecranon process in both species.</w:t>
      </w:r>
    </w:p>
    <w:p w14:paraId="0FB9B8AA" w14:textId="77777777" w:rsidR="00FA06B2" w:rsidRPr="00A155FA" w:rsidRDefault="00FA06B2" w:rsidP="00A30351">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 xml:space="preserve">313 (skull table):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1. By comparison with other taxa coded for state 1, this state is more appropriate for this taxon.</w:t>
      </w:r>
    </w:p>
    <w:p w14:paraId="62EE1D35" w14:textId="77777777" w:rsidR="00FA06B2" w:rsidRPr="00A155FA" w:rsidRDefault="00FA06B2" w:rsidP="005229E5">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 xml:space="preserve">326 (anterior dentary teeth):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 The dentary teeth are tricuspid (Glienke, 2013, 2015).</w:t>
      </w:r>
    </w:p>
    <w:p w14:paraId="63E37715" w14:textId="77777777" w:rsidR="00FA06B2" w:rsidRPr="00A155FA" w:rsidRDefault="00FA06B2" w:rsidP="00A30351">
      <w:pPr>
        <w:pStyle w:val="ListParagraph"/>
        <w:numPr>
          <w:ilvl w:val="1"/>
          <w:numId w:val="15"/>
        </w:numPr>
        <w:tabs>
          <w:tab w:val="left" w:pos="1260"/>
        </w:tabs>
        <w:rPr>
          <w:rFonts w:ascii="Times New Roman" w:hAnsi="Times New Roman" w:cs="Times New Roman"/>
          <w:b/>
          <w:bCs/>
        </w:rPr>
      </w:pPr>
      <w:r w:rsidRPr="00A155FA">
        <w:rPr>
          <w:rFonts w:ascii="Times New Roman" w:hAnsi="Times New Roman" w:cs="Times New Roman"/>
          <w:b/>
          <w:bCs/>
        </w:rPr>
        <w:t xml:space="preserve">327 (nasal septum ossification):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2. Previous workers identified what appeared to be an anteriorly extensive sphenethmoid that has a palatal exposure in the snout region (e.g., Carroll, 1991; Glienke, 2013, 2015), but CT analysis of the brachystelechids </w:t>
      </w:r>
      <w:r w:rsidRPr="00A155FA">
        <w:rPr>
          <w:rFonts w:ascii="Times New Roman" w:hAnsi="Times New Roman" w:cs="Times New Roman"/>
          <w:i/>
          <w:iCs/>
        </w:rPr>
        <w:t xml:space="preserve">Carrolla </w:t>
      </w:r>
      <w:r w:rsidRPr="00A155FA">
        <w:rPr>
          <w:rFonts w:ascii="Times New Roman" w:hAnsi="Times New Roman" w:cs="Times New Roman"/>
        </w:rPr>
        <w:t xml:space="preserve">and </w:t>
      </w:r>
      <w:r w:rsidRPr="00A155FA">
        <w:rPr>
          <w:rFonts w:ascii="Times New Roman" w:hAnsi="Times New Roman" w:cs="Times New Roman"/>
          <w:i/>
          <w:iCs/>
        </w:rPr>
        <w:t xml:space="preserve">Quasicaecilia </w:t>
      </w:r>
      <w:r w:rsidRPr="00A155FA">
        <w:rPr>
          <w:rFonts w:ascii="Times New Roman" w:hAnsi="Times New Roman" w:cs="Times New Roman"/>
        </w:rPr>
        <w:t>has identified separate ossifications present in the nasal region (Maddin et al., 2011; Pardo et al., 2015). Based on this interpretation, the sphenethmoid is unknown in this taxon, which results in the associated coding changes:</w:t>
      </w:r>
    </w:p>
    <w:p w14:paraId="285C51FF" w14:textId="77777777" w:rsidR="00FA06B2" w:rsidRPr="00A155FA" w:rsidRDefault="00FA06B2" w:rsidP="00A30351">
      <w:pPr>
        <w:pStyle w:val="ListParagraph"/>
        <w:numPr>
          <w:ilvl w:val="2"/>
          <w:numId w:val="15"/>
        </w:numPr>
        <w:tabs>
          <w:tab w:val="left" w:pos="1260"/>
        </w:tabs>
        <w:rPr>
          <w:rFonts w:ascii="Times New Roman" w:hAnsi="Times New Roman" w:cs="Times New Roman"/>
          <w:b/>
          <w:bCs/>
        </w:rPr>
      </w:pPr>
      <w:r w:rsidRPr="00A155FA">
        <w:rPr>
          <w:rFonts w:ascii="Times New Roman" w:hAnsi="Times New Roman" w:cs="Times New Roman"/>
          <w:b/>
          <w:bCs/>
        </w:rPr>
        <w:t xml:space="preserve">328 (sphenethmoid, dorsomedial process, length):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w:t>
      </w:r>
    </w:p>
    <w:p w14:paraId="78C276A7" w14:textId="77777777" w:rsidR="00FA06B2" w:rsidRPr="00A155FA" w:rsidRDefault="00FA06B2" w:rsidP="00A30351">
      <w:pPr>
        <w:pStyle w:val="ListParagraph"/>
        <w:numPr>
          <w:ilvl w:val="2"/>
          <w:numId w:val="15"/>
        </w:numPr>
        <w:tabs>
          <w:tab w:val="left" w:pos="1260"/>
        </w:tabs>
        <w:rPr>
          <w:rFonts w:ascii="Times New Roman" w:hAnsi="Times New Roman" w:cs="Times New Roman"/>
          <w:b/>
          <w:bCs/>
        </w:rPr>
      </w:pPr>
      <w:r w:rsidRPr="00A155FA">
        <w:rPr>
          <w:rFonts w:ascii="Times New Roman" w:hAnsi="Times New Roman" w:cs="Times New Roman"/>
          <w:b/>
          <w:bCs/>
        </w:rPr>
        <w:t xml:space="preserve">329 (sphenethmoid, dorsomedial process, thickness):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w:t>
      </w:r>
    </w:p>
    <w:p w14:paraId="574EEEC2" w14:textId="77777777" w:rsidR="00FA06B2" w:rsidRPr="00A155FA" w:rsidRDefault="00FA06B2" w:rsidP="00A30351">
      <w:pPr>
        <w:pStyle w:val="ListParagraph"/>
        <w:numPr>
          <w:ilvl w:val="2"/>
          <w:numId w:val="15"/>
        </w:numPr>
        <w:tabs>
          <w:tab w:val="left" w:pos="1260"/>
        </w:tabs>
        <w:rPr>
          <w:rFonts w:ascii="Times New Roman" w:hAnsi="Times New Roman" w:cs="Times New Roman"/>
          <w:b/>
          <w:bCs/>
        </w:rPr>
      </w:pPr>
      <w:r w:rsidRPr="00A155FA">
        <w:rPr>
          <w:rFonts w:ascii="Times New Roman" w:hAnsi="Times New Roman" w:cs="Times New Roman"/>
          <w:b/>
          <w:bCs/>
        </w:rPr>
        <w:t xml:space="preserve">331 (sola nasi):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w:t>
      </w:r>
    </w:p>
    <w:p w14:paraId="0A2A7FB1" w14:textId="77777777" w:rsidR="00FA06B2" w:rsidRPr="00A155FA" w:rsidRDefault="00FA06B2" w:rsidP="00A30351">
      <w:pPr>
        <w:pStyle w:val="ListParagraph"/>
        <w:numPr>
          <w:ilvl w:val="2"/>
          <w:numId w:val="15"/>
        </w:numPr>
        <w:tabs>
          <w:tab w:val="left" w:pos="1260"/>
        </w:tabs>
        <w:rPr>
          <w:rFonts w:ascii="Times New Roman" w:hAnsi="Times New Roman" w:cs="Times New Roman"/>
          <w:b/>
          <w:bCs/>
        </w:rPr>
      </w:pPr>
      <w:r w:rsidRPr="00A155FA">
        <w:rPr>
          <w:rFonts w:ascii="Times New Roman" w:hAnsi="Times New Roman" w:cs="Times New Roman"/>
          <w:b/>
          <w:bCs/>
        </w:rPr>
        <w:t xml:space="preserve">332 (sphenethmoid, lateral walls, length):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w:t>
      </w:r>
    </w:p>
    <w:p w14:paraId="1B715C68" w14:textId="77777777" w:rsidR="00FA06B2" w:rsidRPr="00A155FA" w:rsidRDefault="00FA06B2" w:rsidP="00A30351">
      <w:pPr>
        <w:pStyle w:val="ListParagraph"/>
        <w:numPr>
          <w:ilvl w:val="2"/>
          <w:numId w:val="15"/>
        </w:numPr>
        <w:tabs>
          <w:tab w:val="left" w:pos="1260"/>
        </w:tabs>
        <w:rPr>
          <w:rFonts w:ascii="Times New Roman" w:hAnsi="Times New Roman" w:cs="Times New Roman"/>
          <w:b/>
          <w:bCs/>
        </w:rPr>
      </w:pPr>
      <w:r w:rsidRPr="00A155FA">
        <w:rPr>
          <w:rFonts w:ascii="Times New Roman" w:hAnsi="Times New Roman" w:cs="Times New Roman"/>
          <w:b/>
          <w:bCs/>
        </w:rPr>
        <w:t xml:space="preserve">333 (sphenethmoid, floor):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w:t>
      </w:r>
    </w:p>
    <w:p w14:paraId="66F2B09C" w14:textId="77777777" w:rsidR="00FA06B2" w:rsidRPr="00A155FA" w:rsidRDefault="00FA06B2" w:rsidP="00A30351">
      <w:pPr>
        <w:pStyle w:val="ListParagraph"/>
        <w:numPr>
          <w:ilvl w:val="2"/>
          <w:numId w:val="15"/>
        </w:numPr>
        <w:tabs>
          <w:tab w:val="left" w:pos="1260"/>
        </w:tabs>
        <w:rPr>
          <w:rFonts w:ascii="Times New Roman" w:hAnsi="Times New Roman" w:cs="Times New Roman"/>
          <w:b/>
          <w:bCs/>
        </w:rPr>
      </w:pPr>
      <w:r w:rsidRPr="00A155FA">
        <w:rPr>
          <w:rFonts w:ascii="Times New Roman" w:hAnsi="Times New Roman" w:cs="Times New Roman"/>
          <w:b/>
          <w:bCs/>
        </w:rPr>
        <w:t xml:space="preserve">341 (sphenethmoid, anterior wall):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w:t>
      </w:r>
    </w:p>
    <w:p w14:paraId="076E3EAC" w14:textId="77777777" w:rsidR="00FA06B2" w:rsidRPr="00A155FA" w:rsidRDefault="00FA06B2" w:rsidP="00A30351">
      <w:pPr>
        <w:pStyle w:val="ListParagraph"/>
        <w:numPr>
          <w:ilvl w:val="2"/>
          <w:numId w:val="15"/>
        </w:numPr>
        <w:tabs>
          <w:tab w:val="left" w:pos="1260"/>
        </w:tabs>
        <w:rPr>
          <w:rFonts w:ascii="Times New Roman" w:hAnsi="Times New Roman" w:cs="Times New Roman"/>
          <w:b/>
          <w:bCs/>
        </w:rPr>
      </w:pPr>
      <w:r w:rsidRPr="00A155FA">
        <w:rPr>
          <w:rFonts w:ascii="Times New Roman" w:hAnsi="Times New Roman" w:cs="Times New Roman"/>
          <w:b/>
          <w:bCs/>
        </w:rPr>
        <w:t xml:space="preserve">342 (sphenethmoid, anterolateral process):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w:t>
      </w:r>
    </w:p>
    <w:p w14:paraId="2B66F279" w14:textId="77777777" w:rsidR="00FA06B2" w:rsidRPr="00A155FA" w:rsidRDefault="00FA06B2" w:rsidP="005229E5">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 xml:space="preserve">346 (ectopterygoid):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88.</w:t>
      </w:r>
    </w:p>
    <w:p w14:paraId="2770E952" w14:textId="77777777" w:rsidR="00FA06B2" w:rsidRPr="00A155FA" w:rsidRDefault="00FA06B2" w:rsidP="005229E5">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 xml:space="preserve">351 (continuous tooth row lateral to choana):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The lateral margins are not preserved.</w:t>
      </w:r>
    </w:p>
    <w:p w14:paraId="31B3AEB4" w14:textId="77777777" w:rsidR="00FA06B2" w:rsidRPr="00A155FA" w:rsidRDefault="00FA06B2" w:rsidP="005229E5">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 xml:space="preserve">354 (squamosal posterior extent relative to quadrate and quadratojugal):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8.</w:t>
      </w:r>
    </w:p>
    <w:p w14:paraId="554206E8" w14:textId="77777777" w:rsidR="00FA06B2" w:rsidRPr="00A155FA" w:rsidRDefault="00FA06B2" w:rsidP="005229E5">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t xml:space="preserve">355 (palatine with distinct tusk pair):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80.</w:t>
      </w:r>
    </w:p>
    <w:p w14:paraId="610FD21D" w14:textId="77777777" w:rsidR="00FA06B2" w:rsidRPr="00A155FA" w:rsidRDefault="00FA06B2" w:rsidP="005229E5">
      <w:pPr>
        <w:pStyle w:val="ListParagraph"/>
        <w:numPr>
          <w:ilvl w:val="0"/>
          <w:numId w:val="15"/>
        </w:numPr>
        <w:tabs>
          <w:tab w:val="left" w:pos="1260"/>
        </w:tabs>
        <w:rPr>
          <w:rFonts w:ascii="Times New Roman" w:hAnsi="Times New Roman" w:cs="Times New Roman"/>
          <w:b/>
          <w:bCs/>
        </w:rPr>
      </w:pPr>
      <w:r w:rsidRPr="00A155FA">
        <w:rPr>
          <w:rFonts w:ascii="Times New Roman" w:hAnsi="Times New Roman" w:cs="Times New Roman"/>
          <w:b/>
          <w:bCs/>
        </w:rPr>
        <w:lastRenderedPageBreak/>
        <w:t xml:space="preserve">358 (neurocranium):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Brachystelechids are well-known for cranial consolidation into an </w:t>
      </w:r>
      <w:proofErr w:type="spellStart"/>
      <w:r w:rsidRPr="00A155FA">
        <w:rPr>
          <w:rFonts w:ascii="Times New Roman" w:hAnsi="Times New Roman" w:cs="Times New Roman"/>
        </w:rPr>
        <w:t>os</w:t>
      </w:r>
      <w:proofErr w:type="spellEnd"/>
      <w:r w:rsidRPr="00A155FA">
        <w:rPr>
          <w:rFonts w:ascii="Times New Roman" w:hAnsi="Times New Roman" w:cs="Times New Roman"/>
        </w:rPr>
        <w:t xml:space="preserve"> </w:t>
      </w:r>
      <w:proofErr w:type="spellStart"/>
      <w:r w:rsidRPr="00A155FA">
        <w:rPr>
          <w:rFonts w:ascii="Times New Roman" w:hAnsi="Times New Roman" w:cs="Times New Roman"/>
        </w:rPr>
        <w:t>basale</w:t>
      </w:r>
      <w:proofErr w:type="spellEnd"/>
      <w:r w:rsidRPr="00A155FA">
        <w:rPr>
          <w:rFonts w:ascii="Times New Roman" w:hAnsi="Times New Roman" w:cs="Times New Roman"/>
        </w:rPr>
        <w:t xml:space="preserve"> (Carroll, 1990; 1991; Maddin et al., 2011; Glienke, 2013, 2015; Pardo et al., 2015).</w:t>
      </w:r>
    </w:p>
    <w:p w14:paraId="36FC8897"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r w:rsidRPr="00A155FA">
        <w:rPr>
          <w:rFonts w:ascii="Times New Roman" w:hAnsi="Times New Roman" w:cs="Times New Roman"/>
          <w:b/>
          <w:bCs/>
          <w:i/>
          <w:iCs/>
        </w:rPr>
        <w:t>Rhynchonkos stovalli</w:t>
      </w:r>
    </w:p>
    <w:p w14:paraId="1110CB78" w14:textId="77777777" w:rsidR="00FA06B2" w:rsidRPr="00A155FA" w:rsidRDefault="00FA06B2" w:rsidP="005229E5">
      <w:pPr>
        <w:pStyle w:val="ListParagraph"/>
        <w:numPr>
          <w:ilvl w:val="0"/>
          <w:numId w:val="16"/>
        </w:numPr>
        <w:tabs>
          <w:tab w:val="left" w:pos="1260"/>
        </w:tabs>
        <w:rPr>
          <w:rFonts w:ascii="Times New Roman" w:hAnsi="Times New Roman" w:cs="Times New Roman"/>
          <w:b/>
          <w:bCs/>
        </w:rPr>
      </w:pPr>
      <w:r w:rsidRPr="00A155FA">
        <w:rPr>
          <w:rFonts w:ascii="Times New Roman" w:hAnsi="Times New Roman" w:cs="Times New Roman"/>
          <w:b/>
          <w:bCs/>
        </w:rPr>
        <w:t xml:space="preserve">24 (lacrimal, posterior extension):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0. The lacrimal only forms the anterior orbital margin without a suborbital process, with the maxilla forming the entire ventral/lateral margin (Carroll &amp; Gaskill, 1978:fig. 63A; Szostakiwskyj et al., 2015:9, fig. 1).</w:t>
      </w:r>
    </w:p>
    <w:p w14:paraId="4C5A806D" w14:textId="77777777" w:rsidR="00FA06B2" w:rsidRPr="00A155FA" w:rsidRDefault="00FA06B2" w:rsidP="005229E5">
      <w:pPr>
        <w:pStyle w:val="ListParagraph"/>
        <w:numPr>
          <w:ilvl w:val="0"/>
          <w:numId w:val="16"/>
        </w:numPr>
        <w:tabs>
          <w:tab w:val="left" w:pos="1260"/>
        </w:tabs>
        <w:rPr>
          <w:rFonts w:ascii="Times New Roman" w:hAnsi="Times New Roman" w:cs="Times New Roman"/>
          <w:b/>
          <w:bCs/>
        </w:rPr>
      </w:pPr>
      <w:r w:rsidRPr="00A155FA">
        <w:rPr>
          <w:rFonts w:ascii="Times New Roman" w:hAnsi="Times New Roman" w:cs="Times New Roman"/>
          <w:b/>
          <w:bCs/>
        </w:rPr>
        <w:t xml:space="preserve">51 (otic notch):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‘Microsaurs’ lack any form of otic notch or squamosal embayment (Carroll &amp; Gaskill, 1978; Szostakiwskyj et al., 2015).</w:t>
      </w:r>
    </w:p>
    <w:p w14:paraId="46FDBA87" w14:textId="77777777" w:rsidR="00FA06B2" w:rsidRPr="00A155FA" w:rsidRDefault="00FA06B2" w:rsidP="005229E5">
      <w:pPr>
        <w:pStyle w:val="ListParagraph"/>
        <w:numPr>
          <w:ilvl w:val="0"/>
          <w:numId w:val="16"/>
        </w:numPr>
        <w:tabs>
          <w:tab w:val="left" w:pos="1260"/>
        </w:tabs>
        <w:rPr>
          <w:rFonts w:ascii="Times New Roman" w:hAnsi="Times New Roman" w:cs="Times New Roman"/>
          <w:b/>
          <w:bCs/>
          <w:i/>
          <w:iCs/>
        </w:rPr>
      </w:pPr>
      <w:r w:rsidRPr="00A155FA">
        <w:rPr>
          <w:rFonts w:ascii="Times New Roman" w:hAnsi="Times New Roman" w:cs="Times New Roman"/>
          <w:b/>
          <w:bCs/>
        </w:rPr>
        <w:t xml:space="preserve">60 (intertemporal):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An intertemporal is definitively absent, as in all ‘microsaurs.’</w:t>
      </w:r>
    </w:p>
    <w:p w14:paraId="0EE99A39" w14:textId="77777777" w:rsidR="00FA06B2" w:rsidRPr="00A155FA" w:rsidRDefault="00FA06B2" w:rsidP="005229E5">
      <w:pPr>
        <w:pStyle w:val="ListParagraph"/>
        <w:numPr>
          <w:ilvl w:val="0"/>
          <w:numId w:val="16"/>
        </w:numPr>
        <w:tabs>
          <w:tab w:val="left" w:pos="1260"/>
        </w:tabs>
        <w:rPr>
          <w:rFonts w:ascii="Times New Roman" w:hAnsi="Times New Roman" w:cs="Times New Roman"/>
          <w:b/>
          <w:bCs/>
        </w:rPr>
      </w:pPr>
      <w:r w:rsidRPr="00A155FA">
        <w:rPr>
          <w:rFonts w:ascii="Times New Roman" w:hAnsi="Times New Roman" w:cs="Times New Roman"/>
          <w:b/>
          <w:bCs/>
        </w:rPr>
        <w:t xml:space="preserve">74 (posttemporal fenestra):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There are no openings homologous with the posttemporal fenestrae of temnospondyls.</w:t>
      </w:r>
    </w:p>
    <w:p w14:paraId="32CE33A1" w14:textId="77777777" w:rsidR="00FA06B2" w:rsidRPr="00A155FA" w:rsidRDefault="00FA06B2" w:rsidP="00A30351">
      <w:pPr>
        <w:pStyle w:val="ListParagraph"/>
        <w:numPr>
          <w:ilvl w:val="0"/>
          <w:numId w:val="16"/>
        </w:numPr>
        <w:tabs>
          <w:tab w:val="left" w:pos="1260"/>
        </w:tabs>
        <w:rPr>
          <w:rFonts w:ascii="Times New Roman" w:hAnsi="Times New Roman" w:cs="Times New Roman"/>
          <w:b/>
          <w:bCs/>
        </w:rPr>
      </w:pPr>
      <w:r w:rsidRPr="00A155FA">
        <w:rPr>
          <w:rFonts w:ascii="Times New Roman" w:hAnsi="Times New Roman" w:cs="Times New Roman"/>
          <w:b/>
          <w:bCs/>
        </w:rPr>
        <w:t xml:space="preserve">98 (vomer, septum):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1. Szostakiwskyj et al. (2015:9) described a median vaulted septum.</w:t>
      </w:r>
    </w:p>
    <w:p w14:paraId="2B9F86CC" w14:textId="77777777" w:rsidR="00FA06B2" w:rsidRPr="00A155FA" w:rsidRDefault="00FA06B2" w:rsidP="005229E5">
      <w:pPr>
        <w:pStyle w:val="ListParagraph"/>
        <w:numPr>
          <w:ilvl w:val="0"/>
          <w:numId w:val="16"/>
        </w:numPr>
        <w:tabs>
          <w:tab w:val="left" w:pos="1260"/>
        </w:tabs>
        <w:rPr>
          <w:rFonts w:ascii="Times New Roman" w:hAnsi="Times New Roman" w:cs="Times New Roman"/>
          <w:b/>
          <w:bCs/>
        </w:rPr>
      </w:pPr>
      <w:r w:rsidRPr="00A155FA">
        <w:rPr>
          <w:rFonts w:ascii="Times New Roman" w:hAnsi="Times New Roman" w:cs="Times New Roman"/>
          <w:b/>
          <w:bCs/>
        </w:rPr>
        <w:t xml:space="preserve">120 (pterygoid-squamosal):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The pterygoid is not a vaulted element in ‘microsaurs,’ and therefore there is a large separation between the pterygoid and the skull roof. </w:t>
      </w:r>
    </w:p>
    <w:p w14:paraId="22031BC0" w14:textId="77777777" w:rsidR="00FA06B2" w:rsidRPr="00A155FA" w:rsidRDefault="00FA06B2" w:rsidP="005229E5">
      <w:pPr>
        <w:pStyle w:val="ListParagraph"/>
        <w:numPr>
          <w:ilvl w:val="0"/>
          <w:numId w:val="16"/>
        </w:numPr>
        <w:tabs>
          <w:tab w:val="left" w:pos="1260"/>
        </w:tabs>
        <w:rPr>
          <w:rFonts w:ascii="Times New Roman" w:hAnsi="Times New Roman" w:cs="Times New Roman"/>
          <w:b/>
          <w:bCs/>
        </w:rPr>
      </w:pPr>
      <w:r w:rsidRPr="00A155FA">
        <w:rPr>
          <w:rFonts w:ascii="Times New Roman" w:hAnsi="Times New Roman" w:cs="Times New Roman"/>
          <w:b/>
          <w:bCs/>
        </w:rPr>
        <w:t xml:space="preserve">147 (posterior coronoid dentition):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As with </w:t>
      </w:r>
      <w:r w:rsidRPr="00A155FA">
        <w:rPr>
          <w:rFonts w:ascii="Times New Roman" w:hAnsi="Times New Roman" w:cs="Times New Roman"/>
          <w:i/>
          <w:iCs/>
        </w:rPr>
        <w:t>Brachydectes</w:t>
      </w:r>
      <w:r w:rsidRPr="00A155FA">
        <w:rPr>
          <w:rFonts w:ascii="Times New Roman" w:hAnsi="Times New Roman" w:cs="Times New Roman"/>
        </w:rPr>
        <w:t xml:space="preserve">, the reduction in number of coronoids creates uncertain homology with the three coronoids present in most temnospondyls, and neither of the coronoids in </w:t>
      </w:r>
      <w:r w:rsidRPr="00A155FA">
        <w:rPr>
          <w:rFonts w:ascii="Times New Roman" w:hAnsi="Times New Roman" w:cs="Times New Roman"/>
          <w:i/>
          <w:iCs/>
        </w:rPr>
        <w:t xml:space="preserve">Rhynchonkos </w:t>
      </w:r>
      <w:r w:rsidRPr="00A155FA">
        <w:rPr>
          <w:rFonts w:ascii="Times New Roman" w:hAnsi="Times New Roman" w:cs="Times New Roman"/>
        </w:rPr>
        <w:t>have teeth. Here, the posterior coronoid of this taxon is treated as the homologue of the posterior coronoid in temnospondyls to capture the edentulous state.</w:t>
      </w:r>
    </w:p>
    <w:p w14:paraId="6C4C4DD8" w14:textId="77777777" w:rsidR="00FA06B2" w:rsidRPr="00A155FA" w:rsidRDefault="00FA06B2" w:rsidP="005229E5">
      <w:pPr>
        <w:pStyle w:val="ListParagraph"/>
        <w:numPr>
          <w:ilvl w:val="0"/>
          <w:numId w:val="16"/>
        </w:numPr>
        <w:tabs>
          <w:tab w:val="left" w:pos="1260"/>
        </w:tabs>
        <w:rPr>
          <w:rFonts w:ascii="Times New Roman" w:hAnsi="Times New Roman" w:cs="Times New Roman"/>
          <w:b/>
          <w:bCs/>
        </w:rPr>
      </w:pPr>
      <w:r w:rsidRPr="00A155FA">
        <w:rPr>
          <w:rFonts w:ascii="Times New Roman" w:hAnsi="Times New Roman" w:cs="Times New Roman"/>
          <w:b/>
          <w:bCs/>
        </w:rPr>
        <w:t xml:space="preserve">148 (anterior, middle coronoid dentition):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147. The anterior coronoid of this taxon cannot be homologized with both coronoids.</w:t>
      </w:r>
    </w:p>
    <w:p w14:paraId="4653410B" w14:textId="77777777" w:rsidR="00FA06B2" w:rsidRPr="00A155FA" w:rsidRDefault="00FA06B2" w:rsidP="005229E5">
      <w:pPr>
        <w:pStyle w:val="ListParagraph"/>
        <w:numPr>
          <w:ilvl w:val="0"/>
          <w:numId w:val="16"/>
        </w:numPr>
        <w:tabs>
          <w:tab w:val="left" w:pos="1260"/>
        </w:tabs>
        <w:rPr>
          <w:rFonts w:ascii="Times New Roman" w:hAnsi="Times New Roman" w:cs="Times New Roman"/>
          <w:b/>
          <w:bCs/>
          <w:i/>
          <w:iCs/>
        </w:rPr>
      </w:pPr>
      <w:r w:rsidRPr="00A155FA">
        <w:rPr>
          <w:rFonts w:ascii="Times New Roman" w:hAnsi="Times New Roman" w:cs="Times New Roman"/>
          <w:b/>
          <w:bCs/>
        </w:rPr>
        <w:t xml:space="preserve">213 (basal skull length):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3. This is a very small taxon (Carroll &amp; Gaskill, 1976; Szostakiwskyj et al., 2015).</w:t>
      </w:r>
    </w:p>
    <w:p w14:paraId="02F31A4B" w14:textId="77777777" w:rsidR="00FA06B2" w:rsidRPr="00A155FA" w:rsidRDefault="00FA06B2" w:rsidP="00A30351">
      <w:pPr>
        <w:pStyle w:val="ListParagraph"/>
        <w:numPr>
          <w:ilvl w:val="0"/>
          <w:numId w:val="16"/>
        </w:numPr>
        <w:tabs>
          <w:tab w:val="left" w:pos="1260"/>
        </w:tabs>
        <w:rPr>
          <w:rFonts w:ascii="Times New Roman" w:hAnsi="Times New Roman" w:cs="Times New Roman"/>
          <w:b/>
          <w:bCs/>
          <w:i/>
          <w:iCs/>
        </w:rPr>
      </w:pPr>
      <w:r w:rsidRPr="00A155FA">
        <w:rPr>
          <w:rFonts w:ascii="Times New Roman" w:hAnsi="Times New Roman" w:cs="Times New Roman"/>
          <w:b/>
          <w:bCs/>
        </w:rPr>
        <w:t>222 (quadratojugal):</w:t>
      </w:r>
      <w:r w:rsidRPr="00A155FA">
        <w:rPr>
          <w:rFonts w:ascii="Times New Roman" w:hAnsi="Times New Roman" w:cs="Times New Roman"/>
          <w:b/>
          <w:bCs/>
          <w:i/>
          <w:iCs/>
        </w:rPr>
        <w:t xml:space="preserve">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1. Contrary to the reconstruction by Carroll &amp; Gaskill (1978), no quadratojugal is found in the nearly complete and undistorted holotype; this is considered sufficient for coding it as unknown. Quadratojugals have also not been confidently identified in specimens previously referred to this taxon (e.g., holotypes of </w:t>
      </w:r>
      <w:r w:rsidRPr="00A155FA">
        <w:rPr>
          <w:rFonts w:ascii="Times New Roman" w:hAnsi="Times New Roman" w:cs="Times New Roman"/>
          <w:i/>
          <w:iCs/>
        </w:rPr>
        <w:t xml:space="preserve">Aletrimyti gaskillae </w:t>
      </w:r>
      <w:r w:rsidRPr="00A155FA">
        <w:rPr>
          <w:rFonts w:ascii="Times New Roman" w:hAnsi="Times New Roman" w:cs="Times New Roman"/>
        </w:rPr>
        <w:t xml:space="preserve">and </w:t>
      </w:r>
      <w:r w:rsidRPr="00A155FA">
        <w:rPr>
          <w:rFonts w:ascii="Times New Roman" w:hAnsi="Times New Roman" w:cs="Times New Roman"/>
          <w:i/>
          <w:iCs/>
        </w:rPr>
        <w:t>Dvellecanus carrolli</w:t>
      </w:r>
      <w:r w:rsidRPr="00A155FA">
        <w:rPr>
          <w:rFonts w:ascii="Times New Roman" w:hAnsi="Times New Roman" w:cs="Times New Roman"/>
        </w:rPr>
        <w:t>).</w:t>
      </w:r>
    </w:p>
    <w:p w14:paraId="434453D0" w14:textId="77777777" w:rsidR="00FA06B2" w:rsidRPr="007A0A6B" w:rsidRDefault="00FA06B2" w:rsidP="005229E5">
      <w:pPr>
        <w:pStyle w:val="ListParagraph"/>
        <w:numPr>
          <w:ilvl w:val="0"/>
          <w:numId w:val="16"/>
        </w:numPr>
        <w:tabs>
          <w:tab w:val="left" w:pos="1260"/>
        </w:tabs>
        <w:rPr>
          <w:rFonts w:ascii="Times New Roman" w:hAnsi="Times New Roman" w:cs="Times New Roman"/>
          <w:b/>
          <w:bCs/>
        </w:rPr>
      </w:pPr>
      <w:r w:rsidRPr="00A155FA">
        <w:rPr>
          <w:rFonts w:ascii="Times New Roman" w:hAnsi="Times New Roman" w:cs="Times New Roman"/>
          <w:b/>
          <w:bCs/>
        </w:rPr>
        <w:t xml:space="preserve">246 (supraoccipital):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Carroll &amp; Gaskill (1978:107:fig. 63) and Szostakiwskyj et al. (2015:13–14, figs. 1, 4, 6) described and figured a supraoccipital.</w:t>
      </w:r>
    </w:p>
    <w:p w14:paraId="2F501E9E" w14:textId="77777777" w:rsidR="00FA06B2" w:rsidRPr="00A155FA" w:rsidRDefault="00FA06B2" w:rsidP="00A30351">
      <w:pPr>
        <w:pStyle w:val="ListParagraph"/>
        <w:numPr>
          <w:ilvl w:val="0"/>
          <w:numId w:val="16"/>
        </w:numPr>
        <w:tabs>
          <w:tab w:val="left" w:pos="1260"/>
        </w:tabs>
        <w:rPr>
          <w:rFonts w:ascii="Times New Roman" w:hAnsi="Times New Roman" w:cs="Times New Roman"/>
          <w:b/>
          <w:bCs/>
        </w:rPr>
      </w:pPr>
      <w:r w:rsidRPr="00A155FA">
        <w:rPr>
          <w:rFonts w:ascii="Times New Roman" w:hAnsi="Times New Roman" w:cs="Times New Roman"/>
          <w:b/>
          <w:bCs/>
        </w:rPr>
        <w:t xml:space="preserve">265 (splenial, lateral exposure):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 There is no splenial (Szostakiwskyj et al., 2015).</w:t>
      </w:r>
    </w:p>
    <w:p w14:paraId="2FB36BE4" w14:textId="77777777" w:rsidR="00FA06B2" w:rsidRPr="00A155FA" w:rsidRDefault="00FA06B2" w:rsidP="00A30351">
      <w:pPr>
        <w:pStyle w:val="ListParagraph"/>
        <w:numPr>
          <w:ilvl w:val="0"/>
          <w:numId w:val="16"/>
        </w:numPr>
        <w:tabs>
          <w:tab w:val="left" w:pos="1260"/>
        </w:tabs>
        <w:rPr>
          <w:rFonts w:ascii="Times New Roman" w:hAnsi="Times New Roman" w:cs="Times New Roman"/>
          <w:b/>
          <w:bCs/>
        </w:rPr>
      </w:pPr>
      <w:r w:rsidRPr="00A155FA">
        <w:rPr>
          <w:rFonts w:ascii="Times New Roman" w:hAnsi="Times New Roman" w:cs="Times New Roman"/>
          <w:b/>
          <w:bCs/>
        </w:rPr>
        <w:t xml:space="preserve">267 (Meckelian window, ventral border): </w:t>
      </w:r>
      <w:r w:rsidRPr="00A155FA">
        <w:rPr>
          <w:rFonts w:ascii="Times New Roman" w:hAnsi="Times New Roman" w:cs="Times New Roman"/>
        </w:rPr>
        <w:t xml:space="preserve">1 </w:t>
      </w:r>
      <w:r w:rsidRPr="00A155FA">
        <w:rPr>
          <w:rFonts w:ascii="Times New Roman" w:hAnsi="Times New Roman" w:cs="Times New Roman"/>
        </w:rPr>
        <w:sym w:font="Wingdings" w:char="F0E0"/>
      </w:r>
      <w:r w:rsidRPr="00A155FA">
        <w:rPr>
          <w:rFonts w:ascii="Times New Roman" w:hAnsi="Times New Roman" w:cs="Times New Roman"/>
        </w:rPr>
        <w:t xml:space="preserve"> -. As with character 265.</w:t>
      </w:r>
    </w:p>
    <w:p w14:paraId="113ED12A" w14:textId="77777777" w:rsidR="00FA06B2" w:rsidRPr="00A155FA" w:rsidRDefault="00FA06B2" w:rsidP="00A30351">
      <w:pPr>
        <w:pStyle w:val="ListParagraph"/>
        <w:numPr>
          <w:ilvl w:val="0"/>
          <w:numId w:val="16"/>
        </w:numPr>
        <w:tabs>
          <w:tab w:val="left" w:pos="1260"/>
        </w:tabs>
        <w:rPr>
          <w:rFonts w:ascii="Times New Roman" w:hAnsi="Times New Roman" w:cs="Times New Roman"/>
          <w:b/>
          <w:bCs/>
        </w:rPr>
      </w:pPr>
      <w:r w:rsidRPr="00A155FA">
        <w:rPr>
          <w:rFonts w:ascii="Times New Roman" w:hAnsi="Times New Roman" w:cs="Times New Roman"/>
          <w:b/>
          <w:bCs/>
        </w:rPr>
        <w:t xml:space="preserve">274 (symphysis):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 As with character 265.</w:t>
      </w:r>
    </w:p>
    <w:p w14:paraId="31EAE8BD" w14:textId="77777777" w:rsidR="00FA06B2" w:rsidRPr="00A155FA" w:rsidRDefault="00FA06B2" w:rsidP="00A30351">
      <w:pPr>
        <w:pStyle w:val="ListParagraph"/>
        <w:numPr>
          <w:ilvl w:val="0"/>
          <w:numId w:val="16"/>
        </w:numPr>
        <w:tabs>
          <w:tab w:val="left" w:pos="1260"/>
        </w:tabs>
        <w:rPr>
          <w:rFonts w:ascii="Times New Roman" w:hAnsi="Times New Roman" w:cs="Times New Roman"/>
          <w:b/>
          <w:bCs/>
        </w:rPr>
      </w:pPr>
      <w:r w:rsidRPr="00A155FA">
        <w:rPr>
          <w:rFonts w:ascii="Times New Roman" w:hAnsi="Times New Roman" w:cs="Times New Roman"/>
          <w:b/>
          <w:bCs/>
        </w:rPr>
        <w:t xml:space="preserve">329 (sphenethmoid, dorsomedial process, thickness):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 </w:t>
      </w:r>
    </w:p>
    <w:p w14:paraId="1BEF6225" w14:textId="77777777" w:rsidR="00FA06B2" w:rsidRPr="00A155FA" w:rsidRDefault="00FA06B2" w:rsidP="00A30351">
      <w:pPr>
        <w:pStyle w:val="ListParagraph"/>
        <w:numPr>
          <w:ilvl w:val="0"/>
          <w:numId w:val="14"/>
        </w:numPr>
        <w:tabs>
          <w:tab w:val="left" w:pos="1260"/>
        </w:tabs>
        <w:rPr>
          <w:rFonts w:ascii="Times New Roman" w:hAnsi="Times New Roman" w:cs="Times New Roman"/>
          <w:b/>
          <w:bCs/>
        </w:rPr>
      </w:pPr>
      <w:r w:rsidRPr="00A155FA">
        <w:rPr>
          <w:rFonts w:ascii="Times New Roman" w:hAnsi="Times New Roman" w:cs="Times New Roman"/>
          <w:b/>
          <w:bCs/>
        </w:rPr>
        <w:t>335 (</w:t>
      </w:r>
      <w:proofErr w:type="spellStart"/>
      <w:r w:rsidRPr="00A155FA">
        <w:rPr>
          <w:rFonts w:ascii="Times New Roman" w:hAnsi="Times New Roman" w:cs="Times New Roman"/>
          <w:b/>
          <w:bCs/>
        </w:rPr>
        <w:t>os</w:t>
      </w:r>
      <w:proofErr w:type="spellEnd"/>
      <w:r w:rsidRPr="00A155FA">
        <w:rPr>
          <w:rFonts w:ascii="Times New Roman" w:hAnsi="Times New Roman" w:cs="Times New Roman"/>
          <w:b/>
          <w:bCs/>
        </w:rPr>
        <w:t xml:space="preserve"> </w:t>
      </w:r>
      <w:proofErr w:type="spellStart"/>
      <w:r w:rsidRPr="00A155FA">
        <w:rPr>
          <w:rFonts w:ascii="Times New Roman" w:hAnsi="Times New Roman" w:cs="Times New Roman"/>
          <w:b/>
          <w:bCs/>
        </w:rPr>
        <w:t>basale</w:t>
      </w:r>
      <w:proofErr w:type="spellEnd"/>
      <w:r w:rsidRPr="00A155FA">
        <w:rPr>
          <w:rFonts w:ascii="Times New Roman" w:hAnsi="Times New Roman" w:cs="Times New Roman"/>
          <w:b/>
          <w:bCs/>
        </w:rPr>
        <w:t xml:space="preserve">, dorsal exposure):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 There is no </w:t>
      </w:r>
      <w:proofErr w:type="spellStart"/>
      <w:r w:rsidRPr="00A155FA">
        <w:rPr>
          <w:rFonts w:ascii="Times New Roman" w:hAnsi="Times New Roman" w:cs="Times New Roman"/>
        </w:rPr>
        <w:t>os</w:t>
      </w:r>
      <w:proofErr w:type="spellEnd"/>
      <w:r w:rsidRPr="00A155FA">
        <w:rPr>
          <w:rFonts w:ascii="Times New Roman" w:hAnsi="Times New Roman" w:cs="Times New Roman"/>
        </w:rPr>
        <w:t xml:space="preserve"> </w:t>
      </w:r>
      <w:proofErr w:type="spellStart"/>
      <w:r w:rsidRPr="00A155FA">
        <w:rPr>
          <w:rFonts w:ascii="Times New Roman" w:hAnsi="Times New Roman" w:cs="Times New Roman"/>
        </w:rPr>
        <w:t>basale</w:t>
      </w:r>
      <w:proofErr w:type="spellEnd"/>
      <w:r w:rsidRPr="00A155FA">
        <w:rPr>
          <w:rFonts w:ascii="Times New Roman" w:hAnsi="Times New Roman" w:cs="Times New Roman"/>
        </w:rPr>
        <w:t xml:space="preserve"> in this taxon.</w:t>
      </w:r>
    </w:p>
    <w:p w14:paraId="4994E3DB" w14:textId="77777777" w:rsidR="00FA06B2" w:rsidRPr="007A0A6B" w:rsidRDefault="00FA06B2" w:rsidP="007A0A6B">
      <w:pPr>
        <w:pStyle w:val="ListParagraph"/>
        <w:numPr>
          <w:ilvl w:val="0"/>
          <w:numId w:val="14"/>
        </w:numPr>
        <w:tabs>
          <w:tab w:val="left" w:pos="1260"/>
        </w:tabs>
        <w:rPr>
          <w:rFonts w:ascii="Times New Roman" w:hAnsi="Times New Roman" w:cs="Times New Roman"/>
          <w:b/>
          <w:bCs/>
        </w:rPr>
      </w:pPr>
      <w:r w:rsidRPr="00A155FA">
        <w:rPr>
          <w:rFonts w:ascii="Times New Roman" w:hAnsi="Times New Roman" w:cs="Times New Roman"/>
          <w:b/>
          <w:bCs/>
        </w:rPr>
        <w:lastRenderedPageBreak/>
        <w:t xml:space="preserve">355 (palatine, fangs):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 There is no dentition in the region of the palatine where ‘fangs’ occur in temnospondyls (anteromedial to the choana).</w:t>
      </w:r>
    </w:p>
    <w:p w14:paraId="6FF62E29"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r w:rsidRPr="00A155FA">
        <w:rPr>
          <w:rFonts w:ascii="Times New Roman" w:hAnsi="Times New Roman" w:cs="Times New Roman"/>
          <w:b/>
          <w:bCs/>
          <w:i/>
          <w:iCs/>
        </w:rPr>
        <w:t>Edops craigi</w:t>
      </w:r>
    </w:p>
    <w:p w14:paraId="5255C06C" w14:textId="77777777" w:rsidR="00FA06B2" w:rsidRPr="00A155FA" w:rsidRDefault="00FA06B2" w:rsidP="005229E5">
      <w:pPr>
        <w:pStyle w:val="ListParagraph"/>
        <w:numPr>
          <w:ilvl w:val="0"/>
          <w:numId w:val="17"/>
        </w:numPr>
        <w:tabs>
          <w:tab w:val="left" w:pos="1260"/>
        </w:tabs>
        <w:rPr>
          <w:rFonts w:ascii="Times New Roman" w:hAnsi="Times New Roman" w:cs="Times New Roman"/>
        </w:rPr>
      </w:pPr>
      <w:r w:rsidRPr="00A155FA">
        <w:rPr>
          <w:rFonts w:ascii="Times New Roman" w:hAnsi="Times New Roman" w:cs="Times New Roman"/>
          <w:b/>
          <w:bCs/>
        </w:rPr>
        <w:t xml:space="preserve">31 (frontal-nasal, length):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Whether measured along the midline or as the greatest length of the respective elements, the nasal is longer than the frontal (Romer &amp; Witter, 1942:figs. 1–2; Schoch &amp; Milner, 2014:fig. 13A). </w:t>
      </w:r>
    </w:p>
    <w:p w14:paraId="3EC3CDDF" w14:textId="77777777" w:rsidR="00FA06B2" w:rsidRPr="00A155FA" w:rsidRDefault="00FA06B2" w:rsidP="005229E5">
      <w:pPr>
        <w:pStyle w:val="ListParagraph"/>
        <w:numPr>
          <w:ilvl w:val="0"/>
          <w:numId w:val="17"/>
        </w:numPr>
        <w:tabs>
          <w:tab w:val="left" w:pos="1260"/>
        </w:tabs>
        <w:rPr>
          <w:rFonts w:ascii="Times New Roman" w:hAnsi="Times New Roman" w:cs="Times New Roman"/>
        </w:rPr>
      </w:pPr>
      <w:r w:rsidRPr="00A155FA">
        <w:rPr>
          <w:rFonts w:ascii="Times New Roman" w:hAnsi="Times New Roman" w:cs="Times New Roman"/>
          <w:b/>
          <w:bCs/>
        </w:rPr>
        <w:t xml:space="preserve">146 (symphyseal teeth):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Romer &amp; Witter (1942:949, fig. 3) depicted only a pair of symphyseal tusks posterior to the dentary row.</w:t>
      </w:r>
    </w:p>
    <w:p w14:paraId="78BDA74B" w14:textId="77777777" w:rsidR="00FA06B2" w:rsidRPr="00A155FA" w:rsidRDefault="00FA06B2" w:rsidP="005229E5">
      <w:pPr>
        <w:pStyle w:val="ListParagraph"/>
        <w:numPr>
          <w:ilvl w:val="0"/>
          <w:numId w:val="17"/>
        </w:numPr>
        <w:tabs>
          <w:tab w:val="left" w:pos="1260"/>
        </w:tabs>
        <w:rPr>
          <w:rFonts w:ascii="Times New Roman" w:hAnsi="Times New Roman" w:cs="Times New Roman"/>
        </w:rPr>
      </w:pPr>
      <w:r w:rsidRPr="00A155FA">
        <w:rPr>
          <w:rFonts w:ascii="Times New Roman" w:hAnsi="Times New Roman" w:cs="Times New Roman"/>
          <w:b/>
          <w:bCs/>
        </w:rPr>
        <w:t>147 (posterior coronoid dentition):</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Romer &amp; Witter (1942:949) noted a covering of denticles all on three coronoids.</w:t>
      </w:r>
    </w:p>
    <w:p w14:paraId="1EC7ECCC" w14:textId="77777777" w:rsidR="00FA06B2" w:rsidRPr="00A155FA" w:rsidRDefault="00FA06B2" w:rsidP="005229E5">
      <w:pPr>
        <w:pStyle w:val="ListParagraph"/>
        <w:numPr>
          <w:ilvl w:val="0"/>
          <w:numId w:val="17"/>
        </w:numPr>
        <w:tabs>
          <w:tab w:val="left" w:pos="1260"/>
        </w:tabs>
        <w:rPr>
          <w:rFonts w:ascii="Times New Roman" w:hAnsi="Times New Roman" w:cs="Times New Roman"/>
        </w:rPr>
      </w:pPr>
      <w:r w:rsidRPr="00A155FA">
        <w:rPr>
          <w:rFonts w:ascii="Times New Roman" w:hAnsi="Times New Roman" w:cs="Times New Roman"/>
          <w:b/>
          <w:bCs/>
        </w:rPr>
        <w:t>148 (anterior, middle coronoid dentition):</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As with character 147.</w:t>
      </w:r>
    </w:p>
    <w:p w14:paraId="76D40E05" w14:textId="77777777" w:rsidR="00FA06B2" w:rsidRPr="00A155FA" w:rsidRDefault="00FA06B2" w:rsidP="005229E5">
      <w:pPr>
        <w:pStyle w:val="ListParagraph"/>
        <w:numPr>
          <w:ilvl w:val="0"/>
          <w:numId w:val="17"/>
        </w:numPr>
        <w:tabs>
          <w:tab w:val="left" w:pos="1260"/>
        </w:tabs>
        <w:rPr>
          <w:rFonts w:ascii="Times New Roman" w:hAnsi="Times New Roman" w:cs="Times New Roman"/>
        </w:rPr>
      </w:pPr>
      <w:r w:rsidRPr="00A155FA">
        <w:rPr>
          <w:rFonts w:ascii="Times New Roman" w:hAnsi="Times New Roman" w:cs="Times New Roman"/>
          <w:b/>
          <w:bCs/>
        </w:rPr>
        <w:t xml:space="preserve">168 (pleurocentrum, presence):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Romer &amp; Witter (1942:952) described pleurocentra.</w:t>
      </w:r>
    </w:p>
    <w:p w14:paraId="402AD3B2" w14:textId="77777777" w:rsidR="00FA06B2" w:rsidRPr="00A155FA" w:rsidRDefault="00FA06B2" w:rsidP="005229E5">
      <w:pPr>
        <w:pStyle w:val="ListParagraph"/>
        <w:numPr>
          <w:ilvl w:val="0"/>
          <w:numId w:val="17"/>
        </w:numPr>
        <w:tabs>
          <w:tab w:val="left" w:pos="1260"/>
        </w:tabs>
        <w:rPr>
          <w:rFonts w:ascii="Times New Roman" w:hAnsi="Times New Roman" w:cs="Times New Roman"/>
        </w:rPr>
      </w:pPr>
      <w:r w:rsidRPr="00A155FA">
        <w:rPr>
          <w:rFonts w:ascii="Times New Roman" w:hAnsi="Times New Roman" w:cs="Times New Roman"/>
          <w:b/>
          <w:bCs/>
        </w:rPr>
        <w:t>192 (humerus, entepicondylar foramen):</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1. A foramen is absent (Romer &amp; Witter, 1942:fig. 13).</w:t>
      </w:r>
    </w:p>
    <w:p w14:paraId="4608337F" w14:textId="77777777" w:rsidR="00FA06B2" w:rsidRPr="00A155FA" w:rsidRDefault="00FA06B2" w:rsidP="005229E5">
      <w:pPr>
        <w:pStyle w:val="ListParagraph"/>
        <w:numPr>
          <w:ilvl w:val="0"/>
          <w:numId w:val="17"/>
        </w:numPr>
        <w:tabs>
          <w:tab w:val="left" w:pos="1260"/>
        </w:tabs>
        <w:rPr>
          <w:rFonts w:ascii="Times New Roman" w:hAnsi="Times New Roman" w:cs="Times New Roman"/>
        </w:rPr>
      </w:pPr>
      <w:r w:rsidRPr="00A155FA">
        <w:rPr>
          <w:rFonts w:ascii="Times New Roman" w:hAnsi="Times New Roman" w:cs="Times New Roman"/>
          <w:b/>
          <w:bCs/>
        </w:rPr>
        <w:t xml:space="preserve">214 (skull to trunk):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 Vertebral material of this taxon is isolated, and the length of the trunk is unknown (Romer &amp; Witter, 1942:951–952). This code may have been accidentally entered for this taxon instead of for </w:t>
      </w:r>
      <w:proofErr w:type="spellStart"/>
      <w:r w:rsidRPr="00A155FA">
        <w:rPr>
          <w:rFonts w:ascii="Times New Roman" w:hAnsi="Times New Roman" w:cs="Times New Roman"/>
          <w:i/>
          <w:iCs/>
        </w:rPr>
        <w:t>Cochelosaurus</w:t>
      </w:r>
      <w:proofErr w:type="spellEnd"/>
      <w:r w:rsidRPr="00A155FA">
        <w:rPr>
          <w:rFonts w:ascii="Times New Roman" w:hAnsi="Times New Roman" w:cs="Times New Roman"/>
          <w:i/>
          <w:iCs/>
        </w:rPr>
        <w:t xml:space="preserve"> </w:t>
      </w:r>
      <w:proofErr w:type="spellStart"/>
      <w:r w:rsidRPr="00A155FA">
        <w:rPr>
          <w:rFonts w:ascii="Times New Roman" w:hAnsi="Times New Roman" w:cs="Times New Roman"/>
          <w:i/>
          <w:iCs/>
        </w:rPr>
        <w:t>bohemicus</w:t>
      </w:r>
      <w:proofErr w:type="spellEnd"/>
      <w:r w:rsidRPr="00A155FA">
        <w:rPr>
          <w:rFonts w:ascii="Times New Roman" w:hAnsi="Times New Roman" w:cs="Times New Roman"/>
          <w:i/>
          <w:iCs/>
        </w:rPr>
        <w:t xml:space="preserve"> </w:t>
      </w:r>
      <w:r w:rsidRPr="00A155FA">
        <w:rPr>
          <w:rFonts w:ascii="Times New Roman" w:hAnsi="Times New Roman" w:cs="Times New Roman"/>
        </w:rPr>
        <w:t>(one line below), which has a well-characterized skeleton and which was not originally coded.</w:t>
      </w:r>
    </w:p>
    <w:p w14:paraId="43AC7530"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r w:rsidRPr="00A155FA">
        <w:rPr>
          <w:rFonts w:ascii="Times New Roman" w:hAnsi="Times New Roman" w:cs="Times New Roman"/>
          <w:b/>
          <w:bCs/>
          <w:i/>
          <w:iCs/>
        </w:rPr>
        <w:t>Cochleosaurus bohemicus</w:t>
      </w:r>
    </w:p>
    <w:p w14:paraId="4A189B69" w14:textId="77777777" w:rsidR="00FA06B2" w:rsidRPr="00A155FA" w:rsidRDefault="00FA06B2" w:rsidP="00A30351">
      <w:pPr>
        <w:pStyle w:val="ListParagraph"/>
        <w:numPr>
          <w:ilvl w:val="1"/>
          <w:numId w:val="62"/>
        </w:numPr>
        <w:tabs>
          <w:tab w:val="left" w:pos="1260"/>
        </w:tabs>
        <w:ind w:left="1800"/>
        <w:rPr>
          <w:rFonts w:ascii="Times New Roman" w:hAnsi="Times New Roman" w:cs="Times New Roman"/>
          <w:b/>
          <w:bCs/>
        </w:rPr>
      </w:pPr>
      <w:r w:rsidRPr="00A155FA">
        <w:rPr>
          <w:rFonts w:ascii="Times New Roman" w:hAnsi="Times New Roman" w:cs="Times New Roman"/>
          <w:b/>
          <w:bCs/>
        </w:rPr>
        <w:t xml:space="preserve">121 (pterygoid, flange):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1. Sequeira (2004:30, fig. 7) made note of a prominent posterolateral flange.</w:t>
      </w:r>
    </w:p>
    <w:p w14:paraId="2D0EF758" w14:textId="77777777" w:rsidR="00FA06B2" w:rsidRPr="00A155FA" w:rsidRDefault="00FA06B2" w:rsidP="005229E5">
      <w:pPr>
        <w:pStyle w:val="ListParagraph"/>
        <w:numPr>
          <w:ilvl w:val="0"/>
          <w:numId w:val="18"/>
        </w:numPr>
        <w:tabs>
          <w:tab w:val="left" w:pos="1260"/>
        </w:tabs>
        <w:rPr>
          <w:rFonts w:ascii="Times New Roman" w:hAnsi="Times New Roman" w:cs="Times New Roman"/>
          <w:b/>
          <w:bCs/>
        </w:rPr>
      </w:pPr>
      <w:r w:rsidRPr="00A155FA">
        <w:rPr>
          <w:rFonts w:ascii="Times New Roman" w:hAnsi="Times New Roman" w:cs="Times New Roman"/>
          <w:b/>
          <w:bCs/>
        </w:rPr>
        <w:t xml:space="preserve">192 (humerus, entepicondylar foramen):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The loss of the foramen is an ontogenetic feature (Sequeira, 2009:147).</w:t>
      </w:r>
    </w:p>
    <w:p w14:paraId="3233A989" w14:textId="77777777" w:rsidR="00FA06B2" w:rsidRPr="00A155FA" w:rsidRDefault="00FA06B2" w:rsidP="005229E5">
      <w:pPr>
        <w:pStyle w:val="ListParagraph"/>
        <w:numPr>
          <w:ilvl w:val="0"/>
          <w:numId w:val="18"/>
        </w:numPr>
        <w:tabs>
          <w:tab w:val="left" w:pos="1260"/>
        </w:tabs>
        <w:rPr>
          <w:rFonts w:ascii="Times New Roman" w:hAnsi="Times New Roman" w:cs="Times New Roman"/>
          <w:b/>
          <w:bCs/>
        </w:rPr>
      </w:pPr>
      <w:r w:rsidRPr="00A155FA">
        <w:rPr>
          <w:rFonts w:ascii="Times New Roman" w:hAnsi="Times New Roman" w:cs="Times New Roman"/>
          <w:b/>
          <w:bCs/>
        </w:rPr>
        <w:t xml:space="preserve">205 (femur, trochanter):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Sequeira (2009:148) notes a small trochanter.</w:t>
      </w:r>
    </w:p>
    <w:p w14:paraId="02FBB9F3" w14:textId="77777777" w:rsidR="00FA06B2" w:rsidRPr="00A155FA" w:rsidRDefault="00FA06B2" w:rsidP="005229E5">
      <w:pPr>
        <w:pStyle w:val="ListParagraph"/>
        <w:numPr>
          <w:ilvl w:val="0"/>
          <w:numId w:val="18"/>
        </w:numPr>
        <w:tabs>
          <w:tab w:val="left" w:pos="1260"/>
        </w:tabs>
        <w:rPr>
          <w:rFonts w:ascii="Times New Roman" w:hAnsi="Times New Roman" w:cs="Times New Roman"/>
          <w:b/>
          <w:bCs/>
        </w:rPr>
      </w:pPr>
      <w:r w:rsidRPr="00A155FA">
        <w:rPr>
          <w:rFonts w:ascii="Times New Roman" w:hAnsi="Times New Roman" w:cs="Times New Roman"/>
          <w:b/>
          <w:bCs/>
        </w:rPr>
        <w:t xml:space="preserve">214 (skull to trunk):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1. Reconstructions of the skeleton have been published by Schoch &amp; Milner (2014:fig. 8B).</w:t>
      </w:r>
    </w:p>
    <w:p w14:paraId="0E195634" w14:textId="77777777" w:rsidR="00FA06B2" w:rsidRPr="00A155FA" w:rsidRDefault="00FA06B2" w:rsidP="005229E5">
      <w:pPr>
        <w:pStyle w:val="ListParagraph"/>
        <w:numPr>
          <w:ilvl w:val="0"/>
          <w:numId w:val="18"/>
        </w:numPr>
        <w:tabs>
          <w:tab w:val="left" w:pos="1260"/>
        </w:tabs>
        <w:rPr>
          <w:rFonts w:ascii="Times New Roman" w:hAnsi="Times New Roman" w:cs="Times New Roman"/>
          <w:b/>
          <w:bCs/>
        </w:rPr>
      </w:pPr>
      <w:r w:rsidRPr="00A155FA">
        <w:rPr>
          <w:rFonts w:ascii="Times New Roman" w:hAnsi="Times New Roman" w:cs="Times New Roman"/>
          <w:b/>
          <w:bCs/>
        </w:rPr>
        <w:t xml:space="preserve">278 (trunk intercentra):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As described by Sequeira (2009:142). </w:t>
      </w:r>
    </w:p>
    <w:p w14:paraId="7D0CC1D6" w14:textId="77777777" w:rsidR="00FA06B2" w:rsidRPr="00A155FA" w:rsidRDefault="00FA06B2" w:rsidP="005229E5">
      <w:pPr>
        <w:pStyle w:val="ListParagraph"/>
        <w:numPr>
          <w:ilvl w:val="0"/>
          <w:numId w:val="18"/>
        </w:numPr>
        <w:tabs>
          <w:tab w:val="left" w:pos="1260"/>
        </w:tabs>
        <w:rPr>
          <w:rFonts w:ascii="Times New Roman" w:hAnsi="Times New Roman" w:cs="Times New Roman"/>
          <w:b/>
          <w:bCs/>
        </w:rPr>
      </w:pPr>
      <w:r w:rsidRPr="00A155FA">
        <w:rPr>
          <w:rFonts w:ascii="Times New Roman" w:hAnsi="Times New Roman" w:cs="Times New Roman"/>
          <w:b/>
          <w:bCs/>
        </w:rPr>
        <w:t xml:space="preserve">292 (atlas neural arch):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As described by Sequeira (2009:142).</w:t>
      </w:r>
    </w:p>
    <w:p w14:paraId="6D752161" w14:textId="77777777" w:rsidR="00FA06B2" w:rsidRPr="00A155FA" w:rsidRDefault="00FA06B2" w:rsidP="005229E5">
      <w:pPr>
        <w:pStyle w:val="ListParagraph"/>
        <w:numPr>
          <w:ilvl w:val="0"/>
          <w:numId w:val="18"/>
        </w:numPr>
        <w:tabs>
          <w:tab w:val="left" w:pos="1260"/>
        </w:tabs>
        <w:rPr>
          <w:rFonts w:ascii="Times New Roman" w:hAnsi="Times New Roman" w:cs="Times New Roman"/>
          <w:b/>
          <w:bCs/>
        </w:rPr>
      </w:pPr>
      <w:r w:rsidRPr="00A155FA">
        <w:rPr>
          <w:rFonts w:ascii="Times New Roman" w:hAnsi="Times New Roman" w:cs="Times New Roman"/>
          <w:b/>
          <w:bCs/>
        </w:rPr>
        <w:t xml:space="preserve">293 (proatlantes):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As described by Sequeira (2009:142).</w:t>
      </w:r>
    </w:p>
    <w:p w14:paraId="418E8325" w14:textId="77777777" w:rsidR="00FA06B2" w:rsidRPr="00A155FA" w:rsidRDefault="00FA06B2" w:rsidP="005229E5">
      <w:pPr>
        <w:pStyle w:val="ListParagraph"/>
        <w:numPr>
          <w:ilvl w:val="0"/>
          <w:numId w:val="18"/>
        </w:numPr>
        <w:tabs>
          <w:tab w:val="left" w:pos="1260"/>
        </w:tabs>
        <w:rPr>
          <w:rFonts w:ascii="Times New Roman" w:hAnsi="Times New Roman" w:cs="Times New Roman"/>
          <w:b/>
          <w:bCs/>
        </w:rPr>
      </w:pPr>
      <w:r w:rsidRPr="00A155FA">
        <w:rPr>
          <w:rFonts w:ascii="Times New Roman" w:hAnsi="Times New Roman" w:cs="Times New Roman"/>
          <w:b/>
          <w:bCs/>
        </w:rPr>
        <w:t xml:space="preserve">305 (olecranon process):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1. As described by Sequeira (2009:147).</w:t>
      </w:r>
    </w:p>
    <w:p w14:paraId="1349F47E" w14:textId="77777777" w:rsidR="00FA06B2" w:rsidRPr="00A155FA" w:rsidRDefault="00FA06B2" w:rsidP="005229E5">
      <w:pPr>
        <w:pStyle w:val="ListParagraph"/>
        <w:numPr>
          <w:ilvl w:val="0"/>
          <w:numId w:val="18"/>
        </w:numPr>
        <w:tabs>
          <w:tab w:val="left" w:pos="1260"/>
        </w:tabs>
        <w:rPr>
          <w:rFonts w:ascii="Times New Roman" w:hAnsi="Times New Roman" w:cs="Times New Roman"/>
          <w:b/>
          <w:bCs/>
        </w:rPr>
      </w:pPr>
      <w:r w:rsidRPr="00A155FA">
        <w:rPr>
          <w:rFonts w:ascii="Times New Roman" w:hAnsi="Times New Roman" w:cs="Times New Roman"/>
          <w:b/>
          <w:bCs/>
        </w:rPr>
        <w:t xml:space="preserve">311 (parietal, anterior </w:t>
      </w:r>
      <w:proofErr w:type="spellStart"/>
      <w:r w:rsidRPr="00A155FA">
        <w:rPr>
          <w:rFonts w:ascii="Times New Roman" w:hAnsi="Times New Roman" w:cs="Times New Roman"/>
          <w:b/>
          <w:bCs/>
        </w:rPr>
        <w:t>waisting</w:t>
      </w:r>
      <w:proofErr w:type="spellEnd"/>
      <w:r w:rsidRPr="00A155FA">
        <w:rPr>
          <w:rFonts w:ascii="Times New Roman" w:hAnsi="Times New Roman" w:cs="Times New Roman"/>
          <w:b/>
          <w:bCs/>
        </w:rPr>
        <w:t xml:space="preserve">):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0&amp;1. As figured by Sequeira (2003:figs. 1, 4–6).</w:t>
      </w:r>
    </w:p>
    <w:p w14:paraId="17353548" w14:textId="77777777" w:rsidR="00FA06B2" w:rsidRPr="00A155FA" w:rsidRDefault="00FA06B2" w:rsidP="005229E5">
      <w:pPr>
        <w:pStyle w:val="ListParagraph"/>
        <w:numPr>
          <w:ilvl w:val="0"/>
          <w:numId w:val="18"/>
        </w:numPr>
        <w:tabs>
          <w:tab w:val="left" w:pos="1260"/>
        </w:tabs>
        <w:rPr>
          <w:rFonts w:ascii="Times New Roman" w:hAnsi="Times New Roman" w:cs="Times New Roman"/>
          <w:b/>
          <w:bCs/>
        </w:rPr>
      </w:pPr>
      <w:r w:rsidRPr="00A155FA">
        <w:rPr>
          <w:rFonts w:ascii="Times New Roman" w:hAnsi="Times New Roman" w:cs="Times New Roman"/>
          <w:b/>
          <w:bCs/>
        </w:rPr>
        <w:t xml:space="preserve">312 (parietal width):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1. As with character 311.</w:t>
      </w:r>
    </w:p>
    <w:p w14:paraId="6F49C4C6" w14:textId="7C675176" w:rsidR="00FA06B2" w:rsidRPr="00A155FA" w:rsidRDefault="00FA06B2" w:rsidP="005229E5">
      <w:pPr>
        <w:pStyle w:val="ListParagraph"/>
        <w:numPr>
          <w:ilvl w:val="0"/>
          <w:numId w:val="62"/>
        </w:numPr>
        <w:tabs>
          <w:tab w:val="left" w:pos="1260"/>
        </w:tabs>
        <w:rPr>
          <w:rFonts w:ascii="Times New Roman" w:hAnsi="Times New Roman" w:cs="Times New Roman"/>
          <w:b/>
          <w:bCs/>
          <w:i/>
          <w:iCs/>
        </w:rPr>
      </w:pPr>
      <w:r w:rsidRPr="00A155FA">
        <w:rPr>
          <w:rFonts w:ascii="Times New Roman" w:hAnsi="Times New Roman" w:cs="Times New Roman"/>
          <w:b/>
          <w:bCs/>
          <w:i/>
          <w:iCs/>
        </w:rPr>
        <w:t>Dendrerpeton helogenes</w:t>
      </w:r>
    </w:p>
    <w:p w14:paraId="7C0ED3EA" w14:textId="77777777" w:rsidR="00FA06B2" w:rsidRPr="00A155FA" w:rsidRDefault="00FA06B2" w:rsidP="005229E5">
      <w:pPr>
        <w:pStyle w:val="ListParagraph"/>
        <w:numPr>
          <w:ilvl w:val="0"/>
          <w:numId w:val="19"/>
        </w:numPr>
        <w:tabs>
          <w:tab w:val="left" w:pos="1260"/>
        </w:tabs>
        <w:rPr>
          <w:rFonts w:ascii="Times New Roman" w:hAnsi="Times New Roman" w:cs="Times New Roman"/>
          <w:b/>
          <w:bCs/>
        </w:rPr>
      </w:pPr>
      <w:r w:rsidRPr="00A155FA">
        <w:rPr>
          <w:rFonts w:ascii="Times New Roman" w:hAnsi="Times New Roman" w:cs="Times New Roman"/>
          <w:b/>
          <w:bCs/>
        </w:rPr>
        <w:t xml:space="preserve">147 (posterior coronoid dentition):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Godfrey et al. (1987:801) stated that the coronoids are covered by denticles.</w:t>
      </w:r>
    </w:p>
    <w:p w14:paraId="5FE4BF1A" w14:textId="77777777" w:rsidR="00FA06B2" w:rsidRPr="00A155FA" w:rsidRDefault="00FA06B2" w:rsidP="005229E5">
      <w:pPr>
        <w:pStyle w:val="ListParagraph"/>
        <w:numPr>
          <w:ilvl w:val="0"/>
          <w:numId w:val="19"/>
        </w:numPr>
        <w:tabs>
          <w:tab w:val="left" w:pos="1260"/>
        </w:tabs>
        <w:rPr>
          <w:rFonts w:ascii="Times New Roman" w:hAnsi="Times New Roman" w:cs="Times New Roman"/>
          <w:b/>
          <w:bCs/>
        </w:rPr>
      </w:pPr>
      <w:r w:rsidRPr="00A155FA">
        <w:rPr>
          <w:rFonts w:ascii="Times New Roman" w:hAnsi="Times New Roman" w:cs="Times New Roman"/>
          <w:b/>
          <w:bCs/>
        </w:rPr>
        <w:t xml:space="preserve">148 (anterior, middle coronoid dentition):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As with character 147.</w:t>
      </w:r>
    </w:p>
    <w:p w14:paraId="65843577" w14:textId="77777777" w:rsidR="00FA06B2" w:rsidRPr="00A155FA" w:rsidRDefault="00FA06B2" w:rsidP="00A30351">
      <w:pPr>
        <w:pStyle w:val="ListParagraph"/>
        <w:numPr>
          <w:ilvl w:val="0"/>
          <w:numId w:val="62"/>
        </w:numPr>
        <w:tabs>
          <w:tab w:val="left" w:pos="1260"/>
        </w:tabs>
        <w:rPr>
          <w:rFonts w:ascii="Times New Roman" w:hAnsi="Times New Roman" w:cs="Times New Roman"/>
          <w:b/>
          <w:bCs/>
          <w:i/>
          <w:iCs/>
        </w:rPr>
      </w:pPr>
      <w:r w:rsidRPr="00A155FA">
        <w:rPr>
          <w:rFonts w:ascii="Times New Roman" w:hAnsi="Times New Roman" w:cs="Times New Roman"/>
          <w:b/>
          <w:bCs/>
          <w:i/>
          <w:iCs/>
        </w:rPr>
        <w:t>Balanerpeton woodi</w:t>
      </w:r>
    </w:p>
    <w:p w14:paraId="1C03FB16" w14:textId="77777777" w:rsidR="00FA06B2" w:rsidRPr="00A155FA" w:rsidRDefault="00FA06B2" w:rsidP="00A30351">
      <w:pPr>
        <w:pStyle w:val="ListParagraph"/>
        <w:numPr>
          <w:ilvl w:val="1"/>
          <w:numId w:val="62"/>
        </w:numPr>
        <w:tabs>
          <w:tab w:val="left" w:pos="1800"/>
        </w:tabs>
        <w:ind w:left="1800"/>
        <w:rPr>
          <w:rFonts w:ascii="Times New Roman" w:hAnsi="Times New Roman" w:cs="Times New Roman"/>
          <w:b/>
          <w:bCs/>
          <w:i/>
          <w:iCs/>
        </w:rPr>
      </w:pPr>
      <w:r w:rsidRPr="00A155FA">
        <w:rPr>
          <w:rFonts w:ascii="Times New Roman" w:hAnsi="Times New Roman" w:cs="Times New Roman"/>
          <w:b/>
          <w:bCs/>
        </w:rPr>
        <w:t xml:space="preserve">121 (pterygoid, flange):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1. The posterolateral margin is distinctly convex (Milner &amp; &amp; Sequeira, 1993:fig. 5A).</w:t>
      </w:r>
    </w:p>
    <w:p w14:paraId="5FC44133"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r w:rsidRPr="00A155FA">
        <w:rPr>
          <w:rFonts w:ascii="Times New Roman" w:hAnsi="Times New Roman" w:cs="Times New Roman"/>
          <w:b/>
          <w:bCs/>
          <w:i/>
          <w:iCs/>
        </w:rPr>
        <w:t>Trimerorhachis insignis</w:t>
      </w:r>
    </w:p>
    <w:p w14:paraId="070622F0" w14:textId="77777777" w:rsidR="00FA06B2" w:rsidRPr="00A155FA" w:rsidRDefault="00FA06B2" w:rsidP="005229E5">
      <w:pPr>
        <w:pStyle w:val="ListParagraph"/>
        <w:numPr>
          <w:ilvl w:val="0"/>
          <w:numId w:val="20"/>
        </w:numPr>
        <w:tabs>
          <w:tab w:val="left" w:pos="1260"/>
        </w:tabs>
        <w:rPr>
          <w:rFonts w:ascii="Times New Roman" w:hAnsi="Times New Roman" w:cs="Times New Roman"/>
        </w:rPr>
      </w:pPr>
      <w:r w:rsidRPr="00A155FA">
        <w:rPr>
          <w:rFonts w:ascii="Times New Roman" w:hAnsi="Times New Roman" w:cs="Times New Roman"/>
          <w:b/>
          <w:bCs/>
        </w:rPr>
        <w:lastRenderedPageBreak/>
        <w:t xml:space="preserve">30 (interorbital distance):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0&amp;1. There is apparently intraspecific variation in this feature (e.g., Milner &amp; Schoch, 2013:fig. 2); reconstructions depict an interorbital distance that is wider than the orbit.</w:t>
      </w:r>
    </w:p>
    <w:p w14:paraId="117709C3" w14:textId="77777777" w:rsidR="00FA06B2" w:rsidRPr="00A155FA" w:rsidRDefault="00FA06B2" w:rsidP="005229E5">
      <w:pPr>
        <w:pStyle w:val="ListParagraph"/>
        <w:numPr>
          <w:ilvl w:val="0"/>
          <w:numId w:val="20"/>
        </w:numPr>
        <w:tabs>
          <w:tab w:val="left" w:pos="1260"/>
        </w:tabs>
        <w:rPr>
          <w:rFonts w:ascii="Times New Roman" w:hAnsi="Times New Roman" w:cs="Times New Roman"/>
        </w:rPr>
      </w:pPr>
      <w:r w:rsidRPr="00A155FA">
        <w:rPr>
          <w:rFonts w:ascii="Times New Roman" w:hAnsi="Times New Roman" w:cs="Times New Roman"/>
          <w:b/>
          <w:bCs/>
        </w:rPr>
        <w:t>39 (prefrontal, frontal):</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0&amp;1. This is polymorphic (e.g., Milner &amp; Schoch, 2013:figs. 1–2).</w:t>
      </w:r>
    </w:p>
    <w:p w14:paraId="0242D8EB" w14:textId="77777777" w:rsidR="00FA06B2" w:rsidRPr="00A155FA" w:rsidRDefault="00FA06B2" w:rsidP="005229E5">
      <w:pPr>
        <w:pStyle w:val="ListParagraph"/>
        <w:numPr>
          <w:ilvl w:val="0"/>
          <w:numId w:val="20"/>
        </w:numPr>
        <w:tabs>
          <w:tab w:val="left" w:pos="1260"/>
        </w:tabs>
        <w:rPr>
          <w:rFonts w:ascii="Times New Roman" w:hAnsi="Times New Roman" w:cs="Times New Roman"/>
        </w:rPr>
      </w:pPr>
      <w:r w:rsidRPr="00A155FA">
        <w:rPr>
          <w:rFonts w:ascii="Times New Roman" w:hAnsi="Times New Roman" w:cs="Times New Roman"/>
          <w:b/>
          <w:bCs/>
        </w:rPr>
        <w:t>52 (otic notch, position):</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2. The otic notch of this taxon is not well-developed and is closer to the condition observed in stereospondyls (dorsally facing and forming a relatively short incision into the squamosal) than to other taxa coded for 52</w:t>
      </w:r>
      <w:r w:rsidRPr="00A155FA">
        <w:rPr>
          <w:rFonts w:ascii="Times New Roman" w:hAnsi="Times New Roman" w:cs="Times New Roman"/>
        </w:rPr>
        <w:softHyphen/>
        <w:t>–0, such as dissorophoids or dendrerpetids, and it is clearly not “slit-like” as in eryopoids (52–1).</w:t>
      </w:r>
    </w:p>
    <w:p w14:paraId="598870B5" w14:textId="77777777" w:rsidR="00FA06B2" w:rsidRPr="00A155FA" w:rsidRDefault="00FA06B2" w:rsidP="005229E5">
      <w:pPr>
        <w:pStyle w:val="ListParagraph"/>
        <w:numPr>
          <w:ilvl w:val="0"/>
          <w:numId w:val="20"/>
        </w:numPr>
        <w:tabs>
          <w:tab w:val="left" w:pos="1260"/>
        </w:tabs>
        <w:rPr>
          <w:rFonts w:ascii="Times New Roman" w:hAnsi="Times New Roman" w:cs="Times New Roman"/>
        </w:rPr>
      </w:pPr>
      <w:r w:rsidRPr="00A155FA">
        <w:rPr>
          <w:rFonts w:ascii="Times New Roman" w:hAnsi="Times New Roman" w:cs="Times New Roman"/>
          <w:b/>
          <w:bCs/>
        </w:rPr>
        <w:t>148 (anterior, middle coronoid teeth):</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 While teeth are absent on the anterior coronoid, Milner &amp; Schoch (2013:107) stated that there is a raised denticle field on the second (middle) coronoid. Based on how other taxa were coded, the presence of denticles is considered to be valid for presence of ‘teeth.’ This character is coded as unknown rather than as polymorphic because of how the character is constructed.</w:t>
      </w:r>
    </w:p>
    <w:p w14:paraId="6258B894" w14:textId="77777777" w:rsidR="00FA06B2" w:rsidRPr="00A155FA" w:rsidRDefault="00FA06B2" w:rsidP="005229E5">
      <w:pPr>
        <w:pStyle w:val="ListParagraph"/>
        <w:numPr>
          <w:ilvl w:val="0"/>
          <w:numId w:val="20"/>
        </w:numPr>
        <w:tabs>
          <w:tab w:val="left" w:pos="1260"/>
        </w:tabs>
        <w:rPr>
          <w:rFonts w:ascii="Times New Roman" w:hAnsi="Times New Roman" w:cs="Times New Roman"/>
        </w:rPr>
      </w:pPr>
      <w:r w:rsidRPr="00A155FA">
        <w:rPr>
          <w:rFonts w:ascii="Times New Roman" w:hAnsi="Times New Roman" w:cs="Times New Roman"/>
          <w:b/>
          <w:bCs/>
        </w:rPr>
        <w:t xml:space="preserve">244 (maxillary tooth count):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0. Schoch &amp; Milner (2013:106), citing Case (1935:237), noted room for up to 60 maxillary teeth.</w:t>
      </w:r>
    </w:p>
    <w:p w14:paraId="00ADFB08" w14:textId="77777777" w:rsidR="00FA06B2" w:rsidRPr="00A155FA" w:rsidRDefault="00FA06B2" w:rsidP="005229E5">
      <w:pPr>
        <w:pStyle w:val="ListParagraph"/>
        <w:numPr>
          <w:ilvl w:val="0"/>
          <w:numId w:val="20"/>
        </w:numPr>
        <w:tabs>
          <w:tab w:val="left" w:pos="1260"/>
        </w:tabs>
        <w:rPr>
          <w:rFonts w:ascii="Times New Roman" w:hAnsi="Times New Roman" w:cs="Times New Roman"/>
        </w:rPr>
      </w:pPr>
      <w:r w:rsidRPr="00A155FA">
        <w:rPr>
          <w:rFonts w:ascii="Times New Roman" w:hAnsi="Times New Roman" w:cs="Times New Roman"/>
          <w:b/>
          <w:bCs/>
        </w:rPr>
        <w:t>281 (haemal arches):</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Pawley (2007:876) made brief mention of these features.</w:t>
      </w:r>
    </w:p>
    <w:p w14:paraId="2D841FA6" w14:textId="77777777" w:rsidR="00FA06B2" w:rsidRPr="00A155FA" w:rsidRDefault="00FA06B2" w:rsidP="005229E5">
      <w:pPr>
        <w:pStyle w:val="ListParagraph"/>
        <w:numPr>
          <w:ilvl w:val="0"/>
          <w:numId w:val="20"/>
        </w:numPr>
        <w:tabs>
          <w:tab w:val="left" w:pos="1260"/>
        </w:tabs>
        <w:rPr>
          <w:rFonts w:ascii="Times New Roman" w:hAnsi="Times New Roman" w:cs="Times New Roman"/>
        </w:rPr>
      </w:pPr>
      <w:r w:rsidRPr="00A155FA">
        <w:rPr>
          <w:rFonts w:ascii="Times New Roman" w:hAnsi="Times New Roman" w:cs="Times New Roman"/>
          <w:b/>
          <w:bCs/>
        </w:rPr>
        <w:t>286 (transverse processes):</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Pawley (2007:fig. 5) illustrated these processes on the arch.</w:t>
      </w:r>
    </w:p>
    <w:p w14:paraId="40BEF08F" w14:textId="77777777" w:rsidR="00FA06B2" w:rsidRPr="00A155FA" w:rsidRDefault="00FA06B2" w:rsidP="005229E5">
      <w:pPr>
        <w:pStyle w:val="ListParagraph"/>
        <w:numPr>
          <w:ilvl w:val="0"/>
          <w:numId w:val="20"/>
        </w:numPr>
        <w:tabs>
          <w:tab w:val="left" w:pos="1260"/>
        </w:tabs>
        <w:rPr>
          <w:rFonts w:ascii="Times New Roman" w:hAnsi="Times New Roman" w:cs="Times New Roman"/>
        </w:rPr>
      </w:pPr>
      <w:r w:rsidRPr="00A155FA">
        <w:rPr>
          <w:rFonts w:ascii="Times New Roman" w:hAnsi="Times New Roman" w:cs="Times New Roman"/>
          <w:b/>
          <w:bCs/>
        </w:rPr>
        <w:t>290 (atlas neural arch):</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Pawley (2007:875) indicated there is no fusion between components of the atlas.</w:t>
      </w:r>
    </w:p>
    <w:p w14:paraId="781F6757" w14:textId="77777777" w:rsidR="00FA06B2" w:rsidRPr="00A155FA" w:rsidRDefault="00FA06B2" w:rsidP="005229E5">
      <w:pPr>
        <w:pStyle w:val="ListParagraph"/>
        <w:numPr>
          <w:ilvl w:val="0"/>
          <w:numId w:val="20"/>
        </w:numPr>
        <w:tabs>
          <w:tab w:val="left" w:pos="1260"/>
        </w:tabs>
        <w:rPr>
          <w:rFonts w:ascii="Times New Roman" w:hAnsi="Times New Roman" w:cs="Times New Roman"/>
        </w:rPr>
      </w:pPr>
      <w:r w:rsidRPr="00A155FA">
        <w:rPr>
          <w:rFonts w:ascii="Times New Roman" w:hAnsi="Times New Roman" w:cs="Times New Roman"/>
          <w:b/>
          <w:bCs/>
        </w:rPr>
        <w:t xml:space="preserve">292 (atlas neural arch):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0/1. Pawley (2007:875) indicated the two counterparts are “not fused” to each other.</w:t>
      </w:r>
    </w:p>
    <w:p w14:paraId="67CC5E67" w14:textId="77777777" w:rsidR="00FA06B2" w:rsidRPr="00A155FA" w:rsidRDefault="00FA06B2" w:rsidP="005229E5">
      <w:pPr>
        <w:pStyle w:val="ListParagraph"/>
        <w:numPr>
          <w:ilvl w:val="0"/>
          <w:numId w:val="20"/>
        </w:numPr>
        <w:tabs>
          <w:tab w:val="left" w:pos="1260"/>
        </w:tabs>
        <w:rPr>
          <w:rFonts w:ascii="Times New Roman" w:hAnsi="Times New Roman" w:cs="Times New Roman"/>
        </w:rPr>
      </w:pPr>
      <w:r w:rsidRPr="00A155FA">
        <w:rPr>
          <w:rFonts w:ascii="Times New Roman" w:hAnsi="Times New Roman" w:cs="Times New Roman"/>
          <w:b/>
          <w:bCs/>
        </w:rPr>
        <w:t>295 (cervical rib distal shape):</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Pawley (2007:876, fig. 4) indicated distally expanded ribs to form a more ‘spatulate’ shape.</w:t>
      </w:r>
    </w:p>
    <w:p w14:paraId="264E818B" w14:textId="77777777" w:rsidR="00FA06B2" w:rsidRPr="00A155FA" w:rsidRDefault="00FA06B2" w:rsidP="005229E5">
      <w:pPr>
        <w:pStyle w:val="ListParagraph"/>
        <w:numPr>
          <w:ilvl w:val="0"/>
          <w:numId w:val="20"/>
        </w:numPr>
        <w:tabs>
          <w:tab w:val="left" w:pos="1260"/>
        </w:tabs>
        <w:rPr>
          <w:rFonts w:ascii="Times New Roman" w:hAnsi="Times New Roman" w:cs="Times New Roman"/>
        </w:rPr>
      </w:pPr>
      <w:r w:rsidRPr="00A155FA">
        <w:rPr>
          <w:rFonts w:ascii="Times New Roman" w:hAnsi="Times New Roman" w:cs="Times New Roman"/>
          <w:b/>
          <w:bCs/>
        </w:rPr>
        <w:t>302 (deltopectoral crest):</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1/2. Termed the ‘deltoid’ and ‘pectoral’ crests by Pawley (2007:881), these are “well-developed” and “rugose.”</w:t>
      </w:r>
    </w:p>
    <w:p w14:paraId="2CCC6918" w14:textId="77777777" w:rsidR="00FA06B2" w:rsidRPr="00A155FA" w:rsidRDefault="00FA06B2" w:rsidP="005229E5">
      <w:pPr>
        <w:pStyle w:val="ListParagraph"/>
        <w:numPr>
          <w:ilvl w:val="0"/>
          <w:numId w:val="20"/>
        </w:numPr>
        <w:tabs>
          <w:tab w:val="left" w:pos="1260"/>
        </w:tabs>
        <w:rPr>
          <w:rFonts w:ascii="Times New Roman" w:hAnsi="Times New Roman" w:cs="Times New Roman"/>
        </w:rPr>
      </w:pPr>
      <w:r w:rsidRPr="00A155FA">
        <w:rPr>
          <w:rFonts w:ascii="Times New Roman" w:hAnsi="Times New Roman" w:cs="Times New Roman"/>
          <w:b/>
          <w:bCs/>
        </w:rPr>
        <w:t>305 (olecranon process):</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1. Pawley (2007:883, fig. 10) described and figured a moderately developed process. </w:t>
      </w:r>
    </w:p>
    <w:p w14:paraId="38E88F04" w14:textId="77777777" w:rsidR="00FA06B2" w:rsidRPr="00A155FA" w:rsidRDefault="00FA06B2" w:rsidP="005229E5">
      <w:pPr>
        <w:pStyle w:val="ListParagraph"/>
        <w:numPr>
          <w:ilvl w:val="0"/>
          <w:numId w:val="20"/>
        </w:numPr>
        <w:tabs>
          <w:tab w:val="left" w:pos="1260"/>
        </w:tabs>
        <w:rPr>
          <w:rFonts w:ascii="Times New Roman" w:hAnsi="Times New Roman" w:cs="Times New Roman"/>
        </w:rPr>
      </w:pPr>
      <w:r w:rsidRPr="00A155FA">
        <w:rPr>
          <w:rFonts w:ascii="Times New Roman" w:hAnsi="Times New Roman" w:cs="Times New Roman"/>
          <w:b/>
          <w:bCs/>
        </w:rPr>
        <w:t>307 (femur):</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As figured by Pawley (2007:figs. 12–13). This is clearly a subjective feature with ‘long’ and ‘short’ states; the coding here is by comparison with previously coded taxa and is at least more elongate than other taxa coded for 307–0 like </w:t>
      </w:r>
      <w:r w:rsidRPr="00A155FA">
        <w:rPr>
          <w:rFonts w:ascii="Times New Roman" w:hAnsi="Times New Roman" w:cs="Times New Roman"/>
          <w:i/>
          <w:iCs/>
        </w:rPr>
        <w:t>Acanthostomatops</w:t>
      </w:r>
      <w:r w:rsidRPr="00A155FA">
        <w:rPr>
          <w:rFonts w:ascii="Times New Roman" w:hAnsi="Times New Roman" w:cs="Times New Roman"/>
        </w:rPr>
        <w:t>.</w:t>
      </w:r>
    </w:p>
    <w:p w14:paraId="4CC3695D" w14:textId="77777777" w:rsidR="00FA06B2" w:rsidRPr="00A155FA" w:rsidRDefault="00FA06B2" w:rsidP="005229E5">
      <w:pPr>
        <w:pStyle w:val="ListParagraph"/>
        <w:numPr>
          <w:ilvl w:val="0"/>
          <w:numId w:val="20"/>
        </w:numPr>
        <w:tabs>
          <w:tab w:val="left" w:pos="1260"/>
        </w:tabs>
        <w:rPr>
          <w:rFonts w:ascii="Times New Roman" w:hAnsi="Times New Roman" w:cs="Times New Roman"/>
        </w:rPr>
      </w:pPr>
      <w:r w:rsidRPr="00A155FA">
        <w:rPr>
          <w:rFonts w:ascii="Times New Roman" w:hAnsi="Times New Roman" w:cs="Times New Roman"/>
          <w:b/>
          <w:bCs/>
        </w:rPr>
        <w:t>322 (splenial teeth):</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1. No previous worker has described or figured teeth on the splenial (e.g., Williston, 1913; Case, 1935; Milner &amp; Schoch, 2013).</w:t>
      </w:r>
    </w:p>
    <w:p w14:paraId="7FADF79D"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r w:rsidRPr="00A155FA">
        <w:rPr>
          <w:rFonts w:ascii="Times New Roman" w:hAnsi="Times New Roman" w:cs="Times New Roman"/>
          <w:b/>
          <w:bCs/>
          <w:i/>
          <w:iCs/>
        </w:rPr>
        <w:t>Acanthostomatops vorax</w:t>
      </w:r>
    </w:p>
    <w:p w14:paraId="50013247" w14:textId="77777777" w:rsidR="00FA06B2" w:rsidRPr="00A155FA" w:rsidRDefault="00FA06B2" w:rsidP="005229E5">
      <w:pPr>
        <w:pStyle w:val="ListParagraph"/>
        <w:numPr>
          <w:ilvl w:val="0"/>
          <w:numId w:val="21"/>
        </w:numPr>
        <w:tabs>
          <w:tab w:val="left" w:pos="1260"/>
        </w:tabs>
        <w:rPr>
          <w:rFonts w:ascii="Times New Roman" w:hAnsi="Times New Roman" w:cs="Times New Roman"/>
        </w:rPr>
      </w:pPr>
      <w:r w:rsidRPr="00A155FA">
        <w:rPr>
          <w:rFonts w:ascii="Times New Roman" w:hAnsi="Times New Roman" w:cs="Times New Roman"/>
          <w:b/>
          <w:bCs/>
        </w:rPr>
        <w:t xml:space="preserve">39 (prefrontal, frontal):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0. The prefrontal terminates well anterior to the frontal (Boy, 1989:fig. 1; Witzmann &amp; Schoch, 2006:figs. 2–3).</w:t>
      </w:r>
    </w:p>
    <w:p w14:paraId="70AB3CCC" w14:textId="77777777" w:rsidR="00FA06B2" w:rsidRPr="00A155FA" w:rsidRDefault="00FA06B2" w:rsidP="005229E5">
      <w:pPr>
        <w:pStyle w:val="ListParagraph"/>
        <w:numPr>
          <w:ilvl w:val="0"/>
          <w:numId w:val="21"/>
        </w:numPr>
        <w:tabs>
          <w:tab w:val="left" w:pos="1260"/>
        </w:tabs>
        <w:rPr>
          <w:rFonts w:ascii="Times New Roman" w:hAnsi="Times New Roman" w:cs="Times New Roman"/>
        </w:rPr>
      </w:pPr>
      <w:r w:rsidRPr="00A155FA">
        <w:rPr>
          <w:rFonts w:ascii="Times New Roman" w:hAnsi="Times New Roman" w:cs="Times New Roman"/>
          <w:b/>
          <w:bCs/>
        </w:rPr>
        <w:t xml:space="preserve">73 (postparietal-exoccipital):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 Witzmann &amp; Schoch (2006:373) indicated the total absence of ossified exoccipitals and </w:t>
      </w:r>
      <w:proofErr w:type="spellStart"/>
      <w:r w:rsidRPr="00A155FA">
        <w:rPr>
          <w:rFonts w:ascii="Times New Roman" w:hAnsi="Times New Roman" w:cs="Times New Roman"/>
        </w:rPr>
        <w:t>basioccipitals</w:t>
      </w:r>
      <w:proofErr w:type="spellEnd"/>
      <w:r w:rsidRPr="00A155FA">
        <w:rPr>
          <w:rFonts w:ascii="Times New Roman" w:hAnsi="Times New Roman" w:cs="Times New Roman"/>
        </w:rPr>
        <w:t>.</w:t>
      </w:r>
    </w:p>
    <w:p w14:paraId="74484761" w14:textId="77777777" w:rsidR="00FA06B2" w:rsidRPr="00A155FA" w:rsidRDefault="00FA06B2" w:rsidP="005229E5">
      <w:pPr>
        <w:pStyle w:val="ListParagraph"/>
        <w:numPr>
          <w:ilvl w:val="0"/>
          <w:numId w:val="21"/>
        </w:numPr>
        <w:tabs>
          <w:tab w:val="left" w:pos="1260"/>
        </w:tabs>
        <w:rPr>
          <w:rFonts w:ascii="Times New Roman" w:hAnsi="Times New Roman" w:cs="Times New Roman"/>
        </w:rPr>
      </w:pPr>
      <w:r w:rsidRPr="00A155FA">
        <w:rPr>
          <w:rFonts w:ascii="Times New Roman" w:hAnsi="Times New Roman" w:cs="Times New Roman"/>
          <w:b/>
          <w:bCs/>
        </w:rPr>
        <w:t>74 (</w:t>
      </w:r>
      <w:proofErr w:type="spellStart"/>
      <w:r w:rsidRPr="00A155FA">
        <w:rPr>
          <w:rFonts w:ascii="Times New Roman" w:hAnsi="Times New Roman" w:cs="Times New Roman"/>
          <w:b/>
          <w:bCs/>
        </w:rPr>
        <w:t>postfenestral</w:t>
      </w:r>
      <w:proofErr w:type="spellEnd"/>
      <w:r w:rsidRPr="00A155FA">
        <w:rPr>
          <w:rFonts w:ascii="Times New Roman" w:hAnsi="Times New Roman" w:cs="Times New Roman"/>
          <w:b/>
          <w:bCs/>
        </w:rPr>
        <w:t xml:space="preserve"> window):</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73.</w:t>
      </w:r>
    </w:p>
    <w:p w14:paraId="13E75C63" w14:textId="77777777" w:rsidR="00FA06B2" w:rsidRPr="00A155FA" w:rsidRDefault="00FA06B2" w:rsidP="005229E5">
      <w:pPr>
        <w:pStyle w:val="ListParagraph"/>
        <w:numPr>
          <w:ilvl w:val="0"/>
          <w:numId w:val="21"/>
        </w:numPr>
        <w:tabs>
          <w:tab w:val="left" w:pos="1260"/>
        </w:tabs>
        <w:rPr>
          <w:rFonts w:ascii="Times New Roman" w:hAnsi="Times New Roman" w:cs="Times New Roman"/>
        </w:rPr>
      </w:pPr>
      <w:r w:rsidRPr="00A155FA">
        <w:rPr>
          <w:rFonts w:ascii="Times New Roman" w:hAnsi="Times New Roman" w:cs="Times New Roman"/>
          <w:b/>
          <w:bCs/>
        </w:rPr>
        <w:t>75 (quadrate and occipital condyles):</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 As with character 73.</w:t>
      </w:r>
    </w:p>
    <w:p w14:paraId="2DCFF717" w14:textId="77777777" w:rsidR="00FA06B2" w:rsidRPr="00A155FA" w:rsidRDefault="00FA06B2" w:rsidP="005229E5">
      <w:pPr>
        <w:pStyle w:val="ListParagraph"/>
        <w:numPr>
          <w:ilvl w:val="0"/>
          <w:numId w:val="21"/>
        </w:numPr>
        <w:tabs>
          <w:tab w:val="left" w:pos="1260"/>
        </w:tabs>
        <w:rPr>
          <w:rFonts w:ascii="Times New Roman" w:hAnsi="Times New Roman" w:cs="Times New Roman"/>
        </w:rPr>
      </w:pPr>
      <w:r w:rsidRPr="00A155FA">
        <w:rPr>
          <w:rFonts w:ascii="Times New Roman" w:hAnsi="Times New Roman" w:cs="Times New Roman"/>
          <w:b/>
          <w:bCs/>
        </w:rPr>
        <w:lastRenderedPageBreak/>
        <w:t>76 (epipterygoid):</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Witzmann &amp; Schoch (2006:373) indicated the absence of an ossified epipterygoid.</w:t>
      </w:r>
    </w:p>
    <w:p w14:paraId="1E46FEE1" w14:textId="77777777" w:rsidR="00FA06B2" w:rsidRPr="00A155FA" w:rsidRDefault="00FA06B2" w:rsidP="005229E5">
      <w:pPr>
        <w:pStyle w:val="ListParagraph"/>
        <w:numPr>
          <w:ilvl w:val="0"/>
          <w:numId w:val="21"/>
        </w:numPr>
        <w:tabs>
          <w:tab w:val="left" w:pos="1260"/>
        </w:tabs>
        <w:rPr>
          <w:rFonts w:ascii="Times New Roman" w:hAnsi="Times New Roman" w:cs="Times New Roman"/>
        </w:rPr>
      </w:pPr>
      <w:r w:rsidRPr="00A155FA">
        <w:rPr>
          <w:rFonts w:ascii="Times New Roman" w:hAnsi="Times New Roman" w:cs="Times New Roman"/>
          <w:b/>
          <w:bCs/>
        </w:rPr>
        <w:t>108 (parasphenoid):</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73.</w:t>
      </w:r>
    </w:p>
    <w:p w14:paraId="24ACC931" w14:textId="77777777" w:rsidR="00FA06B2" w:rsidRPr="00A155FA" w:rsidRDefault="00FA06B2" w:rsidP="005229E5">
      <w:pPr>
        <w:pStyle w:val="ListParagraph"/>
        <w:numPr>
          <w:ilvl w:val="0"/>
          <w:numId w:val="21"/>
        </w:numPr>
        <w:tabs>
          <w:tab w:val="left" w:pos="1260"/>
        </w:tabs>
        <w:rPr>
          <w:rFonts w:ascii="Times New Roman" w:hAnsi="Times New Roman" w:cs="Times New Roman"/>
        </w:rPr>
      </w:pPr>
      <w:r w:rsidRPr="00A155FA">
        <w:rPr>
          <w:rFonts w:ascii="Times New Roman" w:hAnsi="Times New Roman" w:cs="Times New Roman"/>
          <w:b/>
          <w:bCs/>
        </w:rPr>
        <w:t xml:space="preserve">118 (pterygoid, exoccipital):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73.</w:t>
      </w:r>
    </w:p>
    <w:p w14:paraId="434EA912" w14:textId="77777777" w:rsidR="00FA06B2" w:rsidRPr="00A155FA" w:rsidRDefault="00FA06B2" w:rsidP="005229E5">
      <w:pPr>
        <w:pStyle w:val="ListParagraph"/>
        <w:numPr>
          <w:ilvl w:val="0"/>
          <w:numId w:val="21"/>
        </w:numPr>
        <w:tabs>
          <w:tab w:val="left" w:pos="1260"/>
        </w:tabs>
        <w:rPr>
          <w:rFonts w:ascii="Times New Roman" w:hAnsi="Times New Roman" w:cs="Times New Roman"/>
        </w:rPr>
      </w:pPr>
      <w:r w:rsidRPr="00A155FA">
        <w:rPr>
          <w:rFonts w:ascii="Times New Roman" w:hAnsi="Times New Roman" w:cs="Times New Roman"/>
          <w:b/>
          <w:bCs/>
        </w:rPr>
        <w:t>121 (pterygoid, flange):</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1. Boy (1989:fig. 2) and Witzmann &amp; Schoch (2006:fig. 4) figured pterygoids with a prominent posterolateral expansion of the palatine ramus into the subtemporal fenestra.</w:t>
      </w:r>
    </w:p>
    <w:p w14:paraId="3BB8EA8F" w14:textId="77777777" w:rsidR="00FA06B2" w:rsidRPr="00A155FA" w:rsidRDefault="00FA06B2" w:rsidP="005229E5">
      <w:pPr>
        <w:pStyle w:val="ListParagraph"/>
        <w:numPr>
          <w:ilvl w:val="0"/>
          <w:numId w:val="21"/>
        </w:numPr>
        <w:tabs>
          <w:tab w:val="left" w:pos="1260"/>
        </w:tabs>
        <w:rPr>
          <w:rFonts w:ascii="Times New Roman" w:hAnsi="Times New Roman" w:cs="Times New Roman"/>
        </w:rPr>
      </w:pPr>
      <w:r w:rsidRPr="00A155FA">
        <w:rPr>
          <w:rFonts w:ascii="Times New Roman" w:hAnsi="Times New Roman" w:cs="Times New Roman"/>
          <w:b/>
          <w:bCs/>
        </w:rPr>
        <w:t>137 (exoccipital condyles):</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73.</w:t>
      </w:r>
    </w:p>
    <w:p w14:paraId="0D960AFD" w14:textId="77777777" w:rsidR="00FA06B2" w:rsidRPr="00A155FA" w:rsidRDefault="00FA06B2" w:rsidP="005229E5">
      <w:pPr>
        <w:pStyle w:val="ListParagraph"/>
        <w:numPr>
          <w:ilvl w:val="0"/>
          <w:numId w:val="21"/>
        </w:numPr>
        <w:tabs>
          <w:tab w:val="left" w:pos="1260"/>
        </w:tabs>
        <w:rPr>
          <w:rFonts w:ascii="Times New Roman" w:hAnsi="Times New Roman" w:cs="Times New Roman"/>
        </w:rPr>
      </w:pPr>
      <w:r w:rsidRPr="00A155FA">
        <w:rPr>
          <w:rFonts w:ascii="Times New Roman" w:hAnsi="Times New Roman" w:cs="Times New Roman"/>
          <w:b/>
          <w:bCs/>
        </w:rPr>
        <w:t>145 (Meckelian window):</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1. Witzmann &amp; Schoch (2006:374) estimated the length of the posterior Meckelian window to be one-sixth of the length of the lower jaw, which is certainly much larger than the smaller openings found in taxa like </w:t>
      </w:r>
      <w:r w:rsidRPr="00A155FA">
        <w:rPr>
          <w:rFonts w:ascii="Times New Roman" w:hAnsi="Times New Roman" w:cs="Times New Roman"/>
          <w:i/>
          <w:iCs/>
        </w:rPr>
        <w:t xml:space="preserve">Balanerpeton </w:t>
      </w:r>
      <w:r w:rsidRPr="00A155FA">
        <w:rPr>
          <w:rFonts w:ascii="Times New Roman" w:hAnsi="Times New Roman" w:cs="Times New Roman"/>
        </w:rPr>
        <w:t xml:space="preserve">or </w:t>
      </w:r>
      <w:r w:rsidRPr="00A155FA">
        <w:rPr>
          <w:rFonts w:ascii="Times New Roman" w:hAnsi="Times New Roman" w:cs="Times New Roman"/>
          <w:i/>
          <w:iCs/>
        </w:rPr>
        <w:t>Trimerorhachis</w:t>
      </w:r>
      <w:r w:rsidRPr="00A155FA">
        <w:rPr>
          <w:rFonts w:ascii="Times New Roman" w:hAnsi="Times New Roman" w:cs="Times New Roman"/>
        </w:rPr>
        <w:t xml:space="preserve"> (145–0).</w:t>
      </w:r>
    </w:p>
    <w:p w14:paraId="5030380B" w14:textId="77777777" w:rsidR="00FA06B2" w:rsidRPr="00A155FA" w:rsidRDefault="00FA06B2" w:rsidP="005229E5">
      <w:pPr>
        <w:pStyle w:val="ListParagraph"/>
        <w:numPr>
          <w:ilvl w:val="0"/>
          <w:numId w:val="21"/>
        </w:numPr>
        <w:tabs>
          <w:tab w:val="left" w:pos="1260"/>
        </w:tabs>
        <w:rPr>
          <w:rFonts w:ascii="Times New Roman" w:hAnsi="Times New Roman" w:cs="Times New Roman"/>
        </w:rPr>
      </w:pPr>
      <w:r w:rsidRPr="00A155FA">
        <w:rPr>
          <w:rFonts w:ascii="Times New Roman" w:hAnsi="Times New Roman" w:cs="Times New Roman"/>
          <w:b/>
          <w:bCs/>
        </w:rPr>
        <w:t>266 (Meckelian fossae):</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0/1. As with character 145. This is expressed as partial uncertainty because the anteromedial surface is not as well-preserved (Boy, 1989:fig. 3B), so the presence of additional fossae is unclear.</w:t>
      </w:r>
    </w:p>
    <w:p w14:paraId="64E2D74F" w14:textId="77777777" w:rsidR="00FA06B2" w:rsidRPr="00A155FA" w:rsidRDefault="00FA06B2" w:rsidP="005229E5">
      <w:pPr>
        <w:pStyle w:val="ListParagraph"/>
        <w:numPr>
          <w:ilvl w:val="0"/>
          <w:numId w:val="21"/>
        </w:numPr>
        <w:tabs>
          <w:tab w:val="left" w:pos="1260"/>
        </w:tabs>
        <w:rPr>
          <w:rFonts w:ascii="Times New Roman" w:hAnsi="Times New Roman" w:cs="Times New Roman"/>
        </w:rPr>
      </w:pPr>
      <w:r w:rsidRPr="00A155FA">
        <w:rPr>
          <w:rFonts w:ascii="Times New Roman" w:hAnsi="Times New Roman" w:cs="Times New Roman"/>
          <w:b/>
          <w:bCs/>
        </w:rPr>
        <w:t>305 (olecranon process):</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Witzmann &amp; Schoch (2006:378) stated that an olecranon process is absent.</w:t>
      </w:r>
    </w:p>
    <w:p w14:paraId="6D6ADF51"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r w:rsidRPr="00A155FA">
        <w:rPr>
          <w:rFonts w:ascii="Times New Roman" w:hAnsi="Times New Roman" w:cs="Times New Roman"/>
          <w:b/>
          <w:bCs/>
          <w:i/>
          <w:iCs/>
        </w:rPr>
        <w:t>Zatrachys serratus</w:t>
      </w:r>
    </w:p>
    <w:p w14:paraId="38061CAA" w14:textId="77777777" w:rsidR="00FA06B2" w:rsidRPr="00A155FA" w:rsidRDefault="00FA06B2" w:rsidP="005229E5">
      <w:pPr>
        <w:pStyle w:val="ListParagraph"/>
        <w:numPr>
          <w:ilvl w:val="0"/>
          <w:numId w:val="22"/>
        </w:numPr>
        <w:tabs>
          <w:tab w:val="left" w:pos="1260"/>
        </w:tabs>
        <w:rPr>
          <w:rFonts w:ascii="Times New Roman" w:hAnsi="Times New Roman" w:cs="Times New Roman"/>
        </w:rPr>
      </w:pPr>
      <w:r w:rsidRPr="00A155FA">
        <w:rPr>
          <w:rFonts w:ascii="Times New Roman" w:hAnsi="Times New Roman" w:cs="Times New Roman"/>
          <w:b/>
          <w:bCs/>
        </w:rPr>
        <w:t>11 (</w:t>
      </w:r>
      <w:proofErr w:type="spellStart"/>
      <w:r w:rsidRPr="00A155FA">
        <w:rPr>
          <w:rFonts w:ascii="Times New Roman" w:hAnsi="Times New Roman" w:cs="Times New Roman"/>
          <w:b/>
          <w:bCs/>
        </w:rPr>
        <w:t>prenarial</w:t>
      </w:r>
      <w:proofErr w:type="spellEnd"/>
      <w:r w:rsidRPr="00A155FA">
        <w:rPr>
          <w:rFonts w:ascii="Times New Roman" w:hAnsi="Times New Roman" w:cs="Times New Roman"/>
          <w:b/>
          <w:bCs/>
        </w:rPr>
        <w:t xml:space="preserve"> region):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As also seen in the larger zatracheid </w:t>
      </w:r>
      <w:r w:rsidRPr="00A155FA">
        <w:rPr>
          <w:rFonts w:ascii="Times New Roman" w:hAnsi="Times New Roman" w:cs="Times New Roman"/>
          <w:i/>
          <w:iCs/>
        </w:rPr>
        <w:t xml:space="preserve">Dasyceps </w:t>
      </w:r>
      <w:r w:rsidRPr="00A155FA">
        <w:rPr>
          <w:rFonts w:ascii="Times New Roman" w:hAnsi="Times New Roman" w:cs="Times New Roman"/>
        </w:rPr>
        <w:t xml:space="preserve">(not sampled here; Paton, 1975:figs. 1, 5), the </w:t>
      </w:r>
      <w:proofErr w:type="spellStart"/>
      <w:r w:rsidRPr="00A155FA">
        <w:rPr>
          <w:rFonts w:ascii="Times New Roman" w:hAnsi="Times New Roman" w:cs="Times New Roman"/>
        </w:rPr>
        <w:t>prenarial</w:t>
      </w:r>
      <w:proofErr w:type="spellEnd"/>
      <w:r w:rsidRPr="00A155FA">
        <w:rPr>
          <w:rFonts w:ascii="Times New Roman" w:hAnsi="Times New Roman" w:cs="Times New Roman"/>
        </w:rPr>
        <w:t xml:space="preserve"> region is at least as long if not longer than the frontal (contrary to </w:t>
      </w:r>
      <w:r w:rsidRPr="00A155FA">
        <w:rPr>
          <w:rFonts w:ascii="Times New Roman" w:hAnsi="Times New Roman" w:cs="Times New Roman"/>
          <w:i/>
          <w:iCs/>
        </w:rPr>
        <w:t xml:space="preserve">Acanthostomatops </w:t>
      </w:r>
      <w:r w:rsidRPr="00A155FA">
        <w:rPr>
          <w:rFonts w:ascii="Times New Roman" w:hAnsi="Times New Roman" w:cs="Times New Roman"/>
        </w:rPr>
        <w:t>and to most other temnospondyls) (Langston, 1953:fig. 13; Schoch, 1997:fig. 2).</w:t>
      </w:r>
    </w:p>
    <w:p w14:paraId="5D867182" w14:textId="77777777" w:rsidR="00FA06B2" w:rsidRPr="00A155FA" w:rsidRDefault="00FA06B2" w:rsidP="005229E5">
      <w:pPr>
        <w:pStyle w:val="ListParagraph"/>
        <w:numPr>
          <w:ilvl w:val="0"/>
          <w:numId w:val="22"/>
        </w:numPr>
        <w:tabs>
          <w:tab w:val="left" w:pos="1260"/>
        </w:tabs>
        <w:rPr>
          <w:rFonts w:ascii="Times New Roman" w:hAnsi="Times New Roman" w:cs="Times New Roman"/>
        </w:rPr>
      </w:pPr>
      <w:r w:rsidRPr="00A155FA">
        <w:rPr>
          <w:rFonts w:ascii="Times New Roman" w:hAnsi="Times New Roman" w:cs="Times New Roman"/>
          <w:b/>
          <w:bCs/>
        </w:rPr>
        <w:t>24 (lacrimal, posterior extension):</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1. As shown by Langston (1953:fig. 13) and Schoch (1997:fig. 1), the lacrimal forms a moderate portion of the lateral orbital margin.</w:t>
      </w:r>
    </w:p>
    <w:p w14:paraId="09BD7A92" w14:textId="77777777" w:rsidR="00FA06B2" w:rsidRPr="00A155FA" w:rsidRDefault="00FA06B2" w:rsidP="005229E5">
      <w:pPr>
        <w:pStyle w:val="ListParagraph"/>
        <w:numPr>
          <w:ilvl w:val="0"/>
          <w:numId w:val="22"/>
        </w:numPr>
        <w:tabs>
          <w:tab w:val="left" w:pos="1260"/>
        </w:tabs>
        <w:rPr>
          <w:rFonts w:ascii="Times New Roman" w:hAnsi="Times New Roman" w:cs="Times New Roman"/>
        </w:rPr>
      </w:pPr>
      <w:r w:rsidRPr="00A155FA">
        <w:rPr>
          <w:rFonts w:ascii="Times New Roman" w:hAnsi="Times New Roman" w:cs="Times New Roman"/>
          <w:b/>
          <w:bCs/>
        </w:rPr>
        <w:t xml:space="preserve">39 (prefrontal, frontal):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0. The prefrontal terminates well anterior to the frontal (Schoch, 1997:fig. 2).</w:t>
      </w:r>
    </w:p>
    <w:p w14:paraId="288D5B78" w14:textId="77777777" w:rsidR="00FA06B2" w:rsidRPr="00A155FA" w:rsidRDefault="00FA06B2" w:rsidP="005229E5">
      <w:pPr>
        <w:pStyle w:val="ListParagraph"/>
        <w:numPr>
          <w:ilvl w:val="0"/>
          <w:numId w:val="22"/>
        </w:numPr>
        <w:tabs>
          <w:tab w:val="left" w:pos="1260"/>
        </w:tabs>
        <w:rPr>
          <w:rFonts w:ascii="Times New Roman" w:hAnsi="Times New Roman" w:cs="Times New Roman"/>
        </w:rPr>
      </w:pPr>
      <w:r w:rsidRPr="00A155FA">
        <w:rPr>
          <w:rFonts w:ascii="Times New Roman" w:hAnsi="Times New Roman" w:cs="Times New Roman"/>
          <w:b/>
          <w:bCs/>
        </w:rPr>
        <w:t xml:space="preserve">102 (vomer-pterygoid):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0&amp;1. Schoch (1997:233, fig. 3) noted a specimen in which the elements are separated, but other specimens appear to feature this contact (Langston, 1953:fig. 13) .</w:t>
      </w:r>
    </w:p>
    <w:p w14:paraId="51FAE03C" w14:textId="77777777" w:rsidR="00FA06B2" w:rsidRPr="00A155FA" w:rsidRDefault="00FA06B2" w:rsidP="005229E5">
      <w:pPr>
        <w:pStyle w:val="ListParagraph"/>
        <w:numPr>
          <w:ilvl w:val="0"/>
          <w:numId w:val="22"/>
        </w:numPr>
        <w:tabs>
          <w:tab w:val="left" w:pos="1260"/>
        </w:tabs>
        <w:rPr>
          <w:rFonts w:ascii="Times New Roman" w:hAnsi="Times New Roman" w:cs="Times New Roman"/>
        </w:rPr>
      </w:pPr>
      <w:r w:rsidRPr="00A155FA">
        <w:rPr>
          <w:rFonts w:ascii="Times New Roman" w:hAnsi="Times New Roman" w:cs="Times New Roman"/>
          <w:b/>
          <w:bCs/>
        </w:rPr>
        <w:t>121 (pterygoid, flange):</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1. Langston (1953:fig. 13) and Schoch (1997:fig. 3) figured pterygoids with a prominent posterolateral expansion of the palatine ramus into the subtemporal fenestra.</w:t>
      </w:r>
    </w:p>
    <w:p w14:paraId="20794F3E" w14:textId="77777777" w:rsidR="00FA06B2" w:rsidRPr="00A155FA" w:rsidRDefault="00FA06B2" w:rsidP="005229E5">
      <w:pPr>
        <w:pStyle w:val="ListParagraph"/>
        <w:numPr>
          <w:ilvl w:val="0"/>
          <w:numId w:val="22"/>
        </w:numPr>
        <w:tabs>
          <w:tab w:val="left" w:pos="1260"/>
        </w:tabs>
        <w:rPr>
          <w:rFonts w:ascii="Times New Roman" w:hAnsi="Times New Roman" w:cs="Times New Roman"/>
        </w:rPr>
      </w:pPr>
      <w:r w:rsidRPr="00A155FA">
        <w:rPr>
          <w:rFonts w:ascii="Times New Roman" w:hAnsi="Times New Roman" w:cs="Times New Roman"/>
          <w:b/>
          <w:bCs/>
        </w:rPr>
        <w:t xml:space="preserve">147 (posterior coronoid dentition):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Langston (1953:386–388, fig. 15) described the lower jaw and its dentition.</w:t>
      </w:r>
    </w:p>
    <w:p w14:paraId="68E1B126" w14:textId="77777777" w:rsidR="00FA06B2" w:rsidRPr="00A155FA" w:rsidRDefault="00FA06B2" w:rsidP="005229E5">
      <w:pPr>
        <w:pStyle w:val="ListParagraph"/>
        <w:numPr>
          <w:ilvl w:val="0"/>
          <w:numId w:val="22"/>
        </w:numPr>
        <w:tabs>
          <w:tab w:val="left" w:pos="1260"/>
        </w:tabs>
        <w:rPr>
          <w:rFonts w:ascii="Times New Roman" w:hAnsi="Times New Roman" w:cs="Times New Roman"/>
        </w:rPr>
      </w:pPr>
      <w:r w:rsidRPr="00A155FA">
        <w:rPr>
          <w:rFonts w:ascii="Times New Roman" w:hAnsi="Times New Roman" w:cs="Times New Roman"/>
          <w:b/>
          <w:bCs/>
        </w:rPr>
        <w:t>148 (anterior, middle coronoid dentition):</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As with character 147.</w:t>
      </w:r>
    </w:p>
    <w:p w14:paraId="3555DE6A" w14:textId="77777777" w:rsidR="00FA06B2" w:rsidRPr="00A155FA" w:rsidRDefault="00FA06B2" w:rsidP="005229E5">
      <w:pPr>
        <w:pStyle w:val="ListParagraph"/>
        <w:numPr>
          <w:ilvl w:val="0"/>
          <w:numId w:val="22"/>
        </w:numPr>
        <w:tabs>
          <w:tab w:val="left" w:pos="1260"/>
        </w:tabs>
        <w:rPr>
          <w:rFonts w:ascii="Times New Roman" w:hAnsi="Times New Roman" w:cs="Times New Roman"/>
        </w:rPr>
      </w:pPr>
      <w:r w:rsidRPr="00A155FA">
        <w:rPr>
          <w:rFonts w:ascii="Times New Roman" w:hAnsi="Times New Roman" w:cs="Times New Roman"/>
          <w:b/>
          <w:bCs/>
        </w:rPr>
        <w:t>149 (mandibular osteoderms):</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1. Schoch (1997:fig. 4) depicted “ventral osteoderms” on the palate of a skull, which Schoch &amp; Rubidge (2005:510) cite as the same gular osteoderms that are found in </w:t>
      </w:r>
      <w:r w:rsidRPr="00A155FA">
        <w:rPr>
          <w:rFonts w:ascii="Times New Roman" w:hAnsi="Times New Roman" w:cs="Times New Roman"/>
          <w:i/>
          <w:iCs/>
        </w:rPr>
        <w:t>Micropholis</w:t>
      </w:r>
      <w:r w:rsidRPr="00A155FA">
        <w:rPr>
          <w:rFonts w:ascii="Times New Roman" w:hAnsi="Times New Roman" w:cs="Times New Roman"/>
        </w:rPr>
        <w:t>.</w:t>
      </w:r>
    </w:p>
    <w:p w14:paraId="3A4259A8" w14:textId="77777777" w:rsidR="00FA06B2" w:rsidRPr="00A155FA" w:rsidRDefault="00FA06B2" w:rsidP="005229E5">
      <w:pPr>
        <w:pStyle w:val="ListParagraph"/>
        <w:numPr>
          <w:ilvl w:val="0"/>
          <w:numId w:val="22"/>
        </w:numPr>
        <w:tabs>
          <w:tab w:val="left" w:pos="1260"/>
        </w:tabs>
        <w:rPr>
          <w:rFonts w:ascii="Times New Roman" w:hAnsi="Times New Roman" w:cs="Times New Roman"/>
        </w:rPr>
      </w:pPr>
      <w:r w:rsidRPr="00A155FA">
        <w:rPr>
          <w:rFonts w:ascii="Times New Roman" w:hAnsi="Times New Roman" w:cs="Times New Roman"/>
          <w:b/>
          <w:bCs/>
        </w:rPr>
        <w:t>153 (stapes, curvature):</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Langston (1953:388) stated that this bone is long and curved.</w:t>
      </w:r>
    </w:p>
    <w:p w14:paraId="1E765102" w14:textId="77777777" w:rsidR="00FA06B2" w:rsidRPr="00A155FA" w:rsidRDefault="00FA06B2" w:rsidP="005229E5">
      <w:pPr>
        <w:pStyle w:val="ListParagraph"/>
        <w:numPr>
          <w:ilvl w:val="0"/>
          <w:numId w:val="22"/>
        </w:numPr>
        <w:tabs>
          <w:tab w:val="left" w:pos="1260"/>
        </w:tabs>
        <w:rPr>
          <w:rFonts w:ascii="Times New Roman" w:hAnsi="Times New Roman" w:cs="Times New Roman"/>
        </w:rPr>
      </w:pPr>
      <w:r w:rsidRPr="00A155FA">
        <w:rPr>
          <w:rFonts w:ascii="Times New Roman" w:hAnsi="Times New Roman" w:cs="Times New Roman"/>
          <w:b/>
          <w:bCs/>
        </w:rPr>
        <w:t xml:space="preserve">202 (ilium, tip):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 Postcrania are entirely unknown for this taxon, as reflected in other postcranial codes (Langston, 1953; Schoch &amp; Milner, 2014).</w:t>
      </w:r>
    </w:p>
    <w:p w14:paraId="3C0E7E70" w14:textId="77777777" w:rsidR="00FA06B2" w:rsidRPr="00A155FA" w:rsidRDefault="00FA06B2" w:rsidP="005229E5">
      <w:pPr>
        <w:pStyle w:val="ListParagraph"/>
        <w:numPr>
          <w:ilvl w:val="0"/>
          <w:numId w:val="22"/>
        </w:numPr>
        <w:tabs>
          <w:tab w:val="left" w:pos="1260"/>
        </w:tabs>
        <w:rPr>
          <w:rFonts w:ascii="Times New Roman" w:hAnsi="Times New Roman" w:cs="Times New Roman"/>
        </w:rPr>
      </w:pPr>
      <w:r w:rsidRPr="00A155FA">
        <w:rPr>
          <w:rFonts w:ascii="Times New Roman" w:hAnsi="Times New Roman" w:cs="Times New Roman"/>
          <w:b/>
          <w:bCs/>
        </w:rPr>
        <w:t>208 (squamation):</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202.</w:t>
      </w:r>
    </w:p>
    <w:p w14:paraId="131557D2" w14:textId="77777777" w:rsidR="00FA06B2" w:rsidRPr="00A155FA" w:rsidRDefault="00FA06B2" w:rsidP="005229E5">
      <w:pPr>
        <w:pStyle w:val="ListParagraph"/>
        <w:numPr>
          <w:ilvl w:val="0"/>
          <w:numId w:val="22"/>
        </w:numPr>
        <w:tabs>
          <w:tab w:val="left" w:pos="1260"/>
        </w:tabs>
        <w:rPr>
          <w:rFonts w:ascii="Times New Roman" w:hAnsi="Times New Roman" w:cs="Times New Roman"/>
        </w:rPr>
      </w:pPr>
      <w:r w:rsidRPr="00A155FA">
        <w:rPr>
          <w:rFonts w:ascii="Times New Roman" w:hAnsi="Times New Roman" w:cs="Times New Roman"/>
          <w:b/>
          <w:bCs/>
        </w:rPr>
        <w:t>214 (skull to trunk):</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202.</w:t>
      </w:r>
    </w:p>
    <w:p w14:paraId="34D6D18E" w14:textId="77777777" w:rsidR="00FA06B2" w:rsidRPr="00A155FA" w:rsidRDefault="00FA06B2" w:rsidP="005229E5">
      <w:pPr>
        <w:pStyle w:val="ListParagraph"/>
        <w:numPr>
          <w:ilvl w:val="0"/>
          <w:numId w:val="22"/>
        </w:numPr>
        <w:tabs>
          <w:tab w:val="left" w:pos="1260"/>
        </w:tabs>
        <w:rPr>
          <w:rFonts w:ascii="Times New Roman" w:hAnsi="Times New Roman" w:cs="Times New Roman"/>
        </w:rPr>
      </w:pPr>
      <w:r w:rsidRPr="00A155FA">
        <w:rPr>
          <w:rFonts w:ascii="Times New Roman" w:hAnsi="Times New Roman" w:cs="Times New Roman"/>
          <w:b/>
          <w:bCs/>
        </w:rPr>
        <w:lastRenderedPageBreak/>
        <w:t>258 (pterygoids contact anteriorly):</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1. Langston (1953:fig. 13) and Schoch (1997:fig. 3) figured wide separation.</w:t>
      </w:r>
    </w:p>
    <w:p w14:paraId="30320C41" w14:textId="77777777" w:rsidR="00FA06B2" w:rsidRPr="00A155FA" w:rsidRDefault="00FA06B2" w:rsidP="005229E5">
      <w:pPr>
        <w:pStyle w:val="ListParagraph"/>
        <w:numPr>
          <w:ilvl w:val="0"/>
          <w:numId w:val="22"/>
        </w:numPr>
        <w:tabs>
          <w:tab w:val="left" w:pos="1260"/>
        </w:tabs>
        <w:rPr>
          <w:rFonts w:ascii="Times New Roman" w:hAnsi="Times New Roman" w:cs="Times New Roman"/>
        </w:rPr>
      </w:pPr>
      <w:r w:rsidRPr="00A155FA">
        <w:rPr>
          <w:rFonts w:ascii="Times New Roman" w:hAnsi="Times New Roman" w:cs="Times New Roman"/>
          <w:b/>
          <w:bCs/>
        </w:rPr>
        <w:t>260 (dentary):</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As with character 147.</w:t>
      </w:r>
    </w:p>
    <w:p w14:paraId="0B0CE106" w14:textId="77777777" w:rsidR="00FA06B2" w:rsidRPr="00A155FA" w:rsidRDefault="00FA06B2" w:rsidP="005229E5">
      <w:pPr>
        <w:pStyle w:val="ListParagraph"/>
        <w:numPr>
          <w:ilvl w:val="0"/>
          <w:numId w:val="22"/>
        </w:numPr>
        <w:tabs>
          <w:tab w:val="left" w:pos="1260"/>
        </w:tabs>
        <w:rPr>
          <w:rFonts w:ascii="Times New Roman" w:hAnsi="Times New Roman" w:cs="Times New Roman"/>
        </w:rPr>
      </w:pPr>
      <w:r w:rsidRPr="00A155FA">
        <w:rPr>
          <w:rFonts w:ascii="Times New Roman" w:hAnsi="Times New Roman" w:cs="Times New Roman"/>
          <w:b/>
          <w:bCs/>
        </w:rPr>
        <w:t>261 (dentary, coronoid process):</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As with character 147.</w:t>
      </w:r>
    </w:p>
    <w:p w14:paraId="08215AA1" w14:textId="77777777" w:rsidR="00FA06B2" w:rsidRPr="00A155FA" w:rsidRDefault="00FA06B2" w:rsidP="005229E5">
      <w:pPr>
        <w:pStyle w:val="ListParagraph"/>
        <w:numPr>
          <w:ilvl w:val="0"/>
          <w:numId w:val="22"/>
        </w:numPr>
        <w:tabs>
          <w:tab w:val="left" w:pos="1260"/>
        </w:tabs>
        <w:rPr>
          <w:rFonts w:ascii="Times New Roman" w:hAnsi="Times New Roman" w:cs="Times New Roman"/>
        </w:rPr>
      </w:pPr>
      <w:r w:rsidRPr="00A155FA">
        <w:rPr>
          <w:rFonts w:ascii="Times New Roman" w:hAnsi="Times New Roman" w:cs="Times New Roman"/>
          <w:b/>
          <w:bCs/>
        </w:rPr>
        <w:t>262 (surangular, normal):</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As with character 147.</w:t>
      </w:r>
    </w:p>
    <w:p w14:paraId="029E95DA" w14:textId="77777777" w:rsidR="00FA06B2" w:rsidRPr="00A155FA" w:rsidRDefault="00FA06B2" w:rsidP="005229E5">
      <w:pPr>
        <w:pStyle w:val="ListParagraph"/>
        <w:numPr>
          <w:ilvl w:val="0"/>
          <w:numId w:val="22"/>
        </w:numPr>
        <w:tabs>
          <w:tab w:val="left" w:pos="1260"/>
        </w:tabs>
        <w:rPr>
          <w:rFonts w:ascii="Times New Roman" w:hAnsi="Times New Roman" w:cs="Times New Roman"/>
        </w:rPr>
      </w:pPr>
      <w:r w:rsidRPr="00A155FA">
        <w:rPr>
          <w:rFonts w:ascii="Times New Roman" w:hAnsi="Times New Roman" w:cs="Times New Roman"/>
          <w:b/>
          <w:bCs/>
        </w:rPr>
        <w:t xml:space="preserve">264 (number of </w:t>
      </w:r>
      <w:proofErr w:type="spellStart"/>
      <w:r w:rsidRPr="00A155FA">
        <w:rPr>
          <w:rFonts w:ascii="Times New Roman" w:hAnsi="Times New Roman" w:cs="Times New Roman"/>
          <w:b/>
          <w:bCs/>
        </w:rPr>
        <w:t>splenials</w:t>
      </w:r>
      <w:proofErr w:type="spellEnd"/>
      <w:r w:rsidRPr="00A155FA">
        <w:rPr>
          <w:rFonts w:ascii="Times New Roman" w:hAnsi="Times New Roman" w:cs="Times New Roman"/>
          <w:b/>
          <w:bCs/>
        </w:rPr>
        <w:t>):</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As with character 147.</w:t>
      </w:r>
    </w:p>
    <w:p w14:paraId="18E78AFD" w14:textId="77777777" w:rsidR="00FA06B2" w:rsidRPr="00A155FA" w:rsidRDefault="00FA06B2" w:rsidP="005229E5">
      <w:pPr>
        <w:pStyle w:val="ListParagraph"/>
        <w:numPr>
          <w:ilvl w:val="0"/>
          <w:numId w:val="22"/>
        </w:numPr>
        <w:tabs>
          <w:tab w:val="left" w:pos="1260"/>
        </w:tabs>
        <w:rPr>
          <w:rFonts w:ascii="Times New Roman" w:hAnsi="Times New Roman" w:cs="Times New Roman"/>
        </w:rPr>
      </w:pPr>
      <w:r w:rsidRPr="00A155FA">
        <w:rPr>
          <w:rFonts w:ascii="Times New Roman" w:hAnsi="Times New Roman" w:cs="Times New Roman"/>
          <w:b/>
          <w:bCs/>
        </w:rPr>
        <w:t>266 (Meckelian fossae):</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Langston (1953:387) identified two Meckelian foramina, one within the first third of the length of the postsplenial, the posterior Meckelian foramen bordered by the angular and the prearticular, and another “smaller opening” adjacent to the postsplenial-angular suture.</w:t>
      </w:r>
    </w:p>
    <w:p w14:paraId="05CBC7A2" w14:textId="77777777" w:rsidR="00FA06B2" w:rsidRPr="00A155FA" w:rsidRDefault="00FA06B2" w:rsidP="005229E5">
      <w:pPr>
        <w:pStyle w:val="ListParagraph"/>
        <w:numPr>
          <w:ilvl w:val="0"/>
          <w:numId w:val="22"/>
        </w:numPr>
        <w:tabs>
          <w:tab w:val="left" w:pos="1260"/>
        </w:tabs>
        <w:rPr>
          <w:rFonts w:ascii="Times New Roman" w:hAnsi="Times New Roman" w:cs="Times New Roman"/>
        </w:rPr>
      </w:pPr>
      <w:r w:rsidRPr="00A155FA">
        <w:rPr>
          <w:rFonts w:ascii="Times New Roman" w:hAnsi="Times New Roman" w:cs="Times New Roman"/>
          <w:b/>
          <w:bCs/>
        </w:rPr>
        <w:t>267 (ventral border of Meckel’s fossa):</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1. As with character 266.</w:t>
      </w:r>
    </w:p>
    <w:p w14:paraId="75B65369" w14:textId="77777777" w:rsidR="00FA06B2" w:rsidRPr="00A155FA" w:rsidRDefault="00FA06B2" w:rsidP="005229E5">
      <w:pPr>
        <w:pStyle w:val="ListParagraph"/>
        <w:numPr>
          <w:ilvl w:val="0"/>
          <w:numId w:val="22"/>
        </w:numPr>
        <w:tabs>
          <w:tab w:val="left" w:pos="1260"/>
        </w:tabs>
        <w:rPr>
          <w:rFonts w:ascii="Times New Roman" w:hAnsi="Times New Roman" w:cs="Times New Roman"/>
        </w:rPr>
      </w:pPr>
      <w:r w:rsidRPr="00A155FA">
        <w:rPr>
          <w:rFonts w:ascii="Times New Roman" w:hAnsi="Times New Roman" w:cs="Times New Roman"/>
          <w:b/>
          <w:bCs/>
        </w:rPr>
        <w:t xml:space="preserve">269 (articulation to tooth row):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As with character 147.</w:t>
      </w:r>
    </w:p>
    <w:p w14:paraId="6EAAE0DF" w14:textId="77777777" w:rsidR="00FA06B2" w:rsidRPr="00A155FA" w:rsidRDefault="00FA06B2" w:rsidP="005229E5">
      <w:pPr>
        <w:pStyle w:val="ListParagraph"/>
        <w:numPr>
          <w:ilvl w:val="0"/>
          <w:numId w:val="22"/>
        </w:numPr>
        <w:tabs>
          <w:tab w:val="left" w:pos="1260"/>
        </w:tabs>
        <w:rPr>
          <w:rFonts w:ascii="Times New Roman" w:hAnsi="Times New Roman" w:cs="Times New Roman"/>
        </w:rPr>
      </w:pPr>
      <w:r w:rsidRPr="00A155FA">
        <w:rPr>
          <w:rFonts w:ascii="Times New Roman" w:hAnsi="Times New Roman" w:cs="Times New Roman"/>
          <w:b/>
          <w:bCs/>
        </w:rPr>
        <w:t>271 (number of coronoids):</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As with character 147.</w:t>
      </w:r>
    </w:p>
    <w:p w14:paraId="2C81C36C" w14:textId="77777777" w:rsidR="00FA06B2" w:rsidRPr="00A155FA" w:rsidRDefault="00FA06B2" w:rsidP="005229E5">
      <w:pPr>
        <w:pStyle w:val="ListParagraph"/>
        <w:numPr>
          <w:ilvl w:val="0"/>
          <w:numId w:val="22"/>
        </w:numPr>
        <w:tabs>
          <w:tab w:val="left" w:pos="1260"/>
        </w:tabs>
        <w:rPr>
          <w:rFonts w:ascii="Times New Roman" w:hAnsi="Times New Roman" w:cs="Times New Roman"/>
        </w:rPr>
      </w:pPr>
      <w:r w:rsidRPr="00A155FA">
        <w:rPr>
          <w:rFonts w:ascii="Times New Roman" w:hAnsi="Times New Roman" w:cs="Times New Roman"/>
          <w:b/>
          <w:bCs/>
        </w:rPr>
        <w:t>272 (coronoid teeth):</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1. As with character 147.</w:t>
      </w:r>
    </w:p>
    <w:p w14:paraId="0932DC2E" w14:textId="77777777" w:rsidR="00FA06B2" w:rsidRPr="00A155FA" w:rsidRDefault="00FA06B2" w:rsidP="005229E5">
      <w:pPr>
        <w:pStyle w:val="ListParagraph"/>
        <w:numPr>
          <w:ilvl w:val="0"/>
          <w:numId w:val="22"/>
        </w:numPr>
        <w:tabs>
          <w:tab w:val="left" w:pos="1260"/>
        </w:tabs>
        <w:rPr>
          <w:rFonts w:ascii="Times New Roman" w:hAnsi="Times New Roman" w:cs="Times New Roman"/>
          <w:b/>
          <w:bCs/>
        </w:rPr>
      </w:pPr>
      <w:r w:rsidRPr="00A155FA">
        <w:rPr>
          <w:rFonts w:ascii="Times New Roman" w:hAnsi="Times New Roman" w:cs="Times New Roman"/>
          <w:b/>
          <w:bCs/>
        </w:rPr>
        <w:t xml:space="preserve">275 (jaw sculpture):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As with character 147.</w:t>
      </w:r>
    </w:p>
    <w:p w14:paraId="7F35914C" w14:textId="77777777" w:rsidR="00FA06B2" w:rsidRPr="00A155FA" w:rsidRDefault="00FA06B2" w:rsidP="005229E5">
      <w:pPr>
        <w:pStyle w:val="ListParagraph"/>
        <w:numPr>
          <w:ilvl w:val="0"/>
          <w:numId w:val="22"/>
        </w:numPr>
        <w:tabs>
          <w:tab w:val="left" w:pos="1260"/>
        </w:tabs>
        <w:rPr>
          <w:rFonts w:ascii="Times New Roman" w:hAnsi="Times New Roman" w:cs="Times New Roman"/>
          <w:b/>
          <w:bCs/>
        </w:rPr>
      </w:pPr>
      <w:r w:rsidRPr="00A155FA">
        <w:rPr>
          <w:rFonts w:ascii="Times New Roman" w:hAnsi="Times New Roman" w:cs="Times New Roman"/>
          <w:b/>
          <w:bCs/>
        </w:rPr>
        <w:t xml:space="preserve">311 (parietals, anterior </w:t>
      </w:r>
      <w:proofErr w:type="spellStart"/>
      <w:r w:rsidRPr="00A155FA">
        <w:rPr>
          <w:rFonts w:ascii="Times New Roman" w:hAnsi="Times New Roman" w:cs="Times New Roman"/>
          <w:b/>
          <w:bCs/>
        </w:rPr>
        <w:t>waisting</w:t>
      </w:r>
      <w:proofErr w:type="spellEnd"/>
      <w:r w:rsidRPr="00A155FA">
        <w:rPr>
          <w:rFonts w:ascii="Times New Roman" w:hAnsi="Times New Roman" w:cs="Times New Roman"/>
          <w:b/>
          <w:bCs/>
        </w:rPr>
        <w:t xml:space="preserve">):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0&amp;1. As shown to be variable by Schoch (1997:fig. 1).</w:t>
      </w:r>
    </w:p>
    <w:p w14:paraId="4514007A" w14:textId="77777777" w:rsidR="00FA06B2" w:rsidRPr="00A155FA" w:rsidRDefault="00FA06B2" w:rsidP="005229E5">
      <w:pPr>
        <w:pStyle w:val="ListParagraph"/>
        <w:numPr>
          <w:ilvl w:val="0"/>
          <w:numId w:val="22"/>
        </w:numPr>
        <w:tabs>
          <w:tab w:val="left" w:pos="1260"/>
        </w:tabs>
        <w:rPr>
          <w:rFonts w:ascii="Times New Roman" w:hAnsi="Times New Roman" w:cs="Times New Roman"/>
          <w:b/>
          <w:bCs/>
        </w:rPr>
      </w:pPr>
      <w:r w:rsidRPr="00A155FA">
        <w:rPr>
          <w:rFonts w:ascii="Times New Roman" w:hAnsi="Times New Roman" w:cs="Times New Roman"/>
          <w:b/>
          <w:bCs/>
        </w:rPr>
        <w:t xml:space="preserve">312 (parietal width):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1. As shown by Langston (1953:fig. 13) and Schoch (1997:figs. 1–2).</w:t>
      </w:r>
    </w:p>
    <w:p w14:paraId="2B632981" w14:textId="77777777" w:rsidR="00FA06B2" w:rsidRPr="00A155FA" w:rsidRDefault="00FA06B2" w:rsidP="005229E5">
      <w:pPr>
        <w:pStyle w:val="ListParagraph"/>
        <w:numPr>
          <w:ilvl w:val="0"/>
          <w:numId w:val="22"/>
        </w:numPr>
        <w:tabs>
          <w:tab w:val="left" w:pos="1260"/>
        </w:tabs>
        <w:rPr>
          <w:rFonts w:ascii="Times New Roman" w:hAnsi="Times New Roman" w:cs="Times New Roman"/>
          <w:b/>
          <w:bCs/>
        </w:rPr>
      </w:pPr>
      <w:r w:rsidRPr="00A155FA">
        <w:rPr>
          <w:rFonts w:ascii="Times New Roman" w:hAnsi="Times New Roman" w:cs="Times New Roman"/>
          <w:b/>
          <w:bCs/>
        </w:rPr>
        <w:t xml:space="preserve">314 (prefrontals):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As with character 312.</w:t>
      </w:r>
    </w:p>
    <w:p w14:paraId="163C03E5" w14:textId="77777777" w:rsidR="00FA06B2" w:rsidRPr="00A155FA" w:rsidRDefault="00FA06B2" w:rsidP="005229E5">
      <w:pPr>
        <w:pStyle w:val="ListParagraph"/>
        <w:numPr>
          <w:ilvl w:val="0"/>
          <w:numId w:val="22"/>
        </w:numPr>
        <w:tabs>
          <w:tab w:val="left" w:pos="1260"/>
        </w:tabs>
        <w:rPr>
          <w:rFonts w:ascii="Times New Roman" w:hAnsi="Times New Roman" w:cs="Times New Roman"/>
          <w:b/>
          <w:bCs/>
        </w:rPr>
      </w:pPr>
      <w:r w:rsidRPr="00A155FA">
        <w:rPr>
          <w:rFonts w:ascii="Times New Roman" w:hAnsi="Times New Roman" w:cs="Times New Roman"/>
          <w:b/>
          <w:bCs/>
        </w:rPr>
        <w:t xml:space="preserve">315 (postfrontals):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As with character 312.</w:t>
      </w:r>
    </w:p>
    <w:p w14:paraId="176E2D5A" w14:textId="77777777" w:rsidR="00FA06B2" w:rsidRPr="00A155FA" w:rsidRDefault="00FA06B2" w:rsidP="005229E5">
      <w:pPr>
        <w:pStyle w:val="ListParagraph"/>
        <w:numPr>
          <w:ilvl w:val="0"/>
          <w:numId w:val="22"/>
        </w:numPr>
        <w:tabs>
          <w:tab w:val="left" w:pos="1260"/>
        </w:tabs>
        <w:rPr>
          <w:rFonts w:ascii="Times New Roman" w:hAnsi="Times New Roman" w:cs="Times New Roman"/>
          <w:b/>
          <w:bCs/>
        </w:rPr>
      </w:pPr>
      <w:r w:rsidRPr="00A155FA">
        <w:rPr>
          <w:rFonts w:ascii="Times New Roman" w:hAnsi="Times New Roman" w:cs="Times New Roman"/>
          <w:b/>
          <w:bCs/>
        </w:rPr>
        <w:t xml:space="preserve">317 (zygokrotaphy):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As with character 312.</w:t>
      </w:r>
    </w:p>
    <w:p w14:paraId="78CEA245" w14:textId="77777777" w:rsidR="00FA06B2" w:rsidRPr="00A155FA" w:rsidRDefault="00FA06B2" w:rsidP="005229E5">
      <w:pPr>
        <w:pStyle w:val="ListParagraph"/>
        <w:numPr>
          <w:ilvl w:val="0"/>
          <w:numId w:val="22"/>
        </w:numPr>
        <w:tabs>
          <w:tab w:val="left" w:pos="1260"/>
        </w:tabs>
        <w:rPr>
          <w:rFonts w:ascii="Times New Roman" w:hAnsi="Times New Roman" w:cs="Times New Roman"/>
        </w:rPr>
      </w:pPr>
      <w:r w:rsidRPr="00A155FA">
        <w:rPr>
          <w:rFonts w:ascii="Times New Roman" w:hAnsi="Times New Roman" w:cs="Times New Roman"/>
          <w:b/>
          <w:bCs/>
        </w:rPr>
        <w:t>345 (dorsolateral osteoderms fused to ribs):</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202.</w:t>
      </w:r>
    </w:p>
    <w:p w14:paraId="2A342355" w14:textId="77777777" w:rsidR="00FA06B2" w:rsidRPr="00A155FA" w:rsidRDefault="00FA06B2" w:rsidP="005229E5">
      <w:pPr>
        <w:pStyle w:val="ListParagraph"/>
        <w:numPr>
          <w:ilvl w:val="0"/>
          <w:numId w:val="22"/>
        </w:numPr>
        <w:tabs>
          <w:tab w:val="left" w:pos="1260"/>
        </w:tabs>
        <w:rPr>
          <w:rFonts w:ascii="Times New Roman" w:hAnsi="Times New Roman" w:cs="Times New Roman"/>
        </w:rPr>
      </w:pPr>
      <w:r w:rsidRPr="00A155FA">
        <w:rPr>
          <w:rFonts w:ascii="Times New Roman" w:hAnsi="Times New Roman" w:cs="Times New Roman"/>
          <w:b/>
          <w:bCs/>
        </w:rPr>
        <w:t>347 (interclavicle):</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202.</w:t>
      </w:r>
    </w:p>
    <w:p w14:paraId="2D3C4DDF" w14:textId="77777777" w:rsidR="00FA06B2" w:rsidRPr="00A155FA" w:rsidRDefault="00FA06B2" w:rsidP="005229E5">
      <w:pPr>
        <w:pStyle w:val="ListParagraph"/>
        <w:numPr>
          <w:ilvl w:val="0"/>
          <w:numId w:val="22"/>
        </w:numPr>
        <w:tabs>
          <w:tab w:val="left" w:pos="1260"/>
        </w:tabs>
        <w:rPr>
          <w:rFonts w:ascii="Times New Roman" w:hAnsi="Times New Roman" w:cs="Times New Roman"/>
        </w:rPr>
      </w:pPr>
      <w:r w:rsidRPr="00A155FA">
        <w:rPr>
          <w:rFonts w:ascii="Times New Roman" w:hAnsi="Times New Roman" w:cs="Times New Roman"/>
          <w:b/>
          <w:bCs/>
        </w:rPr>
        <w:t>348 (cleithrum):</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202.</w:t>
      </w:r>
    </w:p>
    <w:p w14:paraId="7D841D41"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r w:rsidRPr="00A155FA">
        <w:rPr>
          <w:rFonts w:ascii="Times New Roman" w:hAnsi="Times New Roman" w:cs="Times New Roman"/>
          <w:b/>
          <w:bCs/>
          <w:i/>
          <w:iCs/>
        </w:rPr>
        <w:t>Micromelerpeton credneri</w:t>
      </w:r>
    </w:p>
    <w:p w14:paraId="50633E20" w14:textId="77777777" w:rsidR="00FA06B2" w:rsidRPr="00A155FA" w:rsidRDefault="00FA06B2" w:rsidP="005229E5">
      <w:pPr>
        <w:pStyle w:val="ListParagraph"/>
        <w:numPr>
          <w:ilvl w:val="0"/>
          <w:numId w:val="23"/>
        </w:numPr>
        <w:tabs>
          <w:tab w:val="left" w:pos="1260"/>
        </w:tabs>
        <w:rPr>
          <w:rFonts w:ascii="Times New Roman" w:hAnsi="Times New Roman" w:cs="Times New Roman"/>
          <w:b/>
          <w:bCs/>
        </w:rPr>
      </w:pPr>
      <w:r w:rsidRPr="00A155FA">
        <w:rPr>
          <w:rFonts w:ascii="Times New Roman" w:hAnsi="Times New Roman" w:cs="Times New Roman"/>
          <w:b/>
          <w:bCs/>
        </w:rPr>
        <w:t xml:space="preserve">39 (prefrontal-frontal):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0&amp;1. This is variable within a single individual (Boy, 1995:fig. 2B; Schoch &amp; Milner, 2014:fig. 25D).</w:t>
      </w:r>
    </w:p>
    <w:p w14:paraId="0A5320AE" w14:textId="77777777" w:rsidR="00FA06B2" w:rsidRPr="00A155FA" w:rsidRDefault="00FA06B2" w:rsidP="005229E5">
      <w:pPr>
        <w:pStyle w:val="ListParagraph"/>
        <w:numPr>
          <w:ilvl w:val="0"/>
          <w:numId w:val="23"/>
        </w:numPr>
        <w:tabs>
          <w:tab w:val="left" w:pos="1260"/>
        </w:tabs>
        <w:rPr>
          <w:rFonts w:ascii="Times New Roman" w:hAnsi="Times New Roman" w:cs="Times New Roman"/>
          <w:b/>
          <w:bCs/>
        </w:rPr>
      </w:pPr>
      <w:r w:rsidRPr="00A155FA">
        <w:rPr>
          <w:rFonts w:ascii="Times New Roman" w:hAnsi="Times New Roman" w:cs="Times New Roman"/>
          <w:b/>
          <w:bCs/>
        </w:rPr>
        <w:t xml:space="preserve">121 (pterygoid, flange):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0&amp;1. This is polymorphic (Boy, 1995:fig. 3).</w:t>
      </w:r>
    </w:p>
    <w:p w14:paraId="32195887" w14:textId="77777777" w:rsidR="00FA06B2" w:rsidRPr="00A155FA" w:rsidRDefault="00FA06B2" w:rsidP="005229E5">
      <w:pPr>
        <w:pStyle w:val="ListParagraph"/>
        <w:numPr>
          <w:ilvl w:val="0"/>
          <w:numId w:val="23"/>
        </w:numPr>
        <w:tabs>
          <w:tab w:val="left" w:pos="1260"/>
        </w:tabs>
        <w:rPr>
          <w:rFonts w:ascii="Times New Roman" w:hAnsi="Times New Roman" w:cs="Times New Roman"/>
          <w:b/>
          <w:bCs/>
        </w:rPr>
      </w:pPr>
      <w:r w:rsidRPr="00A155FA">
        <w:rPr>
          <w:rFonts w:ascii="Times New Roman" w:hAnsi="Times New Roman" w:cs="Times New Roman"/>
          <w:b/>
          <w:bCs/>
        </w:rPr>
        <w:t xml:space="preserve">131 (ectopterygoid length):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0&amp;1. This is polymorphic (Boy, 1995:fig. 3).</w:t>
      </w:r>
    </w:p>
    <w:p w14:paraId="1165F80E" w14:textId="77777777" w:rsidR="00FA06B2" w:rsidRPr="00A155FA" w:rsidRDefault="00FA06B2" w:rsidP="005229E5">
      <w:pPr>
        <w:pStyle w:val="ListParagraph"/>
        <w:numPr>
          <w:ilvl w:val="0"/>
          <w:numId w:val="23"/>
        </w:numPr>
        <w:tabs>
          <w:tab w:val="left" w:pos="1260"/>
        </w:tabs>
        <w:rPr>
          <w:rFonts w:ascii="Times New Roman" w:hAnsi="Times New Roman" w:cs="Times New Roman"/>
          <w:b/>
          <w:bCs/>
        </w:rPr>
      </w:pPr>
      <w:r w:rsidRPr="00A155FA">
        <w:rPr>
          <w:rFonts w:ascii="Times New Roman" w:hAnsi="Times New Roman" w:cs="Times New Roman"/>
          <w:b/>
          <w:bCs/>
        </w:rPr>
        <w:t>154 (</w:t>
      </w:r>
      <w:proofErr w:type="spellStart"/>
      <w:r w:rsidRPr="00A155FA">
        <w:rPr>
          <w:rFonts w:ascii="Times New Roman" w:hAnsi="Times New Roman" w:cs="Times New Roman"/>
          <w:b/>
          <w:bCs/>
        </w:rPr>
        <w:t>ceratobranchials</w:t>
      </w:r>
      <w:proofErr w:type="spellEnd"/>
      <w:r w:rsidRPr="00A155FA">
        <w:rPr>
          <w:rFonts w:ascii="Times New Roman" w:hAnsi="Times New Roman" w:cs="Times New Roman"/>
          <w:b/>
          <w:bCs/>
        </w:rPr>
        <w:t xml:space="preserve">):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This character prescribes the adult condition, and Boy (1995) and Witzmann (2013) noted that the hyobranchium is unknown in adults.</w:t>
      </w:r>
    </w:p>
    <w:p w14:paraId="0FE9EFBB" w14:textId="77777777" w:rsidR="00FA06B2" w:rsidRPr="00A155FA" w:rsidRDefault="00FA06B2" w:rsidP="005229E5">
      <w:pPr>
        <w:pStyle w:val="ListParagraph"/>
        <w:numPr>
          <w:ilvl w:val="0"/>
          <w:numId w:val="23"/>
        </w:numPr>
        <w:tabs>
          <w:tab w:val="left" w:pos="1260"/>
        </w:tabs>
        <w:rPr>
          <w:rFonts w:ascii="Times New Roman" w:hAnsi="Times New Roman" w:cs="Times New Roman"/>
          <w:b/>
          <w:bCs/>
        </w:rPr>
      </w:pPr>
      <w:r w:rsidRPr="00A155FA">
        <w:rPr>
          <w:rFonts w:ascii="Times New Roman" w:hAnsi="Times New Roman" w:cs="Times New Roman"/>
          <w:b/>
          <w:bCs/>
        </w:rPr>
        <w:t xml:space="preserve">155 (basibranchial):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 As with character 154.</w:t>
      </w:r>
    </w:p>
    <w:p w14:paraId="1C9E86B8" w14:textId="77777777" w:rsidR="00FA06B2" w:rsidRPr="00A155FA" w:rsidRDefault="00FA06B2" w:rsidP="005229E5">
      <w:pPr>
        <w:pStyle w:val="ListParagraph"/>
        <w:numPr>
          <w:ilvl w:val="0"/>
          <w:numId w:val="23"/>
        </w:numPr>
        <w:tabs>
          <w:tab w:val="left" w:pos="1260"/>
        </w:tabs>
        <w:rPr>
          <w:rFonts w:ascii="Times New Roman" w:hAnsi="Times New Roman" w:cs="Times New Roman"/>
          <w:b/>
          <w:bCs/>
        </w:rPr>
      </w:pPr>
      <w:r w:rsidRPr="00A155FA">
        <w:rPr>
          <w:rFonts w:ascii="Times New Roman" w:hAnsi="Times New Roman" w:cs="Times New Roman"/>
          <w:b/>
          <w:bCs/>
        </w:rPr>
        <w:t xml:space="preserve">156 (hypobranchial):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 As with character 154.</w:t>
      </w:r>
    </w:p>
    <w:p w14:paraId="08A2F3A6" w14:textId="77777777" w:rsidR="00FA06B2" w:rsidRPr="00A155FA" w:rsidRDefault="00FA06B2" w:rsidP="005229E5">
      <w:pPr>
        <w:pStyle w:val="ListParagraph"/>
        <w:numPr>
          <w:ilvl w:val="0"/>
          <w:numId w:val="23"/>
        </w:numPr>
        <w:tabs>
          <w:tab w:val="left" w:pos="1260"/>
        </w:tabs>
        <w:rPr>
          <w:rFonts w:ascii="Times New Roman" w:hAnsi="Times New Roman" w:cs="Times New Roman"/>
        </w:rPr>
      </w:pPr>
      <w:r w:rsidRPr="00A155FA">
        <w:rPr>
          <w:rFonts w:ascii="Times New Roman" w:hAnsi="Times New Roman" w:cs="Times New Roman"/>
          <w:b/>
          <w:bCs/>
        </w:rPr>
        <w:t>250 (teeth on pterygoid):</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Boy (1995) did not make any mention of teeth on the pterygoid (or any other part of the palate), nor did he reconstruct it or indicate it in figures showing the ventral surface of the pterygoid.</w:t>
      </w:r>
    </w:p>
    <w:p w14:paraId="6E69E09F" w14:textId="77777777" w:rsidR="00FA06B2" w:rsidRPr="00A155FA" w:rsidRDefault="00FA06B2" w:rsidP="005229E5">
      <w:pPr>
        <w:pStyle w:val="ListParagraph"/>
        <w:numPr>
          <w:ilvl w:val="0"/>
          <w:numId w:val="23"/>
        </w:numPr>
        <w:tabs>
          <w:tab w:val="left" w:pos="1260"/>
        </w:tabs>
        <w:rPr>
          <w:rFonts w:ascii="Times New Roman" w:hAnsi="Times New Roman" w:cs="Times New Roman"/>
        </w:rPr>
      </w:pPr>
      <w:r w:rsidRPr="00A155FA">
        <w:rPr>
          <w:rFonts w:ascii="Times New Roman" w:hAnsi="Times New Roman" w:cs="Times New Roman"/>
          <w:b/>
          <w:bCs/>
        </w:rPr>
        <w:t xml:space="preserve">251 (denticles on vomers):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Boy (1995:435, fig. 3) stated that all palatal surfaces are covered in denticles.</w:t>
      </w:r>
    </w:p>
    <w:p w14:paraId="6EDB323D" w14:textId="77777777" w:rsidR="00FA06B2" w:rsidRPr="00A155FA" w:rsidRDefault="00FA06B2" w:rsidP="005229E5">
      <w:pPr>
        <w:pStyle w:val="ListParagraph"/>
        <w:numPr>
          <w:ilvl w:val="0"/>
          <w:numId w:val="23"/>
        </w:numPr>
        <w:tabs>
          <w:tab w:val="left" w:pos="1260"/>
        </w:tabs>
        <w:rPr>
          <w:rFonts w:ascii="Times New Roman" w:hAnsi="Times New Roman" w:cs="Times New Roman"/>
        </w:rPr>
      </w:pPr>
      <w:r w:rsidRPr="00A155FA">
        <w:rPr>
          <w:rFonts w:ascii="Times New Roman" w:hAnsi="Times New Roman" w:cs="Times New Roman"/>
          <w:b/>
          <w:bCs/>
        </w:rPr>
        <w:t xml:space="preserve">252 (denticles on palatines):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As with character 251.</w:t>
      </w:r>
    </w:p>
    <w:p w14:paraId="65433165" w14:textId="77777777" w:rsidR="00FA06B2" w:rsidRPr="00A155FA" w:rsidRDefault="00FA06B2" w:rsidP="005229E5">
      <w:pPr>
        <w:pStyle w:val="ListParagraph"/>
        <w:numPr>
          <w:ilvl w:val="0"/>
          <w:numId w:val="23"/>
        </w:numPr>
        <w:tabs>
          <w:tab w:val="left" w:pos="1260"/>
        </w:tabs>
        <w:rPr>
          <w:rFonts w:ascii="Times New Roman" w:hAnsi="Times New Roman" w:cs="Times New Roman"/>
        </w:rPr>
      </w:pPr>
      <w:r w:rsidRPr="00A155FA">
        <w:rPr>
          <w:rFonts w:ascii="Times New Roman" w:hAnsi="Times New Roman" w:cs="Times New Roman"/>
          <w:b/>
          <w:bCs/>
        </w:rPr>
        <w:t>258 (pterygoids contact anteriorly):</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1. Boy (1995:fig. 3) figured wide separation.</w:t>
      </w:r>
    </w:p>
    <w:p w14:paraId="5DCAE2A1" w14:textId="77777777" w:rsidR="00FA06B2" w:rsidRPr="00A155FA" w:rsidRDefault="00FA06B2" w:rsidP="005229E5">
      <w:pPr>
        <w:pStyle w:val="ListParagraph"/>
        <w:numPr>
          <w:ilvl w:val="0"/>
          <w:numId w:val="23"/>
        </w:numPr>
        <w:tabs>
          <w:tab w:val="left" w:pos="1260"/>
        </w:tabs>
        <w:rPr>
          <w:rFonts w:ascii="Times New Roman" w:hAnsi="Times New Roman" w:cs="Times New Roman"/>
          <w:b/>
          <w:bCs/>
        </w:rPr>
      </w:pPr>
      <w:r w:rsidRPr="00A155FA">
        <w:rPr>
          <w:rFonts w:ascii="Times New Roman" w:hAnsi="Times New Roman" w:cs="Times New Roman"/>
          <w:b/>
          <w:bCs/>
        </w:rPr>
        <w:lastRenderedPageBreak/>
        <w:t xml:space="preserve">266 (Meckelian fossae):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0/1. Boy (1995:fig. 4) identified at least one fossa entirely within the postsplenial and indicates the posterior fossa is either absent or reduced to a small foramen.</w:t>
      </w:r>
    </w:p>
    <w:p w14:paraId="4B652CC1" w14:textId="77777777" w:rsidR="00FA06B2" w:rsidRPr="00A155FA" w:rsidRDefault="00FA06B2" w:rsidP="005229E5">
      <w:pPr>
        <w:pStyle w:val="ListParagraph"/>
        <w:numPr>
          <w:ilvl w:val="0"/>
          <w:numId w:val="23"/>
        </w:numPr>
        <w:tabs>
          <w:tab w:val="left" w:pos="1260"/>
        </w:tabs>
        <w:rPr>
          <w:rFonts w:ascii="Times New Roman" w:hAnsi="Times New Roman" w:cs="Times New Roman"/>
          <w:b/>
          <w:bCs/>
        </w:rPr>
      </w:pPr>
      <w:r w:rsidRPr="00A155FA">
        <w:rPr>
          <w:rFonts w:ascii="Times New Roman" w:hAnsi="Times New Roman" w:cs="Times New Roman"/>
          <w:b/>
          <w:bCs/>
        </w:rPr>
        <w:t xml:space="preserve">271 (number of coronoids):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0/1. Boy (1995:fig. 4) identified as least two coronoids; there is a possible greatly truncated third coronoid (anterior coronoid) near the symphysis.</w:t>
      </w:r>
    </w:p>
    <w:p w14:paraId="0372C208" w14:textId="77777777" w:rsidR="00FA06B2" w:rsidRPr="00A155FA" w:rsidRDefault="00FA06B2" w:rsidP="005229E5">
      <w:pPr>
        <w:pStyle w:val="ListParagraph"/>
        <w:numPr>
          <w:ilvl w:val="0"/>
          <w:numId w:val="23"/>
        </w:numPr>
        <w:tabs>
          <w:tab w:val="left" w:pos="1260"/>
        </w:tabs>
        <w:rPr>
          <w:rFonts w:ascii="Times New Roman" w:hAnsi="Times New Roman" w:cs="Times New Roman"/>
          <w:b/>
          <w:bCs/>
        </w:rPr>
      </w:pPr>
      <w:r w:rsidRPr="00A155FA">
        <w:rPr>
          <w:rFonts w:ascii="Times New Roman" w:hAnsi="Times New Roman" w:cs="Times New Roman"/>
          <w:b/>
          <w:bCs/>
        </w:rPr>
        <w:t xml:space="preserve">272 (coronoid teeth):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1. Boy (1995:438, fig. 4) indicated the coronoids are only covered in denticles.</w:t>
      </w:r>
    </w:p>
    <w:p w14:paraId="648A5F2E" w14:textId="77777777" w:rsidR="00FA06B2" w:rsidRPr="00A155FA" w:rsidRDefault="00FA06B2" w:rsidP="00A30351">
      <w:pPr>
        <w:pStyle w:val="ListParagraph"/>
        <w:numPr>
          <w:ilvl w:val="0"/>
          <w:numId w:val="23"/>
        </w:numPr>
        <w:tabs>
          <w:tab w:val="left" w:pos="1260"/>
        </w:tabs>
        <w:rPr>
          <w:rFonts w:ascii="Times New Roman" w:hAnsi="Times New Roman" w:cs="Times New Roman"/>
          <w:b/>
          <w:bCs/>
        </w:rPr>
      </w:pPr>
      <w:r w:rsidRPr="00A155FA">
        <w:rPr>
          <w:rFonts w:ascii="Times New Roman" w:hAnsi="Times New Roman" w:cs="Times New Roman"/>
          <w:b/>
          <w:bCs/>
        </w:rPr>
        <w:t xml:space="preserve">311 (parietal, </w:t>
      </w:r>
      <w:proofErr w:type="spellStart"/>
      <w:r w:rsidRPr="00A155FA">
        <w:rPr>
          <w:rFonts w:ascii="Times New Roman" w:hAnsi="Times New Roman" w:cs="Times New Roman"/>
          <w:b/>
          <w:bCs/>
        </w:rPr>
        <w:t>waisting</w:t>
      </w:r>
      <w:proofErr w:type="spellEnd"/>
      <w:r w:rsidRPr="00A155FA">
        <w:rPr>
          <w:rFonts w:ascii="Times New Roman" w:hAnsi="Times New Roman" w:cs="Times New Roman"/>
          <w:b/>
          <w:bCs/>
        </w:rPr>
        <w:t xml:space="preserve">): </w:t>
      </w:r>
      <w:r w:rsidRPr="00A155FA">
        <w:rPr>
          <w:rFonts w:ascii="Times New Roman" w:hAnsi="Times New Roman" w:cs="Times New Roman"/>
        </w:rPr>
        <w:t xml:space="preserve">? </w:t>
      </w:r>
      <w:r w:rsidRPr="00A155FA">
        <w:rPr>
          <w:rFonts w:ascii="Times New Roman" w:hAnsi="Times New Roman" w:cs="Times New Roman"/>
        </w:rPr>
        <w:sym w:font="Wingdings" w:char="F0E0"/>
      </w:r>
      <w:r w:rsidRPr="00A155FA">
        <w:rPr>
          <w:rFonts w:ascii="Times New Roman" w:hAnsi="Times New Roman" w:cs="Times New Roman"/>
        </w:rPr>
        <w:t xml:space="preserve"> 0&amp;1. As shown by Boy (1995) among others.</w:t>
      </w:r>
    </w:p>
    <w:p w14:paraId="2B726358" w14:textId="77777777" w:rsidR="00FA06B2" w:rsidRPr="00A155FA" w:rsidRDefault="00FA06B2" w:rsidP="00A30351">
      <w:pPr>
        <w:pStyle w:val="ListParagraph"/>
        <w:numPr>
          <w:ilvl w:val="0"/>
          <w:numId w:val="23"/>
        </w:numPr>
        <w:tabs>
          <w:tab w:val="left" w:pos="1260"/>
        </w:tabs>
        <w:rPr>
          <w:rFonts w:ascii="Times New Roman" w:hAnsi="Times New Roman" w:cs="Times New Roman"/>
          <w:b/>
          <w:bCs/>
        </w:rPr>
      </w:pPr>
      <w:r w:rsidRPr="00A155FA">
        <w:rPr>
          <w:rFonts w:ascii="Times New Roman" w:hAnsi="Times New Roman" w:cs="Times New Roman"/>
          <w:b/>
          <w:bCs/>
        </w:rPr>
        <w:t xml:space="preserve">312 (parietal, width): </w:t>
      </w:r>
      <w:r w:rsidRPr="00A155FA">
        <w:rPr>
          <w:rFonts w:ascii="Times New Roman" w:hAnsi="Times New Roman" w:cs="Times New Roman"/>
        </w:rPr>
        <w:t xml:space="preserve">? </w:t>
      </w:r>
      <w:r w:rsidRPr="00A155FA">
        <w:rPr>
          <w:rFonts w:ascii="Times New Roman" w:hAnsi="Times New Roman" w:cs="Times New Roman"/>
        </w:rPr>
        <w:sym w:font="Wingdings" w:char="F0E0"/>
      </w:r>
      <w:r w:rsidRPr="00A155FA">
        <w:rPr>
          <w:rFonts w:ascii="Times New Roman" w:hAnsi="Times New Roman" w:cs="Times New Roman"/>
        </w:rPr>
        <w:t xml:space="preserve"> 0. As shown by Boy (1995) among others.</w:t>
      </w:r>
    </w:p>
    <w:p w14:paraId="5E59F591" w14:textId="77777777" w:rsidR="00FA06B2" w:rsidRPr="00A155FA" w:rsidRDefault="00FA06B2" w:rsidP="005229E5">
      <w:pPr>
        <w:pStyle w:val="ListParagraph"/>
        <w:numPr>
          <w:ilvl w:val="0"/>
          <w:numId w:val="23"/>
        </w:numPr>
        <w:tabs>
          <w:tab w:val="left" w:pos="1260"/>
        </w:tabs>
        <w:rPr>
          <w:rFonts w:ascii="Times New Roman" w:hAnsi="Times New Roman" w:cs="Times New Roman"/>
          <w:b/>
          <w:bCs/>
        </w:rPr>
      </w:pPr>
      <w:r w:rsidRPr="00A155FA">
        <w:rPr>
          <w:rFonts w:ascii="Times New Roman" w:hAnsi="Times New Roman" w:cs="Times New Roman"/>
          <w:b/>
          <w:bCs/>
        </w:rPr>
        <w:t xml:space="preserve">314 (prefrontals):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As shown by Boy (1995) among others.</w:t>
      </w:r>
    </w:p>
    <w:p w14:paraId="3C2EAA45" w14:textId="77777777" w:rsidR="00FA06B2" w:rsidRPr="00A155FA" w:rsidRDefault="00FA06B2" w:rsidP="005229E5">
      <w:pPr>
        <w:pStyle w:val="ListParagraph"/>
        <w:numPr>
          <w:ilvl w:val="0"/>
          <w:numId w:val="23"/>
        </w:numPr>
        <w:tabs>
          <w:tab w:val="left" w:pos="1260"/>
        </w:tabs>
        <w:rPr>
          <w:rFonts w:ascii="Times New Roman" w:hAnsi="Times New Roman" w:cs="Times New Roman"/>
          <w:b/>
          <w:bCs/>
        </w:rPr>
      </w:pPr>
      <w:r w:rsidRPr="00A155FA">
        <w:rPr>
          <w:rFonts w:ascii="Times New Roman" w:hAnsi="Times New Roman" w:cs="Times New Roman"/>
          <w:b/>
          <w:bCs/>
        </w:rPr>
        <w:t xml:space="preserve">315 (postfrontals):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As with character 314.</w:t>
      </w:r>
    </w:p>
    <w:p w14:paraId="6546F6CD" w14:textId="77777777" w:rsidR="00FA06B2" w:rsidRPr="00A155FA" w:rsidRDefault="00FA06B2" w:rsidP="005229E5">
      <w:pPr>
        <w:pStyle w:val="ListParagraph"/>
        <w:numPr>
          <w:ilvl w:val="0"/>
          <w:numId w:val="23"/>
        </w:numPr>
        <w:tabs>
          <w:tab w:val="left" w:pos="1260"/>
        </w:tabs>
        <w:rPr>
          <w:rFonts w:ascii="Times New Roman" w:hAnsi="Times New Roman" w:cs="Times New Roman"/>
          <w:b/>
          <w:bCs/>
        </w:rPr>
      </w:pPr>
      <w:r w:rsidRPr="00A155FA">
        <w:rPr>
          <w:rFonts w:ascii="Times New Roman" w:hAnsi="Times New Roman" w:cs="Times New Roman"/>
          <w:b/>
          <w:bCs/>
        </w:rPr>
        <w:t xml:space="preserve">317 (zygokrotaphy):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As with character 311.</w:t>
      </w:r>
    </w:p>
    <w:p w14:paraId="6E76F93A"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r w:rsidRPr="00A155FA">
        <w:rPr>
          <w:rFonts w:ascii="Times New Roman" w:hAnsi="Times New Roman" w:cs="Times New Roman"/>
          <w:b/>
          <w:bCs/>
          <w:i/>
          <w:iCs/>
        </w:rPr>
        <w:t>Apateon pedestris</w:t>
      </w:r>
    </w:p>
    <w:p w14:paraId="65440F58" w14:textId="77777777" w:rsidR="00FA06B2" w:rsidRPr="00A155FA" w:rsidRDefault="00FA06B2" w:rsidP="005229E5">
      <w:pPr>
        <w:pStyle w:val="ListParagraph"/>
        <w:numPr>
          <w:ilvl w:val="0"/>
          <w:numId w:val="24"/>
        </w:numPr>
        <w:tabs>
          <w:tab w:val="left" w:pos="1260"/>
        </w:tabs>
        <w:rPr>
          <w:rFonts w:ascii="Times New Roman" w:hAnsi="Times New Roman" w:cs="Times New Roman"/>
        </w:rPr>
      </w:pPr>
      <w:r w:rsidRPr="00A155FA">
        <w:rPr>
          <w:rFonts w:ascii="Times New Roman" w:hAnsi="Times New Roman" w:cs="Times New Roman"/>
          <w:b/>
          <w:bCs/>
        </w:rPr>
        <w:t xml:space="preserve">39 (prefrontal, frontal):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0. This taxon has been repeatedly illustrated with a prefrontal well anterior to the frontal (e.g., Schoch &amp; Milner, 2008:fig. 3D), which separates it from other species that have in-line anterior margins (e.g., </w:t>
      </w:r>
      <w:r w:rsidRPr="00A155FA">
        <w:rPr>
          <w:rFonts w:ascii="Times New Roman" w:hAnsi="Times New Roman" w:cs="Times New Roman"/>
          <w:i/>
          <w:iCs/>
        </w:rPr>
        <w:t xml:space="preserve">A. </w:t>
      </w:r>
      <w:proofErr w:type="spellStart"/>
      <w:r w:rsidRPr="00A155FA">
        <w:rPr>
          <w:rFonts w:ascii="Times New Roman" w:hAnsi="Times New Roman" w:cs="Times New Roman"/>
          <w:i/>
          <w:iCs/>
        </w:rPr>
        <w:t>caudacus</w:t>
      </w:r>
      <w:proofErr w:type="spellEnd"/>
      <w:r w:rsidRPr="00A155FA">
        <w:rPr>
          <w:rFonts w:ascii="Times New Roman" w:hAnsi="Times New Roman" w:cs="Times New Roman"/>
        </w:rPr>
        <w:t xml:space="preserve">). </w:t>
      </w:r>
    </w:p>
    <w:p w14:paraId="7F0D84BF" w14:textId="77777777" w:rsidR="00FA06B2" w:rsidRPr="007A0A6B" w:rsidRDefault="00FA06B2" w:rsidP="00A30351">
      <w:pPr>
        <w:pStyle w:val="ListParagraph"/>
        <w:numPr>
          <w:ilvl w:val="0"/>
          <w:numId w:val="24"/>
        </w:numPr>
        <w:tabs>
          <w:tab w:val="left" w:pos="1260"/>
        </w:tabs>
        <w:rPr>
          <w:rFonts w:ascii="Times New Roman" w:hAnsi="Times New Roman" w:cs="Times New Roman"/>
        </w:rPr>
      </w:pPr>
      <w:r w:rsidRPr="00A155FA">
        <w:rPr>
          <w:rFonts w:ascii="Times New Roman" w:hAnsi="Times New Roman" w:cs="Times New Roman"/>
          <w:b/>
          <w:bCs/>
        </w:rPr>
        <w:t>121 (pterygoid, flange):</w:t>
      </w:r>
      <w:r w:rsidRPr="00A155FA">
        <w:rPr>
          <w:rFonts w:ascii="Times New Roman" w:hAnsi="Times New Roman" w:cs="Times New Roman"/>
        </w:rPr>
        <w:t xml:space="preserve"> 1 </w:t>
      </w:r>
      <w:r w:rsidRPr="00A155FA">
        <w:rPr>
          <w:rFonts w:ascii="Times New Roman" w:hAnsi="Times New Roman" w:cs="Times New Roman"/>
        </w:rPr>
        <w:sym w:font="Wingdings" w:char="F0E0"/>
      </w:r>
      <w:r w:rsidRPr="00A155FA">
        <w:rPr>
          <w:rFonts w:ascii="Times New Roman" w:hAnsi="Times New Roman" w:cs="Times New Roman"/>
        </w:rPr>
        <w:t xml:space="preserve"> 0. There is no posterolateral process from the palatine or quadrate ramus of the pterygoid (e.g., Schoch &amp; Milner, 2014:fig. 27G).</w:t>
      </w:r>
    </w:p>
    <w:p w14:paraId="44AA952A"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bookmarkStart w:id="14" w:name="_Hlk92619564"/>
      <w:r w:rsidRPr="00A155FA">
        <w:rPr>
          <w:rFonts w:ascii="Times New Roman" w:hAnsi="Times New Roman" w:cs="Times New Roman"/>
          <w:b/>
          <w:bCs/>
          <w:i/>
          <w:iCs/>
        </w:rPr>
        <w:t xml:space="preserve">Micropholis </w:t>
      </w:r>
      <w:bookmarkEnd w:id="14"/>
      <w:r w:rsidRPr="00A155FA">
        <w:rPr>
          <w:rFonts w:ascii="Times New Roman" w:hAnsi="Times New Roman" w:cs="Times New Roman"/>
          <w:b/>
          <w:bCs/>
          <w:i/>
          <w:iCs/>
        </w:rPr>
        <w:t>stowi</w:t>
      </w:r>
    </w:p>
    <w:p w14:paraId="5F2936CF" w14:textId="77777777" w:rsidR="00FA06B2" w:rsidRPr="00A155FA" w:rsidRDefault="00FA06B2" w:rsidP="005229E5">
      <w:pPr>
        <w:pStyle w:val="ListParagraph"/>
        <w:numPr>
          <w:ilvl w:val="0"/>
          <w:numId w:val="24"/>
        </w:numPr>
        <w:tabs>
          <w:tab w:val="left" w:pos="1260"/>
        </w:tabs>
        <w:rPr>
          <w:rFonts w:ascii="Times New Roman" w:hAnsi="Times New Roman" w:cs="Times New Roman"/>
        </w:rPr>
      </w:pPr>
      <w:r w:rsidRPr="00A155FA">
        <w:rPr>
          <w:rFonts w:ascii="Times New Roman" w:hAnsi="Times New Roman" w:cs="Times New Roman"/>
          <w:b/>
          <w:bCs/>
        </w:rPr>
        <w:t xml:space="preserve">31 (frontal-nasal, length):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0&amp;1. This variation is associated with the two morphs (broad- and slender-headed) that are noted by Schoch &amp; Rubidge (2005:506).</w:t>
      </w:r>
    </w:p>
    <w:p w14:paraId="4B289923" w14:textId="77777777" w:rsidR="00FA06B2" w:rsidRPr="00A155FA" w:rsidRDefault="00FA06B2" w:rsidP="005229E5">
      <w:pPr>
        <w:pStyle w:val="ListParagraph"/>
        <w:numPr>
          <w:ilvl w:val="0"/>
          <w:numId w:val="24"/>
        </w:numPr>
        <w:tabs>
          <w:tab w:val="left" w:pos="1260"/>
        </w:tabs>
        <w:rPr>
          <w:rFonts w:ascii="Times New Roman" w:hAnsi="Times New Roman" w:cs="Times New Roman"/>
        </w:rPr>
      </w:pPr>
      <w:r w:rsidRPr="00A155FA">
        <w:rPr>
          <w:rFonts w:ascii="Times New Roman" w:hAnsi="Times New Roman" w:cs="Times New Roman"/>
          <w:b/>
          <w:bCs/>
        </w:rPr>
        <w:t xml:space="preserve">62 (squamosal-tabular, dorsal):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0&amp;1. This variation is noted to occur on at least the dorsal surface of the roof (which is what the character refers to) by Schoch &amp; Rubidge (2005:507).</w:t>
      </w:r>
    </w:p>
    <w:p w14:paraId="6F87A9CE" w14:textId="77777777" w:rsidR="00FA06B2" w:rsidRPr="00A155FA" w:rsidRDefault="00FA06B2" w:rsidP="005229E5">
      <w:pPr>
        <w:pStyle w:val="ListParagraph"/>
        <w:numPr>
          <w:ilvl w:val="0"/>
          <w:numId w:val="24"/>
        </w:numPr>
        <w:tabs>
          <w:tab w:val="left" w:pos="1260"/>
        </w:tabs>
        <w:rPr>
          <w:rFonts w:ascii="Times New Roman" w:hAnsi="Times New Roman" w:cs="Times New Roman"/>
        </w:rPr>
      </w:pPr>
      <w:r w:rsidRPr="00A155FA">
        <w:rPr>
          <w:rFonts w:ascii="Times New Roman" w:hAnsi="Times New Roman" w:cs="Times New Roman"/>
          <w:b/>
          <w:bCs/>
        </w:rPr>
        <w:t>65 (tabular, horn):</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0&amp;1. Schoch &amp; Rubidge (2005:507) noted the absence of a tabular horn in at least one large specimen.</w:t>
      </w:r>
    </w:p>
    <w:p w14:paraId="428A38B9" w14:textId="77777777" w:rsidR="00FA06B2" w:rsidRPr="00A155FA" w:rsidRDefault="00FA06B2" w:rsidP="005229E5">
      <w:pPr>
        <w:pStyle w:val="ListParagraph"/>
        <w:numPr>
          <w:ilvl w:val="0"/>
          <w:numId w:val="24"/>
        </w:numPr>
        <w:tabs>
          <w:tab w:val="left" w:pos="1260"/>
        </w:tabs>
        <w:rPr>
          <w:rFonts w:ascii="Times New Roman" w:hAnsi="Times New Roman" w:cs="Times New Roman"/>
        </w:rPr>
      </w:pPr>
      <w:r w:rsidRPr="00A155FA">
        <w:rPr>
          <w:rFonts w:ascii="Times New Roman" w:hAnsi="Times New Roman" w:cs="Times New Roman"/>
          <w:b/>
          <w:bCs/>
        </w:rPr>
        <w:t>86 (additional vomerine fangs):</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0&amp;1. Schoch &amp; Rubidge (2005:507) noted this as a variable feature between morphs; 86–0 (only one fang pair) occurs in the slender-headed morph, while 86–1 (three pairs) occurs in the broad-headed morph (see also their comparative reconstructions in figure 2 therein). </w:t>
      </w:r>
    </w:p>
    <w:p w14:paraId="4BAEF8D5" w14:textId="77777777" w:rsidR="00FA06B2" w:rsidRPr="00A155FA" w:rsidRDefault="00FA06B2" w:rsidP="005229E5">
      <w:pPr>
        <w:pStyle w:val="ListParagraph"/>
        <w:numPr>
          <w:ilvl w:val="0"/>
          <w:numId w:val="24"/>
        </w:numPr>
        <w:tabs>
          <w:tab w:val="left" w:pos="1260"/>
        </w:tabs>
        <w:rPr>
          <w:rFonts w:ascii="Times New Roman" w:hAnsi="Times New Roman" w:cs="Times New Roman"/>
        </w:rPr>
      </w:pPr>
      <w:r w:rsidRPr="00A155FA">
        <w:rPr>
          <w:rFonts w:ascii="Times New Roman" w:hAnsi="Times New Roman" w:cs="Times New Roman"/>
          <w:b/>
          <w:bCs/>
        </w:rPr>
        <w:t>88 (ectopterygoid, fangs):</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0. Schoch &amp; Rubidge (2005:507) stated that “the ectopterygoid has one fang-pair that is smaller than the palatine one,” which is reflected in their reconstruction (fig. 2 therein); this might be polymorphic (it is not reconstructed for the broad-headed morph), but they note that the ectopterygoid is not well-known from this morph.</w:t>
      </w:r>
    </w:p>
    <w:p w14:paraId="128CE53D" w14:textId="77777777" w:rsidR="00FA06B2" w:rsidRPr="00A155FA" w:rsidRDefault="00FA06B2" w:rsidP="005229E5">
      <w:pPr>
        <w:pStyle w:val="ListParagraph"/>
        <w:numPr>
          <w:ilvl w:val="0"/>
          <w:numId w:val="24"/>
        </w:numPr>
        <w:tabs>
          <w:tab w:val="left" w:pos="1260"/>
        </w:tabs>
        <w:rPr>
          <w:rFonts w:ascii="Times New Roman" w:hAnsi="Times New Roman" w:cs="Times New Roman"/>
        </w:rPr>
      </w:pPr>
      <w:r w:rsidRPr="00A155FA">
        <w:rPr>
          <w:rFonts w:ascii="Times New Roman" w:hAnsi="Times New Roman" w:cs="Times New Roman"/>
          <w:b/>
          <w:bCs/>
        </w:rPr>
        <w:t>109 (basicranium, carotids):</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Schoch &amp; Rubidge (2005:508) confirmed the absence of foramina for the carotids on the ventral surface of the parasphenoid that was reported by Boy (1985). They speculated that the carotids might enter more posteriorly or simply never passed through the parasphenoid; this ambiguity does not support coding the character as 109–0.</w:t>
      </w:r>
    </w:p>
    <w:p w14:paraId="4243112E" w14:textId="77777777" w:rsidR="00FA06B2" w:rsidRPr="00A155FA" w:rsidRDefault="00FA06B2" w:rsidP="005229E5">
      <w:pPr>
        <w:pStyle w:val="ListParagraph"/>
        <w:numPr>
          <w:ilvl w:val="0"/>
          <w:numId w:val="24"/>
        </w:numPr>
        <w:tabs>
          <w:tab w:val="left" w:pos="1260"/>
        </w:tabs>
        <w:rPr>
          <w:rFonts w:ascii="Times New Roman" w:hAnsi="Times New Roman" w:cs="Times New Roman"/>
        </w:rPr>
      </w:pPr>
      <w:r w:rsidRPr="00A155FA">
        <w:rPr>
          <w:rFonts w:ascii="Times New Roman" w:hAnsi="Times New Roman" w:cs="Times New Roman"/>
          <w:b/>
          <w:bCs/>
        </w:rPr>
        <w:lastRenderedPageBreak/>
        <w:t>110 (parasphenoid plate):</w:t>
      </w:r>
      <w:r w:rsidRPr="00A155FA">
        <w:rPr>
          <w:rFonts w:ascii="Times New Roman" w:hAnsi="Times New Roman" w:cs="Times New Roman"/>
        </w:rPr>
        <w:t xml:space="preserve"> 2 </w:t>
      </w:r>
      <w:r w:rsidRPr="00A155FA">
        <w:rPr>
          <w:rFonts w:ascii="Times New Roman" w:eastAsia="Wingdings" w:hAnsi="Times New Roman" w:cs="Times New Roman"/>
        </w:rPr>
        <w:t>→</w:t>
      </w:r>
      <w:r w:rsidRPr="00A155FA">
        <w:rPr>
          <w:rFonts w:ascii="Times New Roman" w:hAnsi="Times New Roman" w:cs="Times New Roman"/>
        </w:rPr>
        <w:t xml:space="preserve"> 1&amp;2. This is a polymorphic condition differing between morphs (Schoch &amp; Rubidge, 2005:fig. 2). The slender-headed morph has a proportionately narrower basal plate.</w:t>
      </w:r>
    </w:p>
    <w:p w14:paraId="21F6D825" w14:textId="77777777" w:rsidR="00FA06B2" w:rsidRPr="00A155FA" w:rsidRDefault="00FA06B2" w:rsidP="005229E5">
      <w:pPr>
        <w:pStyle w:val="ListParagraph"/>
        <w:numPr>
          <w:ilvl w:val="0"/>
          <w:numId w:val="24"/>
        </w:numPr>
        <w:tabs>
          <w:tab w:val="left" w:pos="1260"/>
        </w:tabs>
        <w:rPr>
          <w:rFonts w:ascii="Times New Roman" w:hAnsi="Times New Roman" w:cs="Times New Roman"/>
        </w:rPr>
      </w:pPr>
      <w:r w:rsidRPr="00A155FA">
        <w:rPr>
          <w:rFonts w:ascii="Times New Roman" w:hAnsi="Times New Roman" w:cs="Times New Roman"/>
          <w:b/>
          <w:bCs/>
        </w:rPr>
        <w:t xml:space="preserve">124 (pterygoid-palatine-ectopterygoid):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0. Schoch &amp; Rubidge (2005:508, fig. 2) noted substantial contact of the pterygoid with the palatine in the slender-headed morph. They indicated that the contact in the broad-headed morph was likely “faint,” as in their reconstruction, which is why this is corrected to 124</w:t>
      </w:r>
      <w:r w:rsidRPr="00A155FA">
        <w:rPr>
          <w:rFonts w:ascii="Times New Roman" w:hAnsi="Times New Roman" w:cs="Times New Roman"/>
        </w:rPr>
        <w:softHyphen/>
        <w:t xml:space="preserve">–0 rather than as polymorphic. </w:t>
      </w:r>
    </w:p>
    <w:p w14:paraId="15CED365" w14:textId="77777777" w:rsidR="00FA06B2" w:rsidRPr="00A155FA" w:rsidRDefault="00FA06B2" w:rsidP="005229E5">
      <w:pPr>
        <w:pStyle w:val="ListParagraph"/>
        <w:numPr>
          <w:ilvl w:val="0"/>
          <w:numId w:val="24"/>
        </w:numPr>
        <w:tabs>
          <w:tab w:val="left" w:pos="1260"/>
        </w:tabs>
        <w:rPr>
          <w:rFonts w:ascii="Times New Roman" w:hAnsi="Times New Roman" w:cs="Times New Roman"/>
        </w:rPr>
      </w:pPr>
      <w:r w:rsidRPr="00A155FA">
        <w:rPr>
          <w:rFonts w:ascii="Times New Roman" w:hAnsi="Times New Roman" w:cs="Times New Roman"/>
          <w:b/>
          <w:bCs/>
        </w:rPr>
        <w:t xml:space="preserve">148 (anterior, middle coronoid teeth):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 Schoch &amp; Rubidge (2005:509) stated that “the possession of anterior and middle coronoids and the morphology of the symphysis are not determinable because the area is obscured by the preorbital region.” Therefore, this feature should be coded as unknown.</w:t>
      </w:r>
    </w:p>
    <w:p w14:paraId="3A9075E6" w14:textId="77777777" w:rsidR="00FA06B2" w:rsidRPr="00A155FA" w:rsidRDefault="00FA06B2" w:rsidP="005229E5">
      <w:pPr>
        <w:pStyle w:val="ListParagraph"/>
        <w:numPr>
          <w:ilvl w:val="0"/>
          <w:numId w:val="24"/>
        </w:numPr>
        <w:tabs>
          <w:tab w:val="left" w:pos="1260"/>
        </w:tabs>
        <w:rPr>
          <w:rFonts w:ascii="Times New Roman" w:hAnsi="Times New Roman" w:cs="Times New Roman"/>
        </w:rPr>
      </w:pPr>
      <w:r w:rsidRPr="00A155FA">
        <w:rPr>
          <w:rFonts w:ascii="Times New Roman" w:hAnsi="Times New Roman" w:cs="Times New Roman"/>
          <w:b/>
          <w:bCs/>
        </w:rPr>
        <w:t>149 (mandibular osteoderms):</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1. Schoch &amp; Rubidge (2005:509–510) noted the presence of “oval, polygonal, or irregularly shaped ossicles emplaced between the basal plate of the parasphenoid and the ventral elements of the dermal pectoral girdle.” They also indicate that these are “true osteoderms and not dislocated tooth plates” and term them as “osteoderms of the throat region.”</w:t>
      </w:r>
    </w:p>
    <w:p w14:paraId="5307D8D6" w14:textId="77777777" w:rsidR="00FA06B2" w:rsidRPr="00A155FA" w:rsidRDefault="00FA06B2" w:rsidP="005229E5">
      <w:pPr>
        <w:pStyle w:val="ListParagraph"/>
        <w:numPr>
          <w:ilvl w:val="0"/>
          <w:numId w:val="24"/>
        </w:numPr>
        <w:tabs>
          <w:tab w:val="left" w:pos="1260"/>
        </w:tabs>
        <w:rPr>
          <w:rFonts w:ascii="Times New Roman" w:hAnsi="Times New Roman" w:cs="Times New Roman"/>
        </w:rPr>
      </w:pPr>
      <w:r w:rsidRPr="00A155FA">
        <w:rPr>
          <w:rFonts w:ascii="Times New Roman" w:hAnsi="Times New Roman" w:cs="Times New Roman"/>
          <w:b/>
          <w:bCs/>
        </w:rPr>
        <w:t>205 (femur, trochanter):</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0. Schoch &amp; Rubidge (2005:513) noted “a prominent, boss-like internal trochanter” on the femur, although this is not clear from their single-profile illustration. They compared it favorably to </w:t>
      </w:r>
      <w:r w:rsidRPr="00A155FA">
        <w:rPr>
          <w:rFonts w:ascii="Times New Roman" w:hAnsi="Times New Roman" w:cs="Times New Roman"/>
          <w:i/>
          <w:iCs/>
        </w:rPr>
        <w:t>Eoscopus</w:t>
      </w:r>
      <w:r w:rsidRPr="00A155FA">
        <w:rPr>
          <w:rFonts w:ascii="Times New Roman" w:hAnsi="Times New Roman" w:cs="Times New Roman"/>
        </w:rPr>
        <w:t xml:space="preserve">, which has a trochanter like other non-branchiosaurid amphibamiforms (e.g., </w:t>
      </w:r>
      <w:r w:rsidRPr="00A155FA">
        <w:rPr>
          <w:rFonts w:ascii="Times New Roman" w:hAnsi="Times New Roman" w:cs="Times New Roman"/>
          <w:i/>
          <w:iCs/>
        </w:rPr>
        <w:t>Doleserpeton</w:t>
      </w:r>
      <w:r w:rsidRPr="00A155FA">
        <w:rPr>
          <w:rFonts w:ascii="Times New Roman" w:hAnsi="Times New Roman" w:cs="Times New Roman"/>
        </w:rPr>
        <w:t>) based on Daly’s (1994:fig. 15) illustrations and description.</w:t>
      </w:r>
    </w:p>
    <w:p w14:paraId="6F16733D" w14:textId="77777777" w:rsidR="00FA06B2" w:rsidRPr="00A155FA" w:rsidRDefault="00FA06B2" w:rsidP="005229E5">
      <w:pPr>
        <w:pStyle w:val="ListParagraph"/>
        <w:numPr>
          <w:ilvl w:val="0"/>
          <w:numId w:val="24"/>
        </w:numPr>
        <w:tabs>
          <w:tab w:val="left" w:pos="1260"/>
        </w:tabs>
        <w:rPr>
          <w:rFonts w:ascii="Times New Roman" w:hAnsi="Times New Roman" w:cs="Times New Roman"/>
        </w:rPr>
      </w:pPr>
      <w:r w:rsidRPr="00A155FA">
        <w:rPr>
          <w:rFonts w:ascii="Times New Roman" w:hAnsi="Times New Roman" w:cs="Times New Roman"/>
          <w:b/>
          <w:bCs/>
        </w:rPr>
        <w:t xml:space="preserve">224 (frontal-orbit):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Entry of the frontal was documented by Boy (1985:fig. 2) and Schoch &amp; Rubidge (2005:figs. 1–3).</w:t>
      </w:r>
    </w:p>
    <w:p w14:paraId="4B4FE1C5" w14:textId="77777777" w:rsidR="00FA06B2" w:rsidRPr="00A155FA" w:rsidRDefault="00FA06B2" w:rsidP="005229E5">
      <w:pPr>
        <w:pStyle w:val="ListParagraph"/>
        <w:numPr>
          <w:ilvl w:val="0"/>
          <w:numId w:val="24"/>
        </w:numPr>
        <w:tabs>
          <w:tab w:val="left" w:pos="1260"/>
        </w:tabs>
        <w:rPr>
          <w:rFonts w:ascii="Times New Roman" w:hAnsi="Times New Roman" w:cs="Times New Roman"/>
        </w:rPr>
      </w:pPr>
      <w:r w:rsidRPr="00A155FA">
        <w:rPr>
          <w:rFonts w:ascii="Times New Roman" w:hAnsi="Times New Roman" w:cs="Times New Roman"/>
          <w:b/>
          <w:bCs/>
        </w:rPr>
        <w:t xml:space="preserve">242 (number of premaxillary teeth):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0/1. Schoch &amp; Rubidge (2005:509) stated that there is room for 8–10 premaxillary teeth.</w:t>
      </w:r>
    </w:p>
    <w:p w14:paraId="52953116" w14:textId="77777777" w:rsidR="00FA06B2" w:rsidRPr="00A155FA" w:rsidRDefault="00FA06B2" w:rsidP="005229E5">
      <w:pPr>
        <w:pStyle w:val="ListParagraph"/>
        <w:numPr>
          <w:ilvl w:val="0"/>
          <w:numId w:val="24"/>
        </w:numPr>
        <w:tabs>
          <w:tab w:val="left" w:pos="1260"/>
        </w:tabs>
        <w:rPr>
          <w:rFonts w:ascii="Times New Roman" w:hAnsi="Times New Roman" w:cs="Times New Roman"/>
        </w:rPr>
      </w:pPr>
      <w:r w:rsidRPr="00A155FA">
        <w:rPr>
          <w:rFonts w:ascii="Times New Roman" w:hAnsi="Times New Roman" w:cs="Times New Roman"/>
          <w:b/>
          <w:bCs/>
        </w:rPr>
        <w:t>243 (number of maxillary teeth):</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Schoch &amp; Rubidge (2005:509) stated that there is room for 31–42 maxillary teeth (variation between morphs).</w:t>
      </w:r>
    </w:p>
    <w:p w14:paraId="4088EFC2" w14:textId="77777777" w:rsidR="00FA06B2" w:rsidRPr="00A155FA" w:rsidRDefault="00FA06B2" w:rsidP="005229E5">
      <w:pPr>
        <w:pStyle w:val="ListParagraph"/>
        <w:numPr>
          <w:ilvl w:val="0"/>
          <w:numId w:val="62"/>
        </w:numPr>
        <w:tabs>
          <w:tab w:val="left" w:pos="1260"/>
        </w:tabs>
        <w:rPr>
          <w:rFonts w:ascii="Times New Roman" w:hAnsi="Times New Roman" w:cs="Times New Roman"/>
        </w:rPr>
      </w:pPr>
      <w:r w:rsidRPr="00A155FA">
        <w:rPr>
          <w:rFonts w:ascii="Times New Roman" w:hAnsi="Times New Roman" w:cs="Times New Roman"/>
          <w:b/>
          <w:bCs/>
          <w:i/>
          <w:iCs/>
        </w:rPr>
        <w:t>Platyrhinops lyelli</w:t>
      </w:r>
    </w:p>
    <w:p w14:paraId="49468198" w14:textId="2D530142" w:rsidR="00FA06B2" w:rsidRPr="00A155FA" w:rsidRDefault="00FA06B2" w:rsidP="005229E5">
      <w:pPr>
        <w:pStyle w:val="ListParagraph"/>
        <w:numPr>
          <w:ilvl w:val="0"/>
          <w:numId w:val="25"/>
        </w:numPr>
        <w:tabs>
          <w:tab w:val="left" w:pos="1260"/>
        </w:tabs>
        <w:rPr>
          <w:rFonts w:ascii="Times New Roman" w:hAnsi="Times New Roman" w:cs="Times New Roman"/>
        </w:rPr>
      </w:pPr>
      <w:r w:rsidRPr="00A155FA">
        <w:rPr>
          <w:rFonts w:ascii="Times New Roman" w:hAnsi="Times New Roman" w:cs="Times New Roman"/>
          <w:b/>
          <w:bCs/>
        </w:rPr>
        <w:t>100 (choana, medial):</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0. The choanae form elongate ovals without any broadening anteromedially (Clack &amp; Milner, 2010:figs. 5, 9).</w:t>
      </w:r>
    </w:p>
    <w:p w14:paraId="30E68973" w14:textId="467D1F43" w:rsidR="00FA06B2" w:rsidRPr="00A155FA" w:rsidRDefault="00FA06B2" w:rsidP="005229E5">
      <w:pPr>
        <w:pStyle w:val="ListParagraph"/>
        <w:numPr>
          <w:ilvl w:val="0"/>
          <w:numId w:val="25"/>
        </w:numPr>
        <w:tabs>
          <w:tab w:val="left" w:pos="1260"/>
        </w:tabs>
        <w:rPr>
          <w:rFonts w:ascii="Times New Roman" w:hAnsi="Times New Roman" w:cs="Times New Roman"/>
        </w:rPr>
      </w:pPr>
      <w:r w:rsidRPr="00A155FA">
        <w:rPr>
          <w:rFonts w:ascii="Times New Roman" w:hAnsi="Times New Roman" w:cs="Times New Roman"/>
          <w:b/>
          <w:bCs/>
        </w:rPr>
        <w:t xml:space="preserve">110 (parasphenoid plate): </w:t>
      </w:r>
      <w:r w:rsidRPr="00A155FA">
        <w:rPr>
          <w:rFonts w:ascii="Times New Roman" w:hAnsi="Times New Roman" w:cs="Times New Roman"/>
        </w:rPr>
        <w:t xml:space="preserve">2 </w:t>
      </w:r>
      <w:r w:rsidRPr="00A155FA">
        <w:rPr>
          <w:rFonts w:ascii="Times New Roman" w:eastAsia="Wingdings" w:hAnsi="Times New Roman" w:cs="Times New Roman"/>
        </w:rPr>
        <w:t>→</w:t>
      </w:r>
      <w:r w:rsidRPr="00A155FA">
        <w:rPr>
          <w:rFonts w:ascii="Times New Roman" w:hAnsi="Times New Roman" w:cs="Times New Roman"/>
        </w:rPr>
        <w:t xml:space="preserve"> 1. The condition of this taxon (Clack &amp; Milner, 2010) is much closer to taxa coded for 110</w:t>
      </w:r>
      <w:r w:rsidRPr="00A155FA">
        <w:rPr>
          <w:rFonts w:ascii="Times New Roman" w:hAnsi="Times New Roman" w:cs="Times New Roman"/>
        </w:rPr>
        <w:softHyphen/>
        <w:t>–1, such as olsoniforms and zatracheids, than to amphibamids and salientians (coded for 110</w:t>
      </w:r>
      <w:r w:rsidRPr="00A155FA">
        <w:rPr>
          <w:rFonts w:ascii="Times New Roman" w:hAnsi="Times New Roman" w:cs="Times New Roman"/>
        </w:rPr>
        <w:softHyphen/>
        <w:t xml:space="preserve">–2). </w:t>
      </w:r>
    </w:p>
    <w:p w14:paraId="1733C377" w14:textId="77777777" w:rsidR="00FA06B2" w:rsidRPr="00A155FA" w:rsidRDefault="00FA06B2" w:rsidP="005229E5">
      <w:pPr>
        <w:pStyle w:val="ListParagraph"/>
        <w:numPr>
          <w:ilvl w:val="0"/>
          <w:numId w:val="25"/>
        </w:numPr>
        <w:tabs>
          <w:tab w:val="left" w:pos="1260"/>
        </w:tabs>
        <w:rPr>
          <w:rFonts w:ascii="Times New Roman" w:hAnsi="Times New Roman" w:cs="Times New Roman"/>
        </w:rPr>
      </w:pPr>
      <w:r w:rsidRPr="00A155FA">
        <w:rPr>
          <w:rFonts w:ascii="Times New Roman" w:hAnsi="Times New Roman" w:cs="Times New Roman"/>
          <w:b/>
          <w:bCs/>
        </w:rPr>
        <w:t>203 (pubis):</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1. Carroll (1964:238) noted a well-ossified pubis.</w:t>
      </w:r>
    </w:p>
    <w:p w14:paraId="37DE7908" w14:textId="1F760EF3" w:rsidR="00FA06B2" w:rsidRPr="00A155FA" w:rsidRDefault="00FA06B2" w:rsidP="005229E5">
      <w:pPr>
        <w:pStyle w:val="ListParagraph"/>
        <w:numPr>
          <w:ilvl w:val="0"/>
          <w:numId w:val="25"/>
        </w:numPr>
        <w:tabs>
          <w:tab w:val="left" w:pos="1260"/>
        </w:tabs>
        <w:rPr>
          <w:rFonts w:ascii="Times New Roman" w:hAnsi="Times New Roman" w:cs="Times New Roman"/>
        </w:rPr>
      </w:pPr>
      <w:r w:rsidRPr="00A155FA">
        <w:rPr>
          <w:rFonts w:ascii="Times New Roman" w:hAnsi="Times New Roman" w:cs="Times New Roman"/>
          <w:b/>
          <w:bCs/>
        </w:rPr>
        <w:t>250 (teeth on pterygoid):</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Clack &amp; Milner (2010) did not make any mention of teeth on the pterygoid (or any other part of the palate), nor do they reconstruct it or indicate it in figures showing the ventral surface of the pterygoid.</w:t>
      </w:r>
    </w:p>
    <w:p w14:paraId="6CD608B6" w14:textId="58A4778E" w:rsidR="00FA06B2" w:rsidRPr="00A155FA" w:rsidRDefault="00FA06B2" w:rsidP="005229E5">
      <w:pPr>
        <w:pStyle w:val="ListParagraph"/>
        <w:numPr>
          <w:ilvl w:val="0"/>
          <w:numId w:val="25"/>
        </w:numPr>
        <w:tabs>
          <w:tab w:val="left" w:pos="1260"/>
        </w:tabs>
        <w:rPr>
          <w:rFonts w:ascii="Times New Roman" w:hAnsi="Times New Roman" w:cs="Times New Roman"/>
        </w:rPr>
      </w:pPr>
      <w:r w:rsidRPr="00A155FA">
        <w:rPr>
          <w:rFonts w:ascii="Times New Roman" w:hAnsi="Times New Roman" w:cs="Times New Roman"/>
          <w:b/>
          <w:bCs/>
        </w:rPr>
        <w:t xml:space="preserve">251 (denticles on vomers):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Clack &amp; Milner (2010:288) stated all palatal surfaces are covered in denticles.</w:t>
      </w:r>
    </w:p>
    <w:p w14:paraId="6A192207" w14:textId="77777777" w:rsidR="00FA06B2" w:rsidRPr="00A155FA" w:rsidRDefault="00FA06B2" w:rsidP="005229E5">
      <w:pPr>
        <w:pStyle w:val="ListParagraph"/>
        <w:numPr>
          <w:ilvl w:val="0"/>
          <w:numId w:val="25"/>
        </w:numPr>
        <w:tabs>
          <w:tab w:val="left" w:pos="1260"/>
        </w:tabs>
        <w:rPr>
          <w:rFonts w:ascii="Times New Roman" w:hAnsi="Times New Roman" w:cs="Times New Roman"/>
        </w:rPr>
      </w:pPr>
      <w:r w:rsidRPr="00A155FA">
        <w:rPr>
          <w:rFonts w:ascii="Times New Roman" w:hAnsi="Times New Roman" w:cs="Times New Roman"/>
          <w:b/>
          <w:bCs/>
        </w:rPr>
        <w:t xml:space="preserve">252 (denticles on palatines):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As with character 251.</w:t>
      </w:r>
    </w:p>
    <w:p w14:paraId="3EE17F0F" w14:textId="77777777" w:rsidR="00FA06B2" w:rsidRPr="00A155FA" w:rsidRDefault="00FA06B2" w:rsidP="00A30351">
      <w:pPr>
        <w:pStyle w:val="ListParagraph"/>
        <w:numPr>
          <w:ilvl w:val="0"/>
          <w:numId w:val="25"/>
        </w:numPr>
        <w:tabs>
          <w:tab w:val="left" w:pos="1260"/>
        </w:tabs>
        <w:rPr>
          <w:rFonts w:ascii="Times New Roman" w:hAnsi="Times New Roman" w:cs="Times New Roman"/>
        </w:rPr>
      </w:pPr>
      <w:r w:rsidRPr="00A155FA">
        <w:rPr>
          <w:rFonts w:ascii="Times New Roman" w:hAnsi="Times New Roman" w:cs="Times New Roman"/>
          <w:b/>
          <w:bCs/>
        </w:rPr>
        <w:lastRenderedPageBreak/>
        <w:t>264 (</w:t>
      </w:r>
      <w:proofErr w:type="spellStart"/>
      <w:r w:rsidRPr="00A155FA">
        <w:rPr>
          <w:rFonts w:ascii="Times New Roman" w:hAnsi="Times New Roman" w:cs="Times New Roman"/>
          <w:b/>
          <w:bCs/>
        </w:rPr>
        <w:t>splenials</w:t>
      </w:r>
      <w:proofErr w:type="spellEnd"/>
      <w:r w:rsidRPr="00A155FA">
        <w:rPr>
          <w:rFonts w:ascii="Times New Roman" w:hAnsi="Times New Roman" w:cs="Times New Roman"/>
          <w:b/>
          <w:bCs/>
        </w:rPr>
        <w:t>):</w:t>
      </w:r>
      <w:r w:rsidRPr="00A155FA">
        <w:rPr>
          <w:rFonts w:ascii="Times New Roman" w:hAnsi="Times New Roman" w:cs="Times New Roman"/>
        </w:rPr>
        <w:t xml:space="preserve"> 2 </w:t>
      </w:r>
      <w:r w:rsidRPr="00A155FA">
        <w:rPr>
          <w:rFonts w:ascii="Times New Roman" w:hAnsi="Times New Roman" w:cs="Times New Roman"/>
        </w:rPr>
        <w:sym w:font="Wingdings" w:char="F0E0"/>
      </w:r>
      <w:r w:rsidRPr="00A155FA">
        <w:rPr>
          <w:rFonts w:ascii="Times New Roman" w:hAnsi="Times New Roman" w:cs="Times New Roman"/>
        </w:rPr>
        <w:t xml:space="preserve"> 0. Clack &amp; Milner (2010:286) described both the splenial and the postsplenial, as with other temnospondyls.</w:t>
      </w:r>
    </w:p>
    <w:p w14:paraId="6BD43BD6" w14:textId="3F64DB58" w:rsidR="00FA06B2" w:rsidRPr="00A155FA" w:rsidRDefault="00FA06B2" w:rsidP="005229E5">
      <w:pPr>
        <w:pStyle w:val="ListParagraph"/>
        <w:numPr>
          <w:ilvl w:val="0"/>
          <w:numId w:val="25"/>
        </w:numPr>
        <w:tabs>
          <w:tab w:val="left" w:pos="1260"/>
        </w:tabs>
        <w:rPr>
          <w:rFonts w:ascii="Times New Roman" w:hAnsi="Times New Roman" w:cs="Times New Roman"/>
        </w:rPr>
      </w:pPr>
      <w:r w:rsidRPr="00A155FA">
        <w:rPr>
          <w:rFonts w:ascii="Times New Roman" w:hAnsi="Times New Roman" w:cs="Times New Roman"/>
          <w:b/>
          <w:bCs/>
        </w:rPr>
        <w:t>272 (coronoid teeth):</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1. Clack &amp; Milner (2010:285) noted the coronoids are covered with denticles.</w:t>
      </w:r>
    </w:p>
    <w:p w14:paraId="48087555"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r w:rsidRPr="00A155FA">
        <w:rPr>
          <w:rFonts w:ascii="Times New Roman" w:hAnsi="Times New Roman" w:cs="Times New Roman"/>
          <w:b/>
          <w:bCs/>
          <w:i/>
          <w:iCs/>
        </w:rPr>
        <w:t>Doleserpeton annectens</w:t>
      </w:r>
    </w:p>
    <w:p w14:paraId="078A09A3" w14:textId="77777777" w:rsidR="00FA06B2" w:rsidRPr="00A155FA" w:rsidRDefault="00FA06B2" w:rsidP="005229E5">
      <w:pPr>
        <w:pStyle w:val="ListParagraph"/>
        <w:numPr>
          <w:ilvl w:val="0"/>
          <w:numId w:val="26"/>
        </w:numPr>
        <w:tabs>
          <w:tab w:val="left" w:pos="1260"/>
        </w:tabs>
        <w:rPr>
          <w:rFonts w:ascii="Times New Roman" w:hAnsi="Times New Roman" w:cs="Times New Roman"/>
        </w:rPr>
      </w:pPr>
      <w:r w:rsidRPr="00A155FA">
        <w:rPr>
          <w:rFonts w:ascii="Times New Roman" w:hAnsi="Times New Roman" w:cs="Times New Roman"/>
          <w:b/>
          <w:bCs/>
        </w:rPr>
        <w:t xml:space="preserve">148 (anterior, middle coronoid teeth):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noted by Sigurdsen &amp; Bolt (2010:1366), “the presence of an anterior coronoid is uncertain.”</w:t>
      </w:r>
    </w:p>
    <w:p w14:paraId="55A057D4" w14:textId="77777777" w:rsidR="00FA06B2" w:rsidRPr="00A155FA" w:rsidRDefault="00FA06B2" w:rsidP="005229E5">
      <w:pPr>
        <w:pStyle w:val="ListParagraph"/>
        <w:numPr>
          <w:ilvl w:val="0"/>
          <w:numId w:val="26"/>
        </w:numPr>
        <w:tabs>
          <w:tab w:val="left" w:pos="1260"/>
        </w:tabs>
        <w:rPr>
          <w:rFonts w:ascii="Times New Roman" w:hAnsi="Times New Roman" w:cs="Times New Roman"/>
        </w:rPr>
      </w:pPr>
      <w:r w:rsidRPr="00A155FA">
        <w:rPr>
          <w:rFonts w:ascii="Times New Roman" w:hAnsi="Times New Roman" w:cs="Times New Roman"/>
          <w:b/>
          <w:bCs/>
        </w:rPr>
        <w:t>271 (number of coronoids):</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0/1. As with character 148; at least two coronoids have been identified.</w:t>
      </w:r>
    </w:p>
    <w:p w14:paraId="035640E7" w14:textId="77777777" w:rsidR="00FA06B2" w:rsidRPr="00A155FA" w:rsidRDefault="00FA06B2" w:rsidP="005229E5">
      <w:pPr>
        <w:pStyle w:val="ListParagraph"/>
        <w:numPr>
          <w:ilvl w:val="0"/>
          <w:numId w:val="26"/>
        </w:numPr>
        <w:tabs>
          <w:tab w:val="left" w:pos="1260"/>
        </w:tabs>
        <w:rPr>
          <w:rFonts w:ascii="Times New Roman" w:hAnsi="Times New Roman" w:cs="Times New Roman"/>
        </w:rPr>
      </w:pPr>
      <w:r w:rsidRPr="00A155FA">
        <w:rPr>
          <w:rFonts w:ascii="Times New Roman" w:hAnsi="Times New Roman" w:cs="Times New Roman"/>
          <w:b/>
          <w:bCs/>
        </w:rPr>
        <w:t xml:space="preserve">346 (ectopterygoid):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 As noted by Schoch (2019a:148), whether an ectopterygoid is lost or merely very reduced in </w:t>
      </w:r>
      <w:r w:rsidRPr="00A155FA">
        <w:rPr>
          <w:rFonts w:ascii="Times New Roman" w:hAnsi="Times New Roman" w:cs="Times New Roman"/>
          <w:i/>
          <w:iCs/>
        </w:rPr>
        <w:t xml:space="preserve">D. annectens </w:t>
      </w:r>
      <w:r w:rsidRPr="00A155FA">
        <w:rPr>
          <w:rFonts w:ascii="Times New Roman" w:hAnsi="Times New Roman" w:cs="Times New Roman"/>
        </w:rPr>
        <w:t xml:space="preserve">is uncertain; the small size of specimens and any possible ectopterygoid greatly complicates this. The most recent study of </w:t>
      </w:r>
      <w:r w:rsidRPr="00A155FA">
        <w:rPr>
          <w:rFonts w:ascii="Times New Roman" w:hAnsi="Times New Roman" w:cs="Times New Roman"/>
          <w:i/>
          <w:iCs/>
        </w:rPr>
        <w:t xml:space="preserve">D. annectens </w:t>
      </w:r>
      <w:r w:rsidRPr="00A155FA">
        <w:rPr>
          <w:rFonts w:ascii="Times New Roman" w:hAnsi="Times New Roman" w:cs="Times New Roman"/>
        </w:rPr>
        <w:t>(Sigurdsen &amp; Bolt, 2010:1365) state that “the ectopterygoid is either absent or greatly reduced.” To be conservative, this code is changed to unknown. Associated coding changes (88–133):</w:t>
      </w:r>
    </w:p>
    <w:p w14:paraId="1F048C13" w14:textId="77777777" w:rsidR="00FA06B2" w:rsidRPr="00A155FA" w:rsidRDefault="00FA06B2" w:rsidP="007A0A6B">
      <w:pPr>
        <w:pStyle w:val="ListParagraph"/>
        <w:numPr>
          <w:ilvl w:val="2"/>
          <w:numId w:val="26"/>
        </w:numPr>
        <w:tabs>
          <w:tab w:val="left" w:pos="1260"/>
        </w:tabs>
        <w:rPr>
          <w:rFonts w:ascii="Times New Roman" w:hAnsi="Times New Roman" w:cs="Times New Roman"/>
        </w:rPr>
      </w:pPr>
      <w:r w:rsidRPr="00A155FA">
        <w:rPr>
          <w:rFonts w:ascii="Times New Roman" w:hAnsi="Times New Roman" w:cs="Times New Roman"/>
          <w:b/>
          <w:bCs/>
        </w:rPr>
        <w:t xml:space="preserve">88 (ectopterygoid, fangs):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w:t>
      </w:r>
    </w:p>
    <w:p w14:paraId="0C7E8A8D" w14:textId="77777777" w:rsidR="00FA06B2" w:rsidRPr="00A155FA" w:rsidRDefault="00FA06B2" w:rsidP="007A0A6B">
      <w:pPr>
        <w:pStyle w:val="ListParagraph"/>
        <w:numPr>
          <w:ilvl w:val="2"/>
          <w:numId w:val="26"/>
        </w:numPr>
        <w:tabs>
          <w:tab w:val="left" w:pos="1260"/>
        </w:tabs>
        <w:rPr>
          <w:rFonts w:ascii="Times New Roman" w:hAnsi="Times New Roman" w:cs="Times New Roman"/>
        </w:rPr>
      </w:pPr>
      <w:r w:rsidRPr="00A155FA">
        <w:rPr>
          <w:rFonts w:ascii="Times New Roman" w:hAnsi="Times New Roman" w:cs="Times New Roman"/>
          <w:b/>
          <w:bCs/>
        </w:rPr>
        <w:t xml:space="preserve">124 (pterygoid-palatine-ectopterygoid):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w:t>
      </w:r>
    </w:p>
    <w:p w14:paraId="6D95E7EF" w14:textId="77777777" w:rsidR="00FA06B2" w:rsidRPr="00A155FA" w:rsidRDefault="00FA06B2" w:rsidP="007A0A6B">
      <w:pPr>
        <w:pStyle w:val="ListParagraph"/>
        <w:numPr>
          <w:ilvl w:val="2"/>
          <w:numId w:val="26"/>
        </w:numPr>
        <w:tabs>
          <w:tab w:val="left" w:pos="1260"/>
        </w:tabs>
        <w:rPr>
          <w:rFonts w:ascii="Times New Roman" w:hAnsi="Times New Roman" w:cs="Times New Roman"/>
        </w:rPr>
      </w:pPr>
      <w:r w:rsidRPr="00A155FA">
        <w:rPr>
          <w:rFonts w:ascii="Times New Roman" w:hAnsi="Times New Roman" w:cs="Times New Roman"/>
          <w:b/>
          <w:bCs/>
        </w:rPr>
        <w:t>125 (palatine, ectopterygoid):</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w:t>
      </w:r>
    </w:p>
    <w:p w14:paraId="2AEFBC2E" w14:textId="77777777" w:rsidR="00FA06B2" w:rsidRPr="00A155FA" w:rsidRDefault="00FA06B2" w:rsidP="007A0A6B">
      <w:pPr>
        <w:pStyle w:val="ListParagraph"/>
        <w:numPr>
          <w:ilvl w:val="2"/>
          <w:numId w:val="26"/>
        </w:numPr>
        <w:tabs>
          <w:tab w:val="left" w:pos="1260"/>
        </w:tabs>
        <w:rPr>
          <w:rFonts w:ascii="Times New Roman" w:hAnsi="Times New Roman" w:cs="Times New Roman"/>
        </w:rPr>
      </w:pPr>
      <w:r w:rsidRPr="00A155FA">
        <w:rPr>
          <w:rFonts w:ascii="Times New Roman" w:hAnsi="Times New Roman" w:cs="Times New Roman"/>
          <w:b/>
          <w:bCs/>
        </w:rPr>
        <w:t>128 (palatine, ectopterygoid (ontogeny)):</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w:t>
      </w:r>
    </w:p>
    <w:p w14:paraId="4A12EA08" w14:textId="77777777" w:rsidR="00FA06B2" w:rsidRPr="00A155FA" w:rsidRDefault="00FA06B2" w:rsidP="007A0A6B">
      <w:pPr>
        <w:pStyle w:val="ListParagraph"/>
        <w:numPr>
          <w:ilvl w:val="2"/>
          <w:numId w:val="26"/>
        </w:numPr>
        <w:tabs>
          <w:tab w:val="left" w:pos="1260"/>
        </w:tabs>
        <w:rPr>
          <w:rFonts w:ascii="Times New Roman" w:hAnsi="Times New Roman" w:cs="Times New Roman"/>
        </w:rPr>
      </w:pPr>
      <w:r w:rsidRPr="00A155FA">
        <w:rPr>
          <w:rFonts w:ascii="Times New Roman" w:hAnsi="Times New Roman" w:cs="Times New Roman"/>
          <w:b/>
          <w:bCs/>
        </w:rPr>
        <w:t xml:space="preserve">129 (palatine, ectopterygoid (width)):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w:t>
      </w:r>
    </w:p>
    <w:p w14:paraId="52A90D05" w14:textId="77777777" w:rsidR="00FA06B2" w:rsidRPr="00A155FA" w:rsidRDefault="00FA06B2" w:rsidP="007A0A6B">
      <w:pPr>
        <w:pStyle w:val="ListParagraph"/>
        <w:numPr>
          <w:ilvl w:val="2"/>
          <w:numId w:val="26"/>
        </w:numPr>
        <w:tabs>
          <w:tab w:val="left" w:pos="1260"/>
        </w:tabs>
        <w:rPr>
          <w:rFonts w:ascii="Times New Roman" w:hAnsi="Times New Roman" w:cs="Times New Roman"/>
        </w:rPr>
      </w:pPr>
      <w:r w:rsidRPr="00A155FA">
        <w:rPr>
          <w:rFonts w:ascii="Times New Roman" w:hAnsi="Times New Roman" w:cs="Times New Roman"/>
          <w:b/>
          <w:bCs/>
        </w:rPr>
        <w:t xml:space="preserve">130 (palatine, ectopterygoid (continuous tooth row)):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w:t>
      </w:r>
    </w:p>
    <w:p w14:paraId="3A656A09" w14:textId="77777777" w:rsidR="00FA06B2" w:rsidRPr="00A155FA" w:rsidRDefault="00FA06B2" w:rsidP="007A0A6B">
      <w:pPr>
        <w:pStyle w:val="ListParagraph"/>
        <w:numPr>
          <w:ilvl w:val="2"/>
          <w:numId w:val="26"/>
        </w:numPr>
        <w:tabs>
          <w:tab w:val="left" w:pos="1260"/>
        </w:tabs>
        <w:rPr>
          <w:rFonts w:ascii="Times New Roman" w:hAnsi="Times New Roman" w:cs="Times New Roman"/>
        </w:rPr>
      </w:pPr>
      <w:r w:rsidRPr="00A155FA">
        <w:rPr>
          <w:rFonts w:ascii="Times New Roman" w:hAnsi="Times New Roman" w:cs="Times New Roman"/>
          <w:b/>
          <w:bCs/>
        </w:rPr>
        <w:t xml:space="preserve">131 (ectopterygoid (length)):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w:t>
      </w:r>
    </w:p>
    <w:p w14:paraId="5FA1A05A" w14:textId="77777777" w:rsidR="00FA06B2" w:rsidRPr="00A155FA" w:rsidRDefault="00FA06B2" w:rsidP="007A0A6B">
      <w:pPr>
        <w:pStyle w:val="ListParagraph"/>
        <w:numPr>
          <w:ilvl w:val="2"/>
          <w:numId w:val="26"/>
        </w:numPr>
        <w:tabs>
          <w:tab w:val="left" w:pos="1260"/>
        </w:tabs>
        <w:rPr>
          <w:rFonts w:ascii="Times New Roman" w:hAnsi="Times New Roman" w:cs="Times New Roman"/>
        </w:rPr>
      </w:pPr>
      <w:r w:rsidRPr="00A155FA">
        <w:rPr>
          <w:rFonts w:ascii="Times New Roman" w:hAnsi="Times New Roman" w:cs="Times New Roman"/>
          <w:b/>
          <w:bCs/>
        </w:rPr>
        <w:t xml:space="preserve">133 (ectopterygoid (Y-shaped)):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w:t>
      </w:r>
    </w:p>
    <w:p w14:paraId="569188AA" w14:textId="77777777" w:rsidR="00FA06B2" w:rsidRPr="00A155FA" w:rsidRDefault="00FA06B2" w:rsidP="005229E5">
      <w:pPr>
        <w:pStyle w:val="ListParagraph"/>
        <w:numPr>
          <w:ilvl w:val="0"/>
          <w:numId w:val="26"/>
        </w:numPr>
        <w:tabs>
          <w:tab w:val="left" w:pos="1260"/>
        </w:tabs>
        <w:rPr>
          <w:rFonts w:ascii="Times New Roman" w:hAnsi="Times New Roman" w:cs="Times New Roman"/>
        </w:rPr>
      </w:pPr>
      <w:r w:rsidRPr="00A155FA">
        <w:rPr>
          <w:rFonts w:ascii="Times New Roman" w:hAnsi="Times New Roman" w:cs="Times New Roman"/>
          <w:b/>
          <w:bCs/>
        </w:rPr>
        <w:t>143 (hamate process):</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The lower jaws of this taxon are very poorly known because of the frequent disarticulation of material, which is further complicated by the presence of several amphibamiforms at the type locality. Previous workers have barely described or figured any part of the lower jaw (e.g., Bolt, 1969:889; Bolt, 1977; Sigurdsen &amp; Bolt, 2010:1366, fig. 3C). The character is uncoded here.</w:t>
      </w:r>
    </w:p>
    <w:p w14:paraId="2834D825" w14:textId="77777777" w:rsidR="00FA06B2" w:rsidRPr="00A155FA" w:rsidRDefault="00FA06B2" w:rsidP="005229E5">
      <w:pPr>
        <w:pStyle w:val="ListParagraph"/>
        <w:numPr>
          <w:ilvl w:val="0"/>
          <w:numId w:val="26"/>
        </w:numPr>
        <w:tabs>
          <w:tab w:val="left" w:pos="1260"/>
        </w:tabs>
        <w:rPr>
          <w:rFonts w:ascii="Times New Roman" w:hAnsi="Times New Roman" w:cs="Times New Roman"/>
        </w:rPr>
      </w:pPr>
      <w:r w:rsidRPr="00A155FA">
        <w:rPr>
          <w:rFonts w:ascii="Times New Roman" w:hAnsi="Times New Roman" w:cs="Times New Roman"/>
          <w:b/>
          <w:bCs/>
        </w:rPr>
        <w:t>156 (</w:t>
      </w:r>
      <w:proofErr w:type="spellStart"/>
      <w:r w:rsidRPr="00A155FA">
        <w:rPr>
          <w:rFonts w:ascii="Times New Roman" w:hAnsi="Times New Roman" w:cs="Times New Roman"/>
          <w:b/>
          <w:bCs/>
        </w:rPr>
        <w:t>hypobranchials</w:t>
      </w:r>
      <w:proofErr w:type="spellEnd"/>
      <w:r w:rsidRPr="00A155FA">
        <w:rPr>
          <w:rFonts w:ascii="Times New Roman" w:hAnsi="Times New Roman" w:cs="Times New Roman"/>
          <w:b/>
          <w:bCs/>
        </w:rPr>
        <w:t xml:space="preserve">):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Witzmann’s (2013:153) review of the hyobranchial apparatus cited Sigurdsen &amp; Bolt (2010) for evidence of ossified </w:t>
      </w:r>
      <w:proofErr w:type="spellStart"/>
      <w:r w:rsidRPr="00A155FA">
        <w:rPr>
          <w:rFonts w:ascii="Times New Roman" w:hAnsi="Times New Roman" w:cs="Times New Roman"/>
        </w:rPr>
        <w:t>hypobranchials</w:t>
      </w:r>
      <w:proofErr w:type="spellEnd"/>
      <w:r w:rsidRPr="00A155FA">
        <w:rPr>
          <w:rFonts w:ascii="Times New Roman" w:hAnsi="Times New Roman" w:cs="Times New Roman"/>
        </w:rPr>
        <w:t xml:space="preserve">. </w:t>
      </w:r>
    </w:p>
    <w:p w14:paraId="0E54DCFC" w14:textId="77777777" w:rsidR="00FA06B2" w:rsidRPr="00A155FA" w:rsidRDefault="00FA06B2" w:rsidP="005229E5">
      <w:pPr>
        <w:pStyle w:val="ListParagraph"/>
        <w:numPr>
          <w:ilvl w:val="0"/>
          <w:numId w:val="26"/>
        </w:numPr>
        <w:tabs>
          <w:tab w:val="left" w:pos="1260"/>
        </w:tabs>
        <w:rPr>
          <w:rFonts w:ascii="Times New Roman" w:hAnsi="Times New Roman" w:cs="Times New Roman"/>
        </w:rPr>
      </w:pPr>
      <w:r w:rsidRPr="00A155FA">
        <w:rPr>
          <w:rFonts w:ascii="Times New Roman" w:hAnsi="Times New Roman" w:cs="Times New Roman"/>
          <w:b/>
          <w:bCs/>
        </w:rPr>
        <w:t xml:space="preserve">252 (denticles on palatine):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This taxon has neither a pair of fangs nor any denticles; Sigurdsen &amp; Bolt (2010:1365) stated that “a shagreen of denticles covers the vomers, the lateral shelf of the pterygoids, and a diamond-shaped field at the base of the cultriform process of the parasphenoid” without mention of the palatines. </w:t>
      </w:r>
    </w:p>
    <w:p w14:paraId="68AE6558" w14:textId="77777777" w:rsidR="00FA06B2" w:rsidRPr="00A155FA" w:rsidRDefault="00FA06B2" w:rsidP="00A30351">
      <w:pPr>
        <w:pStyle w:val="ListParagraph"/>
        <w:numPr>
          <w:ilvl w:val="0"/>
          <w:numId w:val="26"/>
        </w:numPr>
        <w:tabs>
          <w:tab w:val="left" w:pos="1260"/>
        </w:tabs>
        <w:rPr>
          <w:rFonts w:ascii="Times New Roman" w:hAnsi="Times New Roman" w:cs="Times New Roman"/>
        </w:rPr>
      </w:pPr>
      <w:r w:rsidRPr="00A155FA">
        <w:rPr>
          <w:rFonts w:ascii="Times New Roman" w:hAnsi="Times New Roman" w:cs="Times New Roman"/>
          <w:b/>
          <w:bCs/>
        </w:rPr>
        <w:t xml:space="preserve">266 (number of Meckelian fossae):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0/1. Sigurdsen &amp; Bolt (2010:1366) only described the posteriorly situated large opening; there is no reference to additional qualifying openings, but their figures are insufficient to determine whether smaller foramina might be present anteriorly within the postsplenial or splenial. </w:t>
      </w:r>
    </w:p>
    <w:p w14:paraId="1FDC8D33" w14:textId="77777777" w:rsidR="00FA06B2" w:rsidRPr="00A155FA" w:rsidRDefault="00FA06B2" w:rsidP="005229E5">
      <w:pPr>
        <w:pStyle w:val="ListParagraph"/>
        <w:numPr>
          <w:ilvl w:val="0"/>
          <w:numId w:val="62"/>
        </w:numPr>
        <w:tabs>
          <w:tab w:val="left" w:pos="1260"/>
        </w:tabs>
        <w:rPr>
          <w:rFonts w:ascii="Times New Roman" w:hAnsi="Times New Roman" w:cs="Times New Roman"/>
        </w:rPr>
      </w:pPr>
      <w:r w:rsidRPr="00A155FA">
        <w:rPr>
          <w:rFonts w:ascii="Times New Roman" w:hAnsi="Times New Roman" w:cs="Times New Roman"/>
          <w:b/>
          <w:bCs/>
          <w:i/>
          <w:iCs/>
        </w:rPr>
        <w:t>Amphibamus grandiceps</w:t>
      </w:r>
    </w:p>
    <w:p w14:paraId="01C4A50A" w14:textId="77777777" w:rsidR="00FA06B2" w:rsidRPr="00A155FA" w:rsidRDefault="00FA06B2" w:rsidP="005229E5">
      <w:pPr>
        <w:pStyle w:val="ListParagraph"/>
        <w:numPr>
          <w:ilvl w:val="0"/>
          <w:numId w:val="27"/>
        </w:numPr>
        <w:tabs>
          <w:tab w:val="left" w:pos="1260"/>
        </w:tabs>
        <w:rPr>
          <w:rFonts w:ascii="Times New Roman" w:hAnsi="Times New Roman" w:cs="Times New Roman"/>
        </w:rPr>
      </w:pPr>
      <w:r w:rsidRPr="00A155FA">
        <w:rPr>
          <w:rFonts w:ascii="Times New Roman" w:hAnsi="Times New Roman" w:cs="Times New Roman"/>
          <w:b/>
          <w:bCs/>
        </w:rPr>
        <w:t>143 (hamate process):</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The lower jaws of this taxon are very poorly known because of the typical articulation with the skull and the overall </w:t>
      </w:r>
      <w:r w:rsidRPr="00A155FA">
        <w:rPr>
          <w:rFonts w:ascii="Times New Roman" w:hAnsi="Times New Roman" w:cs="Times New Roman"/>
        </w:rPr>
        <w:lastRenderedPageBreak/>
        <w:t xml:space="preserve">compression of </w:t>
      </w:r>
      <w:proofErr w:type="spellStart"/>
      <w:r w:rsidRPr="00A155FA">
        <w:rPr>
          <w:rFonts w:ascii="Times New Roman" w:hAnsi="Times New Roman" w:cs="Times New Roman"/>
        </w:rPr>
        <w:t>Mazon</w:t>
      </w:r>
      <w:proofErr w:type="spellEnd"/>
      <w:r w:rsidRPr="00A155FA">
        <w:rPr>
          <w:rFonts w:ascii="Times New Roman" w:hAnsi="Times New Roman" w:cs="Times New Roman"/>
        </w:rPr>
        <w:t xml:space="preserve"> Creek specimens. Previous workers have barely described or figured any part of the lower jaw (e.g., Carroll, 1964:232–233, fig. 22; Bolt, 1979; Milner, 1982; Daly, 1994). The character is uncoded here.</w:t>
      </w:r>
    </w:p>
    <w:p w14:paraId="6FFC23CE" w14:textId="77777777" w:rsidR="00FA06B2" w:rsidRPr="00A155FA" w:rsidRDefault="00FA06B2" w:rsidP="005229E5">
      <w:pPr>
        <w:pStyle w:val="ListParagraph"/>
        <w:numPr>
          <w:ilvl w:val="0"/>
          <w:numId w:val="27"/>
        </w:numPr>
        <w:tabs>
          <w:tab w:val="left" w:pos="1260"/>
        </w:tabs>
        <w:rPr>
          <w:rFonts w:ascii="Times New Roman" w:hAnsi="Times New Roman" w:cs="Times New Roman"/>
        </w:rPr>
      </w:pPr>
      <w:r w:rsidRPr="00A155FA">
        <w:rPr>
          <w:rFonts w:ascii="Times New Roman" w:hAnsi="Times New Roman" w:cs="Times New Roman"/>
          <w:b/>
          <w:bCs/>
        </w:rPr>
        <w:t>317 (zygokrotaphy):</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As with character 42 regarding documentation of the skull roof configuration.</w:t>
      </w:r>
    </w:p>
    <w:p w14:paraId="36F6985D"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r w:rsidRPr="00A155FA">
        <w:rPr>
          <w:rFonts w:ascii="Times New Roman" w:hAnsi="Times New Roman" w:cs="Times New Roman"/>
          <w:b/>
          <w:bCs/>
          <w:i/>
          <w:iCs/>
        </w:rPr>
        <w:t>Gerobatrachus hottoni</w:t>
      </w:r>
    </w:p>
    <w:p w14:paraId="2D400260" w14:textId="40314F19" w:rsidR="00FA06B2" w:rsidRPr="00A155FA" w:rsidRDefault="00FA06B2" w:rsidP="005229E5">
      <w:pPr>
        <w:pStyle w:val="ListParagraph"/>
        <w:numPr>
          <w:ilvl w:val="0"/>
          <w:numId w:val="28"/>
        </w:numPr>
        <w:tabs>
          <w:tab w:val="left" w:pos="1260"/>
        </w:tabs>
        <w:rPr>
          <w:rFonts w:ascii="Times New Roman" w:hAnsi="Times New Roman" w:cs="Times New Roman"/>
        </w:rPr>
      </w:pPr>
      <w:r w:rsidRPr="00A155FA">
        <w:rPr>
          <w:rFonts w:ascii="Times New Roman" w:hAnsi="Times New Roman" w:cs="Times New Roman"/>
          <w:b/>
          <w:bCs/>
        </w:rPr>
        <w:t xml:space="preserve">3 (ornament, elements):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The only known specimen is only exposed ventrally (Anderson et al., 2008</w:t>
      </w:r>
      <w:r w:rsidR="002639C2">
        <w:rPr>
          <w:rFonts w:ascii="Times New Roman" w:hAnsi="Times New Roman" w:cs="Times New Roman"/>
        </w:rPr>
        <w:t>b</w:t>
      </w:r>
      <w:r w:rsidRPr="00A155FA">
        <w:rPr>
          <w:rFonts w:ascii="Times New Roman" w:hAnsi="Times New Roman" w:cs="Times New Roman"/>
        </w:rPr>
        <w:t>:515).</w:t>
      </w:r>
    </w:p>
    <w:p w14:paraId="0BA7E782" w14:textId="77777777" w:rsidR="00FA06B2" w:rsidRPr="00A155FA" w:rsidRDefault="00FA06B2" w:rsidP="005229E5">
      <w:pPr>
        <w:pStyle w:val="ListParagraph"/>
        <w:numPr>
          <w:ilvl w:val="0"/>
          <w:numId w:val="28"/>
        </w:numPr>
        <w:tabs>
          <w:tab w:val="left" w:pos="1260"/>
        </w:tabs>
        <w:rPr>
          <w:rFonts w:ascii="Times New Roman" w:hAnsi="Times New Roman" w:cs="Times New Roman"/>
        </w:rPr>
      </w:pPr>
      <w:r w:rsidRPr="00A155FA">
        <w:rPr>
          <w:rFonts w:ascii="Times New Roman" w:hAnsi="Times New Roman" w:cs="Times New Roman"/>
          <w:b/>
          <w:bCs/>
        </w:rPr>
        <w:t>4 (ornament, snout):</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3.</w:t>
      </w:r>
    </w:p>
    <w:p w14:paraId="43691668" w14:textId="77777777" w:rsidR="00FA06B2" w:rsidRPr="00A155FA" w:rsidRDefault="00FA06B2" w:rsidP="005229E5">
      <w:pPr>
        <w:pStyle w:val="ListParagraph"/>
        <w:numPr>
          <w:ilvl w:val="0"/>
          <w:numId w:val="28"/>
        </w:numPr>
        <w:tabs>
          <w:tab w:val="left" w:pos="1260"/>
        </w:tabs>
        <w:rPr>
          <w:rFonts w:ascii="Times New Roman" w:hAnsi="Times New Roman" w:cs="Times New Roman"/>
        </w:rPr>
      </w:pPr>
      <w:r w:rsidRPr="00A155FA">
        <w:rPr>
          <w:rFonts w:ascii="Times New Roman" w:hAnsi="Times New Roman" w:cs="Times New Roman"/>
          <w:b/>
          <w:bCs/>
        </w:rPr>
        <w:t>5 (ornament, general):</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3.</w:t>
      </w:r>
    </w:p>
    <w:p w14:paraId="318D65C1" w14:textId="77777777" w:rsidR="00FA06B2" w:rsidRPr="00A155FA" w:rsidRDefault="00FA06B2" w:rsidP="005229E5">
      <w:pPr>
        <w:pStyle w:val="ListParagraph"/>
        <w:numPr>
          <w:ilvl w:val="0"/>
          <w:numId w:val="28"/>
        </w:numPr>
        <w:tabs>
          <w:tab w:val="left" w:pos="1260"/>
        </w:tabs>
        <w:rPr>
          <w:rFonts w:ascii="Times New Roman" w:hAnsi="Times New Roman" w:cs="Times New Roman"/>
        </w:rPr>
      </w:pPr>
      <w:r w:rsidRPr="00A155FA">
        <w:rPr>
          <w:rFonts w:ascii="Times New Roman" w:hAnsi="Times New Roman" w:cs="Times New Roman"/>
          <w:b/>
          <w:bCs/>
        </w:rPr>
        <w:t>6 (ornament, intensive growth):</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3.</w:t>
      </w:r>
    </w:p>
    <w:p w14:paraId="18856C04" w14:textId="77777777" w:rsidR="00FA06B2" w:rsidRPr="00A155FA" w:rsidRDefault="00FA06B2" w:rsidP="005229E5">
      <w:pPr>
        <w:pStyle w:val="ListParagraph"/>
        <w:numPr>
          <w:ilvl w:val="0"/>
          <w:numId w:val="28"/>
        </w:numPr>
        <w:tabs>
          <w:tab w:val="left" w:pos="1260"/>
        </w:tabs>
        <w:rPr>
          <w:rFonts w:ascii="Times New Roman" w:hAnsi="Times New Roman" w:cs="Times New Roman"/>
        </w:rPr>
      </w:pPr>
      <w:r w:rsidRPr="00A155FA">
        <w:rPr>
          <w:rFonts w:ascii="Times New Roman" w:hAnsi="Times New Roman" w:cs="Times New Roman"/>
          <w:b/>
          <w:bCs/>
        </w:rPr>
        <w:t>7 (ornament, preorbital):</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3.</w:t>
      </w:r>
    </w:p>
    <w:p w14:paraId="518D9331" w14:textId="04FA2EC7" w:rsidR="00FA06B2" w:rsidRPr="00A155FA" w:rsidRDefault="00FA06B2" w:rsidP="005229E5">
      <w:pPr>
        <w:pStyle w:val="ListParagraph"/>
        <w:numPr>
          <w:ilvl w:val="0"/>
          <w:numId w:val="28"/>
        </w:numPr>
        <w:tabs>
          <w:tab w:val="left" w:pos="1260"/>
        </w:tabs>
        <w:rPr>
          <w:rFonts w:ascii="Times New Roman" w:hAnsi="Times New Roman" w:cs="Times New Roman"/>
        </w:rPr>
      </w:pPr>
      <w:r w:rsidRPr="00A155FA">
        <w:rPr>
          <w:rFonts w:ascii="Times New Roman" w:hAnsi="Times New Roman" w:cs="Times New Roman"/>
          <w:b/>
          <w:bCs/>
        </w:rPr>
        <w:t xml:space="preserve">24 (lacrimal, posterior extension):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The posterior terminus of the lacrimal and the lateral margins of the orbit are not preserved (Anderson et al., 2008</w:t>
      </w:r>
      <w:r w:rsidR="002639C2">
        <w:rPr>
          <w:rFonts w:ascii="Times New Roman" w:hAnsi="Times New Roman" w:cs="Times New Roman"/>
        </w:rPr>
        <w:t>b</w:t>
      </w:r>
      <w:r w:rsidRPr="00A155FA">
        <w:rPr>
          <w:rFonts w:ascii="Times New Roman" w:hAnsi="Times New Roman" w:cs="Times New Roman"/>
        </w:rPr>
        <w:t>:fig. 2).</w:t>
      </w:r>
    </w:p>
    <w:p w14:paraId="3F54B26A" w14:textId="77777777" w:rsidR="00FA06B2" w:rsidRPr="00A155FA" w:rsidRDefault="00FA06B2" w:rsidP="005229E5">
      <w:pPr>
        <w:pStyle w:val="ListParagraph"/>
        <w:numPr>
          <w:ilvl w:val="0"/>
          <w:numId w:val="28"/>
        </w:numPr>
        <w:tabs>
          <w:tab w:val="left" w:pos="1260"/>
        </w:tabs>
        <w:rPr>
          <w:rFonts w:ascii="Times New Roman" w:hAnsi="Times New Roman" w:cs="Times New Roman"/>
        </w:rPr>
      </w:pPr>
      <w:r w:rsidRPr="00A155FA">
        <w:rPr>
          <w:rFonts w:ascii="Times New Roman" w:hAnsi="Times New Roman" w:cs="Times New Roman"/>
          <w:b/>
          <w:bCs/>
        </w:rPr>
        <w:t>27 (orbit margins):</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 As with character 3.</w:t>
      </w:r>
    </w:p>
    <w:p w14:paraId="2F4D70C3" w14:textId="77777777" w:rsidR="00FA06B2" w:rsidRPr="00A155FA" w:rsidRDefault="00FA06B2" w:rsidP="005229E5">
      <w:pPr>
        <w:pStyle w:val="ListParagraph"/>
        <w:numPr>
          <w:ilvl w:val="0"/>
          <w:numId w:val="28"/>
        </w:numPr>
        <w:tabs>
          <w:tab w:val="left" w:pos="1260"/>
        </w:tabs>
        <w:rPr>
          <w:rFonts w:ascii="Times New Roman" w:hAnsi="Times New Roman" w:cs="Times New Roman"/>
        </w:rPr>
      </w:pPr>
      <w:r w:rsidRPr="00A155FA">
        <w:rPr>
          <w:rFonts w:ascii="Times New Roman" w:hAnsi="Times New Roman" w:cs="Times New Roman"/>
          <w:b/>
          <w:bCs/>
        </w:rPr>
        <w:t xml:space="preserve">39 (prefrontal-frontal):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1. The prefrontal’s anterior margin is sufficiently defined to code this character (as with character 40, which was originally coded).</w:t>
      </w:r>
    </w:p>
    <w:p w14:paraId="48EBC407" w14:textId="5D2E4581" w:rsidR="00FA06B2" w:rsidRPr="00A155FA" w:rsidRDefault="00FA06B2" w:rsidP="005229E5">
      <w:pPr>
        <w:pStyle w:val="ListParagraph"/>
        <w:numPr>
          <w:ilvl w:val="0"/>
          <w:numId w:val="28"/>
        </w:numPr>
        <w:tabs>
          <w:tab w:val="left" w:pos="1260"/>
        </w:tabs>
        <w:rPr>
          <w:rFonts w:ascii="Times New Roman" w:hAnsi="Times New Roman" w:cs="Times New Roman"/>
        </w:rPr>
      </w:pPr>
      <w:r w:rsidRPr="00A155FA">
        <w:rPr>
          <w:rFonts w:ascii="Times New Roman" w:hAnsi="Times New Roman" w:cs="Times New Roman"/>
          <w:b/>
          <w:bCs/>
        </w:rPr>
        <w:t>47 (postorbital, shape):</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 The posterior end of the postorbital is unknown (Anderson et al., 2008</w:t>
      </w:r>
      <w:r w:rsidR="002639C2">
        <w:rPr>
          <w:rFonts w:ascii="Times New Roman" w:hAnsi="Times New Roman" w:cs="Times New Roman"/>
        </w:rPr>
        <w:t>b</w:t>
      </w:r>
      <w:r w:rsidRPr="00A155FA">
        <w:rPr>
          <w:rFonts w:ascii="Times New Roman" w:hAnsi="Times New Roman" w:cs="Times New Roman"/>
        </w:rPr>
        <w:t>:fig. 2).</w:t>
      </w:r>
    </w:p>
    <w:p w14:paraId="17CC1C8F" w14:textId="77777777" w:rsidR="00FA06B2" w:rsidRPr="00A155FA" w:rsidRDefault="00FA06B2" w:rsidP="005229E5">
      <w:pPr>
        <w:pStyle w:val="ListParagraph"/>
        <w:numPr>
          <w:ilvl w:val="0"/>
          <w:numId w:val="28"/>
        </w:numPr>
        <w:tabs>
          <w:tab w:val="left" w:pos="1260"/>
        </w:tabs>
        <w:rPr>
          <w:rFonts w:ascii="Times New Roman" w:hAnsi="Times New Roman" w:cs="Times New Roman"/>
        </w:rPr>
      </w:pPr>
      <w:r w:rsidRPr="00A155FA">
        <w:rPr>
          <w:rFonts w:ascii="Times New Roman" w:hAnsi="Times New Roman" w:cs="Times New Roman"/>
          <w:b/>
          <w:bCs/>
        </w:rPr>
        <w:t>48 (postorbital, end):</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47.</w:t>
      </w:r>
    </w:p>
    <w:p w14:paraId="0C704F87" w14:textId="77777777" w:rsidR="00FA06B2" w:rsidRPr="00A155FA" w:rsidRDefault="00FA06B2" w:rsidP="005229E5">
      <w:pPr>
        <w:pStyle w:val="ListParagraph"/>
        <w:numPr>
          <w:ilvl w:val="0"/>
          <w:numId w:val="28"/>
        </w:numPr>
        <w:tabs>
          <w:tab w:val="left" w:pos="1260"/>
        </w:tabs>
        <w:rPr>
          <w:rFonts w:ascii="Times New Roman" w:hAnsi="Times New Roman" w:cs="Times New Roman"/>
        </w:rPr>
      </w:pPr>
      <w:r w:rsidRPr="00A155FA">
        <w:rPr>
          <w:rFonts w:ascii="Times New Roman" w:hAnsi="Times New Roman" w:cs="Times New Roman"/>
          <w:b/>
          <w:bCs/>
        </w:rPr>
        <w:t>55 (supratympanic flange):</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3.</w:t>
      </w:r>
    </w:p>
    <w:p w14:paraId="4BA79CA6" w14:textId="49E84237" w:rsidR="00FA06B2" w:rsidRPr="00A155FA" w:rsidRDefault="00FA06B2" w:rsidP="005229E5">
      <w:pPr>
        <w:pStyle w:val="ListParagraph"/>
        <w:numPr>
          <w:ilvl w:val="0"/>
          <w:numId w:val="28"/>
        </w:numPr>
        <w:tabs>
          <w:tab w:val="left" w:pos="1260"/>
        </w:tabs>
        <w:rPr>
          <w:rFonts w:ascii="Times New Roman" w:hAnsi="Times New Roman" w:cs="Times New Roman"/>
        </w:rPr>
      </w:pPr>
      <w:r w:rsidRPr="00A155FA">
        <w:rPr>
          <w:rFonts w:ascii="Times New Roman" w:hAnsi="Times New Roman" w:cs="Times New Roman"/>
          <w:b/>
          <w:bCs/>
        </w:rPr>
        <w:t>58 (jugal, anterior extension):</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The lateral orbital margins are not defined (Anderson et al., 2008</w:t>
      </w:r>
      <w:r w:rsidR="002639C2">
        <w:rPr>
          <w:rFonts w:ascii="Times New Roman" w:hAnsi="Times New Roman" w:cs="Times New Roman"/>
        </w:rPr>
        <w:t>b</w:t>
      </w:r>
      <w:r w:rsidRPr="00A155FA">
        <w:rPr>
          <w:rFonts w:ascii="Times New Roman" w:hAnsi="Times New Roman" w:cs="Times New Roman"/>
        </w:rPr>
        <w:t>:fig. 2).</w:t>
      </w:r>
    </w:p>
    <w:p w14:paraId="78316564" w14:textId="70665A60" w:rsidR="00FA06B2" w:rsidRPr="00A155FA" w:rsidRDefault="00FA06B2" w:rsidP="005229E5">
      <w:pPr>
        <w:pStyle w:val="ListParagraph"/>
        <w:numPr>
          <w:ilvl w:val="0"/>
          <w:numId w:val="28"/>
        </w:numPr>
        <w:tabs>
          <w:tab w:val="left" w:pos="1260"/>
        </w:tabs>
        <w:rPr>
          <w:rFonts w:ascii="Times New Roman" w:hAnsi="Times New Roman" w:cs="Times New Roman"/>
        </w:rPr>
      </w:pPr>
      <w:r w:rsidRPr="00A155FA">
        <w:rPr>
          <w:rFonts w:ascii="Times New Roman" w:hAnsi="Times New Roman" w:cs="Times New Roman"/>
          <w:b/>
          <w:bCs/>
        </w:rPr>
        <w:t xml:space="preserve">73 (postparietal-exoccipital):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 The parabasisphenoid is barely preserved and only at the basicranial articulation, let alone posteriorly (Anderson et al., 2008</w:t>
      </w:r>
      <w:r w:rsidR="002639C2">
        <w:rPr>
          <w:rFonts w:ascii="Times New Roman" w:hAnsi="Times New Roman" w:cs="Times New Roman"/>
        </w:rPr>
        <w:t>b</w:t>
      </w:r>
      <w:r w:rsidRPr="00A155FA">
        <w:rPr>
          <w:rFonts w:ascii="Times New Roman" w:hAnsi="Times New Roman" w:cs="Times New Roman"/>
        </w:rPr>
        <w:t>:fig. 2), and there was no mention of the exoccipitals.</w:t>
      </w:r>
    </w:p>
    <w:p w14:paraId="1A0BAC69" w14:textId="77777777" w:rsidR="00FA06B2" w:rsidRPr="00A155FA" w:rsidRDefault="00FA06B2" w:rsidP="005229E5">
      <w:pPr>
        <w:pStyle w:val="ListParagraph"/>
        <w:numPr>
          <w:ilvl w:val="0"/>
          <w:numId w:val="28"/>
        </w:numPr>
        <w:tabs>
          <w:tab w:val="left" w:pos="1260"/>
        </w:tabs>
        <w:rPr>
          <w:rFonts w:ascii="Times New Roman" w:hAnsi="Times New Roman" w:cs="Times New Roman"/>
        </w:rPr>
      </w:pPr>
      <w:r w:rsidRPr="00A155FA">
        <w:rPr>
          <w:rFonts w:ascii="Times New Roman" w:hAnsi="Times New Roman" w:cs="Times New Roman"/>
          <w:b/>
          <w:bCs/>
        </w:rPr>
        <w:t>74 (</w:t>
      </w:r>
      <w:proofErr w:type="spellStart"/>
      <w:r w:rsidRPr="00A155FA">
        <w:rPr>
          <w:rFonts w:ascii="Times New Roman" w:hAnsi="Times New Roman" w:cs="Times New Roman"/>
          <w:b/>
          <w:bCs/>
        </w:rPr>
        <w:t>postfenestral</w:t>
      </w:r>
      <w:proofErr w:type="spellEnd"/>
      <w:r w:rsidRPr="00A155FA">
        <w:rPr>
          <w:rFonts w:ascii="Times New Roman" w:hAnsi="Times New Roman" w:cs="Times New Roman"/>
          <w:b/>
          <w:bCs/>
        </w:rPr>
        <w:t xml:space="preserve"> window):</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The occiput is not sufficiently preserved, and what part is preserved is too compressed to identify these openings.</w:t>
      </w:r>
    </w:p>
    <w:p w14:paraId="4CE1EE04" w14:textId="77777777" w:rsidR="00FA06B2" w:rsidRPr="00A155FA" w:rsidRDefault="00FA06B2" w:rsidP="005229E5">
      <w:pPr>
        <w:pStyle w:val="ListParagraph"/>
        <w:numPr>
          <w:ilvl w:val="0"/>
          <w:numId w:val="28"/>
        </w:numPr>
        <w:tabs>
          <w:tab w:val="left" w:pos="1260"/>
        </w:tabs>
        <w:rPr>
          <w:rFonts w:ascii="Times New Roman" w:hAnsi="Times New Roman" w:cs="Times New Roman"/>
        </w:rPr>
      </w:pPr>
      <w:r w:rsidRPr="00A155FA">
        <w:rPr>
          <w:rFonts w:ascii="Times New Roman" w:hAnsi="Times New Roman" w:cs="Times New Roman"/>
          <w:b/>
          <w:bCs/>
        </w:rPr>
        <w:t>75 (quadrate and occipital condyles):</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 As with character 73.</w:t>
      </w:r>
    </w:p>
    <w:p w14:paraId="1275004C" w14:textId="77777777" w:rsidR="00FA06B2" w:rsidRPr="00A155FA" w:rsidRDefault="00FA06B2" w:rsidP="005229E5">
      <w:pPr>
        <w:pStyle w:val="ListParagraph"/>
        <w:numPr>
          <w:ilvl w:val="0"/>
          <w:numId w:val="28"/>
        </w:numPr>
        <w:tabs>
          <w:tab w:val="left" w:pos="1260"/>
        </w:tabs>
        <w:rPr>
          <w:rFonts w:ascii="Times New Roman" w:hAnsi="Times New Roman" w:cs="Times New Roman"/>
        </w:rPr>
      </w:pPr>
      <w:r w:rsidRPr="00A155FA">
        <w:rPr>
          <w:rFonts w:ascii="Times New Roman" w:hAnsi="Times New Roman" w:cs="Times New Roman"/>
          <w:b/>
          <w:bCs/>
        </w:rPr>
        <w:t>86 (additional vomerine fangs):</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There are no vomerine fangs.</w:t>
      </w:r>
    </w:p>
    <w:p w14:paraId="2D992C37" w14:textId="77777777" w:rsidR="00FA06B2" w:rsidRPr="00A155FA" w:rsidRDefault="00FA06B2" w:rsidP="005229E5">
      <w:pPr>
        <w:pStyle w:val="ListParagraph"/>
        <w:numPr>
          <w:ilvl w:val="0"/>
          <w:numId w:val="28"/>
        </w:numPr>
        <w:tabs>
          <w:tab w:val="left" w:pos="1260"/>
        </w:tabs>
        <w:rPr>
          <w:rFonts w:ascii="Times New Roman" w:hAnsi="Times New Roman" w:cs="Times New Roman"/>
        </w:rPr>
      </w:pPr>
      <w:r w:rsidRPr="00A155FA">
        <w:rPr>
          <w:rFonts w:ascii="Times New Roman" w:hAnsi="Times New Roman" w:cs="Times New Roman"/>
          <w:b/>
          <w:bCs/>
        </w:rPr>
        <w:t xml:space="preserve">100 (choana, medial):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Both characters 99 and 101, related to the choana’s entire shape, were previously coded. It is somewhat questionable whether the entire choana can actually be discerned given the disarticulation in the one specimen, but if those characters can be coded (they are not confidently overturned here), then this character must be scorable as well. The vomer gives no indication of an anteromedial expansion.</w:t>
      </w:r>
    </w:p>
    <w:p w14:paraId="68421431" w14:textId="77777777" w:rsidR="00FA06B2" w:rsidRPr="00A155FA" w:rsidRDefault="00FA06B2" w:rsidP="005229E5">
      <w:pPr>
        <w:pStyle w:val="ListParagraph"/>
        <w:numPr>
          <w:ilvl w:val="0"/>
          <w:numId w:val="28"/>
        </w:numPr>
        <w:tabs>
          <w:tab w:val="left" w:pos="1260"/>
        </w:tabs>
        <w:rPr>
          <w:rFonts w:ascii="Times New Roman" w:hAnsi="Times New Roman" w:cs="Times New Roman"/>
        </w:rPr>
      </w:pPr>
      <w:r w:rsidRPr="00A155FA">
        <w:rPr>
          <w:rFonts w:ascii="Times New Roman" w:hAnsi="Times New Roman" w:cs="Times New Roman"/>
          <w:b/>
          <w:bCs/>
        </w:rPr>
        <w:t>108 (parasphenoid):</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73.</w:t>
      </w:r>
    </w:p>
    <w:p w14:paraId="4A0D9050" w14:textId="77777777" w:rsidR="00FA06B2" w:rsidRPr="00A155FA" w:rsidRDefault="00FA06B2" w:rsidP="005229E5">
      <w:pPr>
        <w:pStyle w:val="ListParagraph"/>
        <w:numPr>
          <w:ilvl w:val="0"/>
          <w:numId w:val="28"/>
        </w:numPr>
        <w:tabs>
          <w:tab w:val="left" w:pos="1260"/>
        </w:tabs>
        <w:rPr>
          <w:rFonts w:ascii="Times New Roman" w:hAnsi="Times New Roman" w:cs="Times New Roman"/>
        </w:rPr>
      </w:pPr>
      <w:r w:rsidRPr="00A155FA">
        <w:rPr>
          <w:rFonts w:ascii="Times New Roman" w:hAnsi="Times New Roman" w:cs="Times New Roman"/>
          <w:b/>
          <w:bCs/>
        </w:rPr>
        <w:t xml:space="preserve">118 (pterygoid, exoccipital):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73.</w:t>
      </w:r>
    </w:p>
    <w:p w14:paraId="05663837" w14:textId="77777777" w:rsidR="00FA06B2" w:rsidRPr="00A155FA" w:rsidRDefault="00FA06B2" w:rsidP="005229E5">
      <w:pPr>
        <w:pStyle w:val="ListParagraph"/>
        <w:numPr>
          <w:ilvl w:val="0"/>
          <w:numId w:val="28"/>
        </w:numPr>
        <w:tabs>
          <w:tab w:val="left" w:pos="1260"/>
        </w:tabs>
        <w:rPr>
          <w:rFonts w:ascii="Times New Roman" w:hAnsi="Times New Roman" w:cs="Times New Roman"/>
        </w:rPr>
      </w:pPr>
      <w:r w:rsidRPr="00A155FA">
        <w:rPr>
          <w:rFonts w:ascii="Times New Roman" w:hAnsi="Times New Roman" w:cs="Times New Roman"/>
          <w:b/>
          <w:bCs/>
        </w:rPr>
        <w:t>119 (pterygoid, basioccipital):</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73; no basioccipital is identified or described.</w:t>
      </w:r>
    </w:p>
    <w:p w14:paraId="3D873FB7" w14:textId="77777777" w:rsidR="00FA06B2" w:rsidRPr="00A155FA" w:rsidRDefault="00FA06B2" w:rsidP="005229E5">
      <w:pPr>
        <w:pStyle w:val="ListParagraph"/>
        <w:numPr>
          <w:ilvl w:val="0"/>
          <w:numId w:val="28"/>
        </w:numPr>
        <w:tabs>
          <w:tab w:val="left" w:pos="1260"/>
        </w:tabs>
        <w:rPr>
          <w:rFonts w:ascii="Times New Roman" w:hAnsi="Times New Roman" w:cs="Times New Roman"/>
        </w:rPr>
      </w:pPr>
      <w:r w:rsidRPr="00A155FA">
        <w:rPr>
          <w:rFonts w:ascii="Times New Roman" w:hAnsi="Times New Roman" w:cs="Times New Roman"/>
          <w:b/>
          <w:bCs/>
        </w:rPr>
        <w:t>136 (occipital condyle):</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 As with character 73.</w:t>
      </w:r>
    </w:p>
    <w:p w14:paraId="08A42FFE" w14:textId="77777777" w:rsidR="00FA06B2" w:rsidRPr="00A155FA" w:rsidRDefault="00FA06B2" w:rsidP="005229E5">
      <w:pPr>
        <w:pStyle w:val="ListParagraph"/>
        <w:numPr>
          <w:ilvl w:val="0"/>
          <w:numId w:val="28"/>
        </w:numPr>
        <w:tabs>
          <w:tab w:val="left" w:pos="1260"/>
        </w:tabs>
        <w:rPr>
          <w:rFonts w:ascii="Times New Roman" w:hAnsi="Times New Roman" w:cs="Times New Roman"/>
        </w:rPr>
      </w:pPr>
      <w:r w:rsidRPr="00A155FA">
        <w:rPr>
          <w:rFonts w:ascii="Times New Roman" w:hAnsi="Times New Roman" w:cs="Times New Roman"/>
          <w:b/>
          <w:bCs/>
        </w:rPr>
        <w:t>137 (exoccipital condyles):</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73.</w:t>
      </w:r>
    </w:p>
    <w:p w14:paraId="1DD1D4F4" w14:textId="77777777" w:rsidR="00FA06B2" w:rsidRPr="00A155FA" w:rsidRDefault="00FA06B2" w:rsidP="005229E5">
      <w:pPr>
        <w:pStyle w:val="ListParagraph"/>
        <w:numPr>
          <w:ilvl w:val="0"/>
          <w:numId w:val="28"/>
        </w:numPr>
        <w:tabs>
          <w:tab w:val="left" w:pos="1260"/>
        </w:tabs>
        <w:rPr>
          <w:rFonts w:ascii="Times New Roman" w:hAnsi="Times New Roman" w:cs="Times New Roman"/>
        </w:rPr>
      </w:pPr>
      <w:r w:rsidRPr="00A155FA">
        <w:rPr>
          <w:rFonts w:ascii="Times New Roman" w:hAnsi="Times New Roman" w:cs="Times New Roman"/>
          <w:b/>
          <w:bCs/>
        </w:rPr>
        <w:t>138 (basioccipital, length):</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 As with characters 73 and 119.</w:t>
      </w:r>
    </w:p>
    <w:p w14:paraId="15E35887" w14:textId="77777777" w:rsidR="00FA06B2" w:rsidRPr="00A155FA" w:rsidRDefault="00FA06B2" w:rsidP="005229E5">
      <w:pPr>
        <w:pStyle w:val="ListParagraph"/>
        <w:numPr>
          <w:ilvl w:val="0"/>
          <w:numId w:val="28"/>
        </w:numPr>
        <w:tabs>
          <w:tab w:val="left" w:pos="1260"/>
        </w:tabs>
        <w:rPr>
          <w:rFonts w:ascii="Times New Roman" w:hAnsi="Times New Roman" w:cs="Times New Roman"/>
        </w:rPr>
      </w:pPr>
      <w:r w:rsidRPr="00A155FA">
        <w:rPr>
          <w:rFonts w:ascii="Times New Roman" w:hAnsi="Times New Roman" w:cs="Times New Roman"/>
          <w:b/>
          <w:bCs/>
        </w:rPr>
        <w:lastRenderedPageBreak/>
        <w:t>142 (postglenoid area, dorsal):</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This refers to the dorsal surface, which is obscured due to articulation with the compressed skull.</w:t>
      </w:r>
    </w:p>
    <w:p w14:paraId="4DC7FC3F" w14:textId="77777777" w:rsidR="00FA06B2" w:rsidRPr="00A155FA" w:rsidRDefault="00FA06B2" w:rsidP="005229E5">
      <w:pPr>
        <w:pStyle w:val="ListParagraph"/>
        <w:numPr>
          <w:ilvl w:val="0"/>
          <w:numId w:val="28"/>
        </w:numPr>
        <w:tabs>
          <w:tab w:val="left" w:pos="1260"/>
        </w:tabs>
        <w:rPr>
          <w:rFonts w:ascii="Times New Roman" w:hAnsi="Times New Roman" w:cs="Times New Roman"/>
        </w:rPr>
      </w:pPr>
      <w:r w:rsidRPr="00A155FA">
        <w:rPr>
          <w:rFonts w:ascii="Times New Roman" w:hAnsi="Times New Roman" w:cs="Times New Roman"/>
          <w:b/>
          <w:bCs/>
        </w:rPr>
        <w:t>216 (supratemporal):</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0. A supratemporal was figured.</w:t>
      </w:r>
    </w:p>
    <w:p w14:paraId="0C24E87D" w14:textId="77777777" w:rsidR="00FA06B2" w:rsidRPr="00A155FA" w:rsidRDefault="00FA06B2" w:rsidP="005229E5">
      <w:pPr>
        <w:pStyle w:val="ListParagraph"/>
        <w:numPr>
          <w:ilvl w:val="0"/>
          <w:numId w:val="28"/>
        </w:numPr>
        <w:tabs>
          <w:tab w:val="left" w:pos="1260"/>
        </w:tabs>
        <w:rPr>
          <w:rFonts w:ascii="Times New Roman" w:hAnsi="Times New Roman" w:cs="Times New Roman"/>
        </w:rPr>
      </w:pPr>
      <w:r w:rsidRPr="00A155FA">
        <w:rPr>
          <w:rFonts w:ascii="Times New Roman" w:hAnsi="Times New Roman" w:cs="Times New Roman"/>
          <w:b/>
          <w:bCs/>
        </w:rPr>
        <w:t>230 (postorbital):</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A postorbital is present.</w:t>
      </w:r>
    </w:p>
    <w:p w14:paraId="7EF7B097" w14:textId="77777777" w:rsidR="00FA06B2" w:rsidRPr="00A155FA" w:rsidRDefault="00FA06B2" w:rsidP="005229E5">
      <w:pPr>
        <w:pStyle w:val="ListParagraph"/>
        <w:numPr>
          <w:ilvl w:val="0"/>
          <w:numId w:val="28"/>
        </w:numPr>
        <w:tabs>
          <w:tab w:val="left" w:pos="1260"/>
        </w:tabs>
        <w:rPr>
          <w:rFonts w:ascii="Times New Roman" w:hAnsi="Times New Roman" w:cs="Times New Roman"/>
        </w:rPr>
      </w:pPr>
      <w:r w:rsidRPr="00A155FA">
        <w:rPr>
          <w:rFonts w:ascii="Times New Roman" w:hAnsi="Times New Roman" w:cs="Times New Roman"/>
          <w:b/>
          <w:bCs/>
        </w:rPr>
        <w:t>243 (number of maxillary teeth):</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In contrast to the premaxillary tooth count, no maxillary count or estimate was given. The tooth row appears incomplete posteriorly (markedly so), and if it were interpreted as being nearly complete, it is clearly much shorter than the premaxilla and would thus contain fewer than 21 positions.</w:t>
      </w:r>
    </w:p>
    <w:p w14:paraId="7F3E7EFF" w14:textId="77777777" w:rsidR="00FA06B2" w:rsidRPr="00A155FA" w:rsidRDefault="00FA06B2" w:rsidP="005229E5">
      <w:pPr>
        <w:pStyle w:val="ListParagraph"/>
        <w:numPr>
          <w:ilvl w:val="0"/>
          <w:numId w:val="28"/>
        </w:numPr>
        <w:tabs>
          <w:tab w:val="left" w:pos="1260"/>
        </w:tabs>
        <w:rPr>
          <w:rFonts w:ascii="Times New Roman" w:hAnsi="Times New Roman" w:cs="Times New Roman"/>
        </w:rPr>
      </w:pPr>
      <w:r w:rsidRPr="00A155FA">
        <w:rPr>
          <w:rFonts w:ascii="Times New Roman" w:hAnsi="Times New Roman" w:cs="Times New Roman"/>
          <w:b/>
          <w:bCs/>
        </w:rPr>
        <w:t>245 (occipital profile):</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The specimen is clearly compressed and not exposed in occipital view.</w:t>
      </w:r>
    </w:p>
    <w:p w14:paraId="1B9AFD71" w14:textId="3E3154B4" w:rsidR="00FA06B2" w:rsidRPr="00A155FA" w:rsidRDefault="00FA06B2" w:rsidP="005229E5">
      <w:pPr>
        <w:pStyle w:val="ListParagraph"/>
        <w:numPr>
          <w:ilvl w:val="0"/>
          <w:numId w:val="28"/>
        </w:numPr>
        <w:tabs>
          <w:tab w:val="left" w:pos="1260"/>
        </w:tabs>
        <w:rPr>
          <w:rFonts w:ascii="Times New Roman" w:hAnsi="Times New Roman" w:cs="Times New Roman"/>
        </w:rPr>
      </w:pPr>
      <w:r w:rsidRPr="00A155FA">
        <w:rPr>
          <w:rFonts w:ascii="Times New Roman" w:hAnsi="Times New Roman" w:cs="Times New Roman"/>
          <w:b/>
          <w:bCs/>
        </w:rPr>
        <w:t>296 (ribs anterior to sacrum):</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0. As with lissamphibians, this taxon has much shorter ribs than in other temnospondyls (Anderson et al., 2008</w:t>
      </w:r>
      <w:r w:rsidR="002639C2">
        <w:rPr>
          <w:rFonts w:ascii="Times New Roman" w:hAnsi="Times New Roman" w:cs="Times New Roman"/>
        </w:rPr>
        <w:t>b</w:t>
      </w:r>
      <w:r w:rsidRPr="00A155FA">
        <w:rPr>
          <w:rFonts w:ascii="Times New Roman" w:hAnsi="Times New Roman" w:cs="Times New Roman"/>
        </w:rPr>
        <w:t>:fig. 1).</w:t>
      </w:r>
    </w:p>
    <w:p w14:paraId="23F994D2"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r w:rsidRPr="00A155FA">
        <w:rPr>
          <w:rFonts w:ascii="Times New Roman" w:hAnsi="Times New Roman" w:cs="Times New Roman"/>
          <w:b/>
          <w:bCs/>
          <w:i/>
          <w:iCs/>
        </w:rPr>
        <w:t>Cacops aspidephorus</w:t>
      </w:r>
    </w:p>
    <w:p w14:paraId="38CEFBAE" w14:textId="77777777" w:rsidR="00FA06B2" w:rsidRPr="00A155FA" w:rsidRDefault="00FA06B2" w:rsidP="00B953AE">
      <w:pPr>
        <w:tabs>
          <w:tab w:val="left" w:pos="1260"/>
        </w:tabs>
      </w:pPr>
      <w:r w:rsidRPr="00A155FA">
        <w:t xml:space="preserve">*Note that these changes are considered to be applicable regardless of whether only </w:t>
      </w:r>
      <w:r w:rsidRPr="00A155FA">
        <w:rPr>
          <w:i/>
          <w:iCs/>
        </w:rPr>
        <w:t xml:space="preserve">C. aspidephorus </w:t>
      </w:r>
      <w:r w:rsidRPr="00A155FA">
        <w:t xml:space="preserve">or a chimera of </w:t>
      </w:r>
      <w:r w:rsidRPr="00A155FA">
        <w:rPr>
          <w:i/>
          <w:iCs/>
        </w:rPr>
        <w:t xml:space="preserve">C. aspidephorus </w:t>
      </w:r>
      <w:r w:rsidRPr="00A155FA">
        <w:t xml:space="preserve">+ </w:t>
      </w:r>
      <w:r w:rsidRPr="00A155FA">
        <w:rPr>
          <w:i/>
          <w:iCs/>
        </w:rPr>
        <w:t xml:space="preserve">C. morrisi </w:t>
      </w:r>
      <w:r w:rsidRPr="00A155FA">
        <w:t xml:space="preserve">is employed. </w:t>
      </w:r>
    </w:p>
    <w:p w14:paraId="779A0F4F" w14:textId="77777777" w:rsidR="00FA06B2" w:rsidRPr="00A155FA" w:rsidRDefault="00FA06B2" w:rsidP="005229E5">
      <w:pPr>
        <w:pStyle w:val="ListParagraph"/>
        <w:numPr>
          <w:ilvl w:val="0"/>
          <w:numId w:val="29"/>
        </w:numPr>
        <w:tabs>
          <w:tab w:val="left" w:pos="1260"/>
        </w:tabs>
        <w:rPr>
          <w:rFonts w:ascii="Times New Roman" w:hAnsi="Times New Roman" w:cs="Times New Roman"/>
        </w:rPr>
      </w:pPr>
      <w:r w:rsidRPr="00A155FA">
        <w:rPr>
          <w:rFonts w:ascii="Times New Roman" w:hAnsi="Times New Roman" w:cs="Times New Roman"/>
          <w:b/>
          <w:bCs/>
        </w:rPr>
        <w:t xml:space="preserve">27 (orbit margins):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0. All three species of </w:t>
      </w:r>
      <w:r w:rsidRPr="00A155FA">
        <w:rPr>
          <w:rFonts w:ascii="Times New Roman" w:hAnsi="Times New Roman" w:cs="Times New Roman"/>
          <w:i/>
          <w:iCs/>
        </w:rPr>
        <w:t xml:space="preserve">Cacops </w:t>
      </w:r>
      <w:r w:rsidRPr="00A155FA">
        <w:rPr>
          <w:rFonts w:ascii="Times New Roman" w:hAnsi="Times New Roman" w:cs="Times New Roman"/>
        </w:rPr>
        <w:t>have prominent orbital rims (Reisz et al., 2009:fig. 2; Fröbisch &amp; Reisz, 2012:fig. 2; Anderson et al., 2020:5, fig. 2A).</w:t>
      </w:r>
    </w:p>
    <w:p w14:paraId="6C4A4661" w14:textId="77777777" w:rsidR="00FA06B2" w:rsidRPr="00A155FA" w:rsidRDefault="00FA06B2" w:rsidP="005229E5">
      <w:pPr>
        <w:pStyle w:val="ListParagraph"/>
        <w:numPr>
          <w:ilvl w:val="0"/>
          <w:numId w:val="29"/>
        </w:numPr>
        <w:tabs>
          <w:tab w:val="left" w:pos="1260"/>
        </w:tabs>
        <w:rPr>
          <w:rFonts w:ascii="Times New Roman" w:hAnsi="Times New Roman" w:cs="Times New Roman"/>
        </w:rPr>
      </w:pPr>
      <w:r w:rsidRPr="00A155FA">
        <w:rPr>
          <w:rFonts w:ascii="Times New Roman" w:hAnsi="Times New Roman" w:cs="Times New Roman"/>
          <w:b/>
          <w:bCs/>
        </w:rPr>
        <w:t>264 (</w:t>
      </w:r>
      <w:proofErr w:type="spellStart"/>
      <w:r w:rsidRPr="00A155FA">
        <w:rPr>
          <w:rFonts w:ascii="Times New Roman" w:hAnsi="Times New Roman" w:cs="Times New Roman"/>
          <w:b/>
          <w:bCs/>
        </w:rPr>
        <w:t>splenials</w:t>
      </w:r>
      <w:proofErr w:type="spellEnd"/>
      <w:r w:rsidRPr="00A155FA">
        <w:rPr>
          <w:rFonts w:ascii="Times New Roman" w:hAnsi="Times New Roman" w:cs="Times New Roman"/>
          <w:b/>
          <w:bCs/>
        </w:rPr>
        <w:t>):</w:t>
      </w:r>
      <w:r w:rsidRPr="00A155FA">
        <w:rPr>
          <w:rFonts w:ascii="Times New Roman" w:hAnsi="Times New Roman" w:cs="Times New Roman"/>
        </w:rPr>
        <w:t xml:space="preserve"> 1 </w:t>
      </w:r>
      <w:r w:rsidRPr="00A155FA">
        <w:rPr>
          <w:rFonts w:ascii="Times New Roman" w:hAnsi="Times New Roman" w:cs="Times New Roman"/>
        </w:rPr>
        <w:sym w:font="Wingdings" w:char="F0E0"/>
      </w:r>
      <w:r w:rsidRPr="00A155FA">
        <w:rPr>
          <w:rFonts w:ascii="Times New Roman" w:hAnsi="Times New Roman" w:cs="Times New Roman"/>
        </w:rPr>
        <w:t xml:space="preserve"> 0. There is a splenial and postsplenial in this species (Anderson, 2005; Anderson et al., 2020).</w:t>
      </w:r>
    </w:p>
    <w:p w14:paraId="787ADAAA" w14:textId="77777777" w:rsidR="00FA06B2" w:rsidRPr="00A155FA" w:rsidRDefault="00FA06B2" w:rsidP="005229E5">
      <w:pPr>
        <w:pStyle w:val="ListParagraph"/>
        <w:numPr>
          <w:ilvl w:val="0"/>
          <w:numId w:val="29"/>
        </w:numPr>
        <w:tabs>
          <w:tab w:val="left" w:pos="1260"/>
        </w:tabs>
        <w:rPr>
          <w:rFonts w:ascii="Times New Roman" w:hAnsi="Times New Roman" w:cs="Times New Roman"/>
        </w:rPr>
      </w:pPr>
      <w:r w:rsidRPr="00A155FA">
        <w:rPr>
          <w:rFonts w:ascii="Times New Roman" w:hAnsi="Times New Roman" w:cs="Times New Roman"/>
          <w:b/>
          <w:bCs/>
        </w:rPr>
        <w:t>272 (coronoid teeth):</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1. Anderson (2005:15) noted denticles on the three coronoids.</w:t>
      </w:r>
    </w:p>
    <w:p w14:paraId="1C23AD76" w14:textId="77777777" w:rsidR="00FA06B2" w:rsidRPr="00A155FA" w:rsidRDefault="00FA06B2" w:rsidP="005229E5">
      <w:pPr>
        <w:pStyle w:val="ListParagraph"/>
        <w:numPr>
          <w:ilvl w:val="0"/>
          <w:numId w:val="29"/>
        </w:numPr>
        <w:tabs>
          <w:tab w:val="left" w:pos="1260"/>
        </w:tabs>
        <w:rPr>
          <w:rFonts w:ascii="Times New Roman" w:hAnsi="Times New Roman" w:cs="Times New Roman"/>
        </w:rPr>
      </w:pPr>
      <w:r w:rsidRPr="00A155FA">
        <w:rPr>
          <w:rFonts w:ascii="Times New Roman" w:hAnsi="Times New Roman" w:cs="Times New Roman"/>
          <w:b/>
          <w:bCs/>
        </w:rPr>
        <w:t>278 (trunk intercentra):</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As noted by Williston (1910:261).</w:t>
      </w:r>
    </w:p>
    <w:p w14:paraId="1FC24B88" w14:textId="77777777" w:rsidR="00FA06B2" w:rsidRPr="00A155FA" w:rsidRDefault="00FA06B2" w:rsidP="005229E5">
      <w:pPr>
        <w:pStyle w:val="ListParagraph"/>
        <w:numPr>
          <w:ilvl w:val="0"/>
          <w:numId w:val="29"/>
        </w:numPr>
        <w:tabs>
          <w:tab w:val="left" w:pos="1260"/>
        </w:tabs>
        <w:rPr>
          <w:rFonts w:ascii="Times New Roman" w:hAnsi="Times New Roman" w:cs="Times New Roman"/>
        </w:rPr>
      </w:pPr>
      <w:r w:rsidRPr="00A155FA">
        <w:rPr>
          <w:rFonts w:ascii="Times New Roman" w:hAnsi="Times New Roman" w:cs="Times New Roman"/>
          <w:b/>
          <w:bCs/>
        </w:rPr>
        <w:t>279 (trunk neural arch to centrum):</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As noted by Williston (1910:261–262, pl. 9), Dilkes &amp; Brown (2007:401, figs. 4–5), and Dilkes (2009:1014, fig. 1).</w:t>
      </w:r>
    </w:p>
    <w:p w14:paraId="7BD854B4" w14:textId="77777777" w:rsidR="00FA06B2" w:rsidRPr="00A155FA" w:rsidRDefault="00FA06B2" w:rsidP="005229E5">
      <w:pPr>
        <w:pStyle w:val="ListParagraph"/>
        <w:numPr>
          <w:ilvl w:val="0"/>
          <w:numId w:val="29"/>
        </w:numPr>
        <w:tabs>
          <w:tab w:val="left" w:pos="1260"/>
        </w:tabs>
        <w:rPr>
          <w:rFonts w:ascii="Times New Roman" w:hAnsi="Times New Roman" w:cs="Times New Roman"/>
        </w:rPr>
      </w:pPr>
      <w:r w:rsidRPr="00A155FA">
        <w:rPr>
          <w:rFonts w:ascii="Times New Roman" w:hAnsi="Times New Roman" w:cs="Times New Roman"/>
          <w:b/>
          <w:bCs/>
        </w:rPr>
        <w:t>281 (haemal arches):</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As noted by Williston (1910:265, pl. 9).</w:t>
      </w:r>
    </w:p>
    <w:p w14:paraId="3536755A" w14:textId="77777777" w:rsidR="00FA06B2" w:rsidRPr="00A155FA" w:rsidRDefault="00FA06B2" w:rsidP="005229E5">
      <w:pPr>
        <w:pStyle w:val="ListParagraph"/>
        <w:numPr>
          <w:ilvl w:val="0"/>
          <w:numId w:val="29"/>
        </w:numPr>
        <w:tabs>
          <w:tab w:val="left" w:pos="1260"/>
        </w:tabs>
        <w:rPr>
          <w:rFonts w:ascii="Times New Roman" w:hAnsi="Times New Roman" w:cs="Times New Roman"/>
        </w:rPr>
      </w:pPr>
      <w:r w:rsidRPr="00A155FA">
        <w:rPr>
          <w:rFonts w:ascii="Times New Roman" w:hAnsi="Times New Roman" w:cs="Times New Roman"/>
          <w:b/>
          <w:bCs/>
        </w:rPr>
        <w:t>282 (haemal arches):</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As with character 281.</w:t>
      </w:r>
    </w:p>
    <w:p w14:paraId="0540D032" w14:textId="77777777" w:rsidR="00FA06B2" w:rsidRPr="00A155FA" w:rsidRDefault="00FA06B2" w:rsidP="005229E5">
      <w:pPr>
        <w:pStyle w:val="ListParagraph"/>
        <w:numPr>
          <w:ilvl w:val="0"/>
          <w:numId w:val="29"/>
        </w:numPr>
        <w:tabs>
          <w:tab w:val="left" w:pos="1260"/>
        </w:tabs>
        <w:rPr>
          <w:rFonts w:ascii="Times New Roman" w:hAnsi="Times New Roman" w:cs="Times New Roman"/>
        </w:rPr>
      </w:pPr>
      <w:r w:rsidRPr="00A155FA">
        <w:rPr>
          <w:rFonts w:ascii="Times New Roman" w:hAnsi="Times New Roman" w:cs="Times New Roman"/>
          <w:b/>
          <w:bCs/>
        </w:rPr>
        <w:t>283 (haemal arches):</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As with character 281.</w:t>
      </w:r>
    </w:p>
    <w:p w14:paraId="227FC11E" w14:textId="77777777" w:rsidR="00FA06B2" w:rsidRPr="00A155FA" w:rsidRDefault="00FA06B2" w:rsidP="005229E5">
      <w:pPr>
        <w:pStyle w:val="ListParagraph"/>
        <w:numPr>
          <w:ilvl w:val="0"/>
          <w:numId w:val="29"/>
        </w:numPr>
        <w:tabs>
          <w:tab w:val="left" w:pos="1260"/>
        </w:tabs>
        <w:rPr>
          <w:rFonts w:ascii="Times New Roman" w:hAnsi="Times New Roman" w:cs="Times New Roman"/>
        </w:rPr>
      </w:pPr>
      <w:r w:rsidRPr="00A155FA">
        <w:rPr>
          <w:rFonts w:ascii="Times New Roman" w:hAnsi="Times New Roman" w:cs="Times New Roman"/>
          <w:b/>
          <w:bCs/>
        </w:rPr>
        <w:t>286 (transverse process):</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As noted by Williston (1910:262, pl. 9).</w:t>
      </w:r>
    </w:p>
    <w:p w14:paraId="1A206328" w14:textId="77777777" w:rsidR="00FA06B2" w:rsidRPr="00A155FA" w:rsidRDefault="00FA06B2" w:rsidP="005229E5">
      <w:pPr>
        <w:pStyle w:val="ListParagraph"/>
        <w:numPr>
          <w:ilvl w:val="0"/>
          <w:numId w:val="29"/>
        </w:numPr>
        <w:tabs>
          <w:tab w:val="left" w:pos="1260"/>
        </w:tabs>
        <w:rPr>
          <w:rFonts w:ascii="Times New Roman" w:hAnsi="Times New Roman" w:cs="Times New Roman"/>
        </w:rPr>
      </w:pPr>
      <w:r w:rsidRPr="00A155FA">
        <w:rPr>
          <w:rFonts w:ascii="Times New Roman" w:hAnsi="Times New Roman" w:cs="Times New Roman"/>
          <w:b/>
          <w:bCs/>
        </w:rPr>
        <w:t xml:space="preserve">287 (atlas-axis intercentra):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Williston (1910:262–263) described intercentra of both positions.</w:t>
      </w:r>
    </w:p>
    <w:p w14:paraId="6788C567" w14:textId="77777777" w:rsidR="00FA06B2" w:rsidRPr="00A155FA" w:rsidRDefault="00FA06B2" w:rsidP="005229E5">
      <w:pPr>
        <w:pStyle w:val="ListParagraph"/>
        <w:numPr>
          <w:ilvl w:val="0"/>
          <w:numId w:val="29"/>
        </w:numPr>
        <w:tabs>
          <w:tab w:val="left" w:pos="1260"/>
        </w:tabs>
        <w:rPr>
          <w:rFonts w:ascii="Times New Roman" w:hAnsi="Times New Roman" w:cs="Times New Roman"/>
        </w:rPr>
      </w:pPr>
      <w:r w:rsidRPr="00A155FA">
        <w:rPr>
          <w:rFonts w:ascii="Times New Roman" w:hAnsi="Times New Roman" w:cs="Times New Roman"/>
          <w:b/>
          <w:bCs/>
        </w:rPr>
        <w:t xml:space="preserve">288 (atlas anterior centrum):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1. As with character 287.</w:t>
      </w:r>
    </w:p>
    <w:p w14:paraId="0509F263" w14:textId="77777777" w:rsidR="00FA06B2" w:rsidRPr="00A155FA" w:rsidRDefault="00FA06B2" w:rsidP="005229E5">
      <w:pPr>
        <w:pStyle w:val="ListParagraph"/>
        <w:numPr>
          <w:ilvl w:val="0"/>
          <w:numId w:val="29"/>
        </w:numPr>
        <w:tabs>
          <w:tab w:val="left" w:pos="1260"/>
        </w:tabs>
        <w:rPr>
          <w:rFonts w:ascii="Times New Roman" w:hAnsi="Times New Roman" w:cs="Times New Roman"/>
        </w:rPr>
      </w:pPr>
      <w:r w:rsidRPr="00A155FA">
        <w:rPr>
          <w:rFonts w:ascii="Times New Roman" w:hAnsi="Times New Roman" w:cs="Times New Roman"/>
          <w:b/>
          <w:bCs/>
        </w:rPr>
        <w:t>289 (atlas centrum):</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1. As with character 287.</w:t>
      </w:r>
    </w:p>
    <w:p w14:paraId="69A47E01" w14:textId="77777777" w:rsidR="00FA06B2" w:rsidRPr="00A155FA" w:rsidRDefault="00FA06B2" w:rsidP="005229E5">
      <w:pPr>
        <w:pStyle w:val="ListParagraph"/>
        <w:numPr>
          <w:ilvl w:val="0"/>
          <w:numId w:val="29"/>
        </w:numPr>
        <w:tabs>
          <w:tab w:val="left" w:pos="1260"/>
        </w:tabs>
        <w:rPr>
          <w:rFonts w:ascii="Times New Roman" w:hAnsi="Times New Roman" w:cs="Times New Roman"/>
        </w:rPr>
      </w:pPr>
      <w:r w:rsidRPr="00A155FA">
        <w:rPr>
          <w:rFonts w:ascii="Times New Roman" w:hAnsi="Times New Roman" w:cs="Times New Roman"/>
          <w:b/>
          <w:bCs/>
        </w:rPr>
        <w:t>290 (atlas neural arch):</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1/2. Whether the arch is co-ossified or merely tightly sutured with the centrum is unclear in light of the preservation of most material of this taxon.</w:t>
      </w:r>
    </w:p>
    <w:p w14:paraId="6682D57C" w14:textId="77777777" w:rsidR="00FA06B2" w:rsidRPr="00A155FA" w:rsidRDefault="00FA06B2" w:rsidP="005229E5">
      <w:pPr>
        <w:pStyle w:val="ListParagraph"/>
        <w:numPr>
          <w:ilvl w:val="0"/>
          <w:numId w:val="29"/>
        </w:numPr>
        <w:tabs>
          <w:tab w:val="left" w:pos="1260"/>
        </w:tabs>
        <w:rPr>
          <w:rFonts w:ascii="Times New Roman" w:hAnsi="Times New Roman" w:cs="Times New Roman"/>
        </w:rPr>
      </w:pPr>
      <w:r w:rsidRPr="00A155FA">
        <w:rPr>
          <w:rFonts w:ascii="Times New Roman" w:hAnsi="Times New Roman" w:cs="Times New Roman"/>
          <w:b/>
          <w:bCs/>
        </w:rPr>
        <w:t xml:space="preserve">292 (atlas, neural arch):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The arch forms two separate prongs that are separated medially by an anterior expansion of the axial neural arch (Williston, 1910:263, pl. 14).</w:t>
      </w:r>
    </w:p>
    <w:p w14:paraId="4444F02E" w14:textId="77777777" w:rsidR="00FA06B2" w:rsidRPr="00A155FA" w:rsidRDefault="00FA06B2" w:rsidP="005229E5">
      <w:pPr>
        <w:pStyle w:val="ListParagraph"/>
        <w:numPr>
          <w:ilvl w:val="0"/>
          <w:numId w:val="29"/>
        </w:numPr>
        <w:tabs>
          <w:tab w:val="left" w:pos="1260"/>
        </w:tabs>
        <w:rPr>
          <w:rFonts w:ascii="Times New Roman" w:hAnsi="Times New Roman" w:cs="Times New Roman"/>
        </w:rPr>
      </w:pPr>
      <w:r w:rsidRPr="00A155FA">
        <w:rPr>
          <w:rFonts w:ascii="Times New Roman" w:hAnsi="Times New Roman" w:cs="Times New Roman"/>
          <w:b/>
          <w:bCs/>
        </w:rPr>
        <w:t>293 (proatlantes):</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1. The completeness with which the skeleton is known confers confidence in the absence of proatlantes.</w:t>
      </w:r>
    </w:p>
    <w:p w14:paraId="23BEF166" w14:textId="77777777" w:rsidR="00FA06B2" w:rsidRPr="00A155FA" w:rsidRDefault="00FA06B2" w:rsidP="005229E5">
      <w:pPr>
        <w:pStyle w:val="ListParagraph"/>
        <w:numPr>
          <w:ilvl w:val="0"/>
          <w:numId w:val="29"/>
        </w:numPr>
        <w:tabs>
          <w:tab w:val="left" w:pos="1260"/>
        </w:tabs>
        <w:rPr>
          <w:rFonts w:ascii="Times New Roman" w:hAnsi="Times New Roman" w:cs="Times New Roman"/>
        </w:rPr>
      </w:pPr>
      <w:r w:rsidRPr="00A155FA">
        <w:rPr>
          <w:rFonts w:ascii="Times New Roman" w:hAnsi="Times New Roman" w:cs="Times New Roman"/>
          <w:b/>
          <w:bCs/>
        </w:rPr>
        <w:t>294 (second cervical arch):</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As noted by Williston (1910:263).</w:t>
      </w:r>
    </w:p>
    <w:p w14:paraId="6F3FA3FA" w14:textId="77777777" w:rsidR="00FA06B2" w:rsidRPr="00A155FA" w:rsidRDefault="00FA06B2" w:rsidP="005229E5">
      <w:pPr>
        <w:pStyle w:val="ListParagraph"/>
        <w:numPr>
          <w:ilvl w:val="0"/>
          <w:numId w:val="29"/>
        </w:numPr>
        <w:tabs>
          <w:tab w:val="left" w:pos="1260"/>
        </w:tabs>
        <w:rPr>
          <w:rFonts w:ascii="Times New Roman" w:hAnsi="Times New Roman" w:cs="Times New Roman"/>
        </w:rPr>
      </w:pPr>
      <w:r w:rsidRPr="00A155FA">
        <w:rPr>
          <w:rFonts w:ascii="Times New Roman" w:hAnsi="Times New Roman" w:cs="Times New Roman"/>
          <w:b/>
          <w:bCs/>
        </w:rPr>
        <w:t>299 (supraglenoid foramen):</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As noted by Williston (1910:268).</w:t>
      </w:r>
    </w:p>
    <w:p w14:paraId="7782AA6C" w14:textId="77777777" w:rsidR="00FA06B2" w:rsidRPr="00A155FA" w:rsidRDefault="00FA06B2" w:rsidP="005229E5">
      <w:pPr>
        <w:pStyle w:val="ListParagraph"/>
        <w:numPr>
          <w:ilvl w:val="0"/>
          <w:numId w:val="29"/>
        </w:numPr>
        <w:tabs>
          <w:tab w:val="left" w:pos="1260"/>
        </w:tabs>
        <w:rPr>
          <w:rFonts w:ascii="Times New Roman" w:hAnsi="Times New Roman" w:cs="Times New Roman"/>
        </w:rPr>
      </w:pPr>
      <w:r w:rsidRPr="00A155FA">
        <w:rPr>
          <w:rFonts w:ascii="Times New Roman" w:hAnsi="Times New Roman" w:cs="Times New Roman"/>
          <w:b/>
          <w:bCs/>
        </w:rPr>
        <w:lastRenderedPageBreak/>
        <w:t>301 (scapulocoracoid ossification):</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As described by Williston (1910:268–269).</w:t>
      </w:r>
    </w:p>
    <w:p w14:paraId="6AD0F422" w14:textId="77777777" w:rsidR="00FA06B2" w:rsidRPr="00A155FA" w:rsidRDefault="00FA06B2" w:rsidP="005229E5">
      <w:pPr>
        <w:pStyle w:val="ListParagraph"/>
        <w:numPr>
          <w:ilvl w:val="0"/>
          <w:numId w:val="29"/>
        </w:numPr>
        <w:tabs>
          <w:tab w:val="left" w:pos="1260"/>
        </w:tabs>
        <w:rPr>
          <w:rFonts w:ascii="Times New Roman" w:hAnsi="Times New Roman" w:cs="Times New Roman"/>
        </w:rPr>
      </w:pPr>
      <w:r w:rsidRPr="00A155FA">
        <w:rPr>
          <w:rFonts w:ascii="Times New Roman" w:hAnsi="Times New Roman" w:cs="Times New Roman"/>
          <w:b/>
          <w:bCs/>
        </w:rPr>
        <w:t>302 (deltopectoral crest):</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1/2. As figured by Williston (1910:pl. 11).</w:t>
      </w:r>
    </w:p>
    <w:p w14:paraId="6D32A2C7" w14:textId="77777777" w:rsidR="00FA06B2" w:rsidRPr="00A155FA" w:rsidRDefault="00FA06B2" w:rsidP="005229E5">
      <w:pPr>
        <w:pStyle w:val="ListParagraph"/>
        <w:numPr>
          <w:ilvl w:val="0"/>
          <w:numId w:val="29"/>
        </w:numPr>
        <w:tabs>
          <w:tab w:val="left" w:pos="1260"/>
        </w:tabs>
        <w:rPr>
          <w:rFonts w:ascii="Times New Roman" w:hAnsi="Times New Roman" w:cs="Times New Roman"/>
        </w:rPr>
      </w:pPr>
      <w:r w:rsidRPr="00A155FA">
        <w:rPr>
          <w:rFonts w:ascii="Times New Roman" w:hAnsi="Times New Roman" w:cs="Times New Roman"/>
          <w:b/>
          <w:bCs/>
        </w:rPr>
        <w:t>307 (femur):</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As figured by Williston (1910:pl. 13).</w:t>
      </w:r>
    </w:p>
    <w:p w14:paraId="4A9B91D2" w14:textId="77777777" w:rsidR="00FA06B2" w:rsidRPr="00A155FA" w:rsidRDefault="00FA06B2" w:rsidP="005229E5">
      <w:pPr>
        <w:pStyle w:val="ListParagraph"/>
        <w:numPr>
          <w:ilvl w:val="0"/>
          <w:numId w:val="29"/>
        </w:numPr>
        <w:tabs>
          <w:tab w:val="left" w:pos="1260"/>
        </w:tabs>
        <w:rPr>
          <w:rFonts w:ascii="Times New Roman" w:hAnsi="Times New Roman" w:cs="Times New Roman"/>
        </w:rPr>
      </w:pPr>
      <w:r w:rsidRPr="00A155FA">
        <w:rPr>
          <w:rFonts w:ascii="Times New Roman" w:hAnsi="Times New Roman" w:cs="Times New Roman"/>
          <w:b/>
          <w:bCs/>
        </w:rPr>
        <w:t xml:space="preserve">343 (parasphenoid cultriform process):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As figured by Williston (1910:pl. 7). </w:t>
      </w:r>
    </w:p>
    <w:p w14:paraId="4D3603EC" w14:textId="77777777" w:rsidR="00FA06B2" w:rsidRPr="00A155FA" w:rsidRDefault="00FA06B2" w:rsidP="005229E5">
      <w:pPr>
        <w:pStyle w:val="ListParagraph"/>
        <w:numPr>
          <w:ilvl w:val="0"/>
          <w:numId w:val="29"/>
        </w:numPr>
        <w:tabs>
          <w:tab w:val="left" w:pos="1260"/>
        </w:tabs>
        <w:rPr>
          <w:rFonts w:ascii="Times New Roman" w:hAnsi="Times New Roman" w:cs="Times New Roman"/>
        </w:rPr>
      </w:pPr>
      <w:r w:rsidRPr="00A155FA">
        <w:rPr>
          <w:rFonts w:ascii="Times New Roman" w:hAnsi="Times New Roman" w:cs="Times New Roman"/>
          <w:b/>
          <w:bCs/>
        </w:rPr>
        <w:t>344 (dentary marginal dentition):</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As figured by Williston (1910:pl. 8).</w:t>
      </w:r>
    </w:p>
    <w:p w14:paraId="2C415E63"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r w:rsidRPr="00A155FA">
        <w:rPr>
          <w:rFonts w:ascii="Times New Roman" w:hAnsi="Times New Roman" w:cs="Times New Roman"/>
          <w:b/>
          <w:bCs/>
          <w:i/>
          <w:iCs/>
        </w:rPr>
        <w:t>Broiliellus texensis</w:t>
      </w:r>
    </w:p>
    <w:p w14:paraId="2ED40C39" w14:textId="77777777" w:rsidR="00FA06B2" w:rsidRPr="00A155FA" w:rsidRDefault="00FA06B2" w:rsidP="005229E5">
      <w:pPr>
        <w:pStyle w:val="ListParagraph"/>
        <w:numPr>
          <w:ilvl w:val="0"/>
          <w:numId w:val="30"/>
        </w:numPr>
        <w:tabs>
          <w:tab w:val="left" w:pos="1260"/>
        </w:tabs>
        <w:rPr>
          <w:rFonts w:ascii="Times New Roman" w:hAnsi="Times New Roman" w:cs="Times New Roman"/>
        </w:rPr>
      </w:pPr>
      <w:r w:rsidRPr="00A155FA">
        <w:rPr>
          <w:rFonts w:ascii="Times New Roman" w:hAnsi="Times New Roman" w:cs="Times New Roman"/>
          <w:b/>
          <w:bCs/>
        </w:rPr>
        <w:t xml:space="preserve">311 (parietals, anterior </w:t>
      </w:r>
      <w:proofErr w:type="spellStart"/>
      <w:r w:rsidRPr="00A155FA">
        <w:rPr>
          <w:rFonts w:ascii="Times New Roman" w:hAnsi="Times New Roman" w:cs="Times New Roman"/>
          <w:b/>
          <w:bCs/>
        </w:rPr>
        <w:t>waisting</w:t>
      </w:r>
      <w:proofErr w:type="spellEnd"/>
      <w:r w:rsidRPr="00A155FA">
        <w:rPr>
          <w:rFonts w:ascii="Times New Roman" w:hAnsi="Times New Roman" w:cs="Times New Roman"/>
          <w:b/>
          <w:bCs/>
        </w:rPr>
        <w:t xml:space="preserve">):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1. As figured by Williston (1914:fig. 1) and DeMar (1966:fig. 4).</w:t>
      </w:r>
    </w:p>
    <w:p w14:paraId="17E5B742" w14:textId="77777777" w:rsidR="00FA06B2" w:rsidRPr="00A155FA" w:rsidRDefault="00FA06B2" w:rsidP="005229E5">
      <w:pPr>
        <w:pStyle w:val="ListParagraph"/>
        <w:numPr>
          <w:ilvl w:val="0"/>
          <w:numId w:val="30"/>
        </w:numPr>
        <w:tabs>
          <w:tab w:val="left" w:pos="1260"/>
        </w:tabs>
        <w:rPr>
          <w:rFonts w:ascii="Times New Roman" w:hAnsi="Times New Roman" w:cs="Times New Roman"/>
        </w:rPr>
      </w:pPr>
      <w:r w:rsidRPr="00A155FA">
        <w:rPr>
          <w:rFonts w:ascii="Times New Roman" w:hAnsi="Times New Roman" w:cs="Times New Roman"/>
          <w:b/>
          <w:bCs/>
        </w:rPr>
        <w:t>312 (parietal width):</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As with character 311.</w:t>
      </w:r>
    </w:p>
    <w:p w14:paraId="62B41C91" w14:textId="77777777" w:rsidR="00FA06B2" w:rsidRPr="00A155FA" w:rsidRDefault="00FA06B2" w:rsidP="005229E5">
      <w:pPr>
        <w:pStyle w:val="ListParagraph"/>
        <w:numPr>
          <w:ilvl w:val="0"/>
          <w:numId w:val="30"/>
        </w:numPr>
        <w:tabs>
          <w:tab w:val="left" w:pos="1260"/>
        </w:tabs>
        <w:rPr>
          <w:rFonts w:ascii="Times New Roman" w:hAnsi="Times New Roman" w:cs="Times New Roman"/>
        </w:rPr>
      </w:pPr>
      <w:r w:rsidRPr="00A155FA">
        <w:rPr>
          <w:rFonts w:ascii="Times New Roman" w:hAnsi="Times New Roman" w:cs="Times New Roman"/>
          <w:b/>
          <w:bCs/>
        </w:rPr>
        <w:t>313 (skull table):</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As with character 311.</w:t>
      </w:r>
    </w:p>
    <w:p w14:paraId="32B8CC5B" w14:textId="77777777" w:rsidR="00FA06B2" w:rsidRPr="00A155FA" w:rsidRDefault="00FA06B2" w:rsidP="005229E5">
      <w:pPr>
        <w:pStyle w:val="ListParagraph"/>
        <w:numPr>
          <w:ilvl w:val="0"/>
          <w:numId w:val="30"/>
        </w:numPr>
        <w:tabs>
          <w:tab w:val="left" w:pos="1260"/>
        </w:tabs>
        <w:rPr>
          <w:rFonts w:ascii="Times New Roman" w:hAnsi="Times New Roman" w:cs="Times New Roman"/>
        </w:rPr>
      </w:pPr>
      <w:r w:rsidRPr="00A155FA">
        <w:rPr>
          <w:rFonts w:ascii="Times New Roman" w:hAnsi="Times New Roman" w:cs="Times New Roman"/>
          <w:b/>
          <w:bCs/>
        </w:rPr>
        <w:t>314 (prefrontals):</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As with character 311.</w:t>
      </w:r>
    </w:p>
    <w:p w14:paraId="76848530" w14:textId="77777777" w:rsidR="00FA06B2" w:rsidRPr="00A155FA" w:rsidRDefault="00FA06B2" w:rsidP="005229E5">
      <w:pPr>
        <w:pStyle w:val="ListParagraph"/>
        <w:numPr>
          <w:ilvl w:val="0"/>
          <w:numId w:val="30"/>
        </w:numPr>
        <w:tabs>
          <w:tab w:val="left" w:pos="1260"/>
        </w:tabs>
        <w:rPr>
          <w:rFonts w:ascii="Times New Roman" w:hAnsi="Times New Roman" w:cs="Times New Roman"/>
        </w:rPr>
      </w:pPr>
      <w:r w:rsidRPr="00A155FA">
        <w:rPr>
          <w:rFonts w:ascii="Times New Roman" w:hAnsi="Times New Roman" w:cs="Times New Roman"/>
          <w:b/>
          <w:bCs/>
        </w:rPr>
        <w:t>315 (postfrontals):</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As with character 311.</w:t>
      </w:r>
    </w:p>
    <w:p w14:paraId="54F6833D" w14:textId="77777777" w:rsidR="00FA06B2" w:rsidRPr="00A155FA" w:rsidRDefault="00FA06B2" w:rsidP="005229E5">
      <w:pPr>
        <w:pStyle w:val="ListParagraph"/>
        <w:numPr>
          <w:ilvl w:val="0"/>
          <w:numId w:val="30"/>
        </w:numPr>
        <w:tabs>
          <w:tab w:val="left" w:pos="1260"/>
        </w:tabs>
        <w:rPr>
          <w:rFonts w:ascii="Times New Roman" w:hAnsi="Times New Roman" w:cs="Times New Roman"/>
          <w:b/>
          <w:bCs/>
        </w:rPr>
      </w:pPr>
      <w:r w:rsidRPr="00A155FA">
        <w:rPr>
          <w:rFonts w:ascii="Times New Roman" w:hAnsi="Times New Roman" w:cs="Times New Roman"/>
          <w:b/>
          <w:bCs/>
        </w:rPr>
        <w:t xml:space="preserve">317 (zygokrotaphy):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As with character 311.</w:t>
      </w:r>
    </w:p>
    <w:p w14:paraId="10159E4B"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r w:rsidRPr="00A155FA">
        <w:rPr>
          <w:rFonts w:ascii="Times New Roman" w:hAnsi="Times New Roman" w:cs="Times New Roman"/>
          <w:b/>
          <w:bCs/>
          <w:i/>
          <w:iCs/>
        </w:rPr>
        <w:t>Dissorophus multicinctus</w:t>
      </w:r>
    </w:p>
    <w:p w14:paraId="286662A3" w14:textId="77777777" w:rsidR="00FA06B2" w:rsidRPr="00A155FA" w:rsidRDefault="00FA06B2" w:rsidP="005229E5">
      <w:pPr>
        <w:pStyle w:val="ListParagraph"/>
        <w:numPr>
          <w:ilvl w:val="0"/>
          <w:numId w:val="31"/>
        </w:numPr>
        <w:tabs>
          <w:tab w:val="left" w:pos="1260"/>
        </w:tabs>
        <w:rPr>
          <w:rFonts w:ascii="Times New Roman" w:hAnsi="Times New Roman" w:cs="Times New Roman"/>
        </w:rPr>
      </w:pPr>
      <w:r w:rsidRPr="00A155FA">
        <w:rPr>
          <w:rFonts w:ascii="Times New Roman" w:hAnsi="Times New Roman" w:cs="Times New Roman"/>
          <w:b/>
          <w:bCs/>
        </w:rPr>
        <w:t xml:space="preserve">47 (postorbital shape):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0. Figures by DeMar (1968:fig. 2A) and reconstructions by Schoch (2012:figs. 1C, 3C) show a triangular postorbital that divides the squamosal and supratemporal.</w:t>
      </w:r>
    </w:p>
    <w:p w14:paraId="7AE2D450" w14:textId="77777777" w:rsidR="00FA06B2" w:rsidRPr="00A155FA" w:rsidRDefault="00FA06B2" w:rsidP="005229E5">
      <w:pPr>
        <w:pStyle w:val="ListParagraph"/>
        <w:numPr>
          <w:ilvl w:val="0"/>
          <w:numId w:val="31"/>
        </w:numPr>
        <w:tabs>
          <w:tab w:val="left" w:pos="1260"/>
        </w:tabs>
        <w:rPr>
          <w:rFonts w:ascii="Times New Roman" w:hAnsi="Times New Roman" w:cs="Times New Roman"/>
        </w:rPr>
      </w:pPr>
      <w:r w:rsidRPr="00A155FA">
        <w:rPr>
          <w:rFonts w:ascii="Times New Roman" w:hAnsi="Times New Roman" w:cs="Times New Roman"/>
          <w:b/>
          <w:bCs/>
        </w:rPr>
        <w:t>75 (quadrate and occipital condyles):</w:t>
      </w:r>
      <w:r w:rsidRPr="00A155FA">
        <w:rPr>
          <w:rFonts w:ascii="Times New Roman" w:hAnsi="Times New Roman" w:cs="Times New Roman"/>
        </w:rPr>
        <w:t xml:space="preserve"> 2 </w:t>
      </w:r>
      <w:r w:rsidRPr="00A155FA">
        <w:rPr>
          <w:rFonts w:ascii="Times New Roman" w:eastAsia="Wingdings" w:hAnsi="Times New Roman" w:cs="Times New Roman"/>
        </w:rPr>
        <w:t>→</w:t>
      </w:r>
      <w:r w:rsidRPr="00A155FA">
        <w:rPr>
          <w:rFonts w:ascii="Times New Roman" w:hAnsi="Times New Roman" w:cs="Times New Roman"/>
        </w:rPr>
        <w:t xml:space="preserve"> 1. Schoch (2012:fig. 3D) reconstructed this taxon for 75–2, but the most recent description of this taxon by DeMar (1968:fig. 2B) depicted a condition closer to 75–1, which is what Dilkes (2020:22) advocated for in a reanalysis of a dissorophid-focused matrix.</w:t>
      </w:r>
    </w:p>
    <w:p w14:paraId="6AF7FDBE"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r w:rsidRPr="00A155FA">
        <w:rPr>
          <w:rFonts w:ascii="Times New Roman" w:hAnsi="Times New Roman" w:cs="Times New Roman"/>
          <w:b/>
          <w:bCs/>
          <w:i/>
          <w:iCs/>
        </w:rPr>
        <w:t>Acheloma cumminsi</w:t>
      </w:r>
    </w:p>
    <w:p w14:paraId="46CE4574" w14:textId="77777777" w:rsidR="00FA06B2" w:rsidRPr="00A155FA" w:rsidRDefault="00FA06B2" w:rsidP="00B953AE">
      <w:pPr>
        <w:tabs>
          <w:tab w:val="left" w:pos="1260"/>
        </w:tabs>
      </w:pPr>
      <w:r w:rsidRPr="00A155FA">
        <w:t xml:space="preserve">*Note that these changes are considered to be applicable regardless of whether </w:t>
      </w:r>
      <w:r w:rsidRPr="00A155FA">
        <w:rPr>
          <w:i/>
          <w:iCs/>
        </w:rPr>
        <w:t xml:space="preserve">A. cumminsi </w:t>
      </w:r>
      <w:r w:rsidRPr="00A155FA">
        <w:t>(sensu Polley &amp; Reisz, 2011) or ‘</w:t>
      </w:r>
      <w:r w:rsidRPr="00A155FA">
        <w:rPr>
          <w:i/>
          <w:iCs/>
        </w:rPr>
        <w:t>A. dunni</w:t>
      </w:r>
      <w:r w:rsidRPr="00A155FA">
        <w:t>’ (sensu Polley &amp; Reisz, 2011)</w:t>
      </w:r>
      <w:r w:rsidRPr="00A155FA">
        <w:rPr>
          <w:i/>
          <w:iCs/>
        </w:rPr>
        <w:t xml:space="preserve"> </w:t>
      </w:r>
      <w:r w:rsidRPr="00A155FA">
        <w:t xml:space="preserve">is employed. </w:t>
      </w:r>
    </w:p>
    <w:p w14:paraId="724B4E7A" w14:textId="77777777" w:rsidR="00FA06B2" w:rsidRPr="00A155FA" w:rsidRDefault="00FA06B2" w:rsidP="005229E5">
      <w:pPr>
        <w:pStyle w:val="ListParagraph"/>
        <w:numPr>
          <w:ilvl w:val="0"/>
          <w:numId w:val="32"/>
        </w:numPr>
        <w:tabs>
          <w:tab w:val="left" w:pos="1260"/>
        </w:tabs>
        <w:rPr>
          <w:rFonts w:ascii="Times New Roman" w:hAnsi="Times New Roman" w:cs="Times New Roman"/>
          <w:b/>
          <w:bCs/>
        </w:rPr>
      </w:pPr>
      <w:r w:rsidRPr="00A155FA">
        <w:rPr>
          <w:rFonts w:ascii="Times New Roman" w:hAnsi="Times New Roman" w:cs="Times New Roman"/>
          <w:b/>
          <w:bCs/>
        </w:rPr>
        <w:t xml:space="preserve">37 (maxilla, anterior margin):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Lateral swelling in this region is characteristic of this taxon due to its caniniform dentition (e.g., Williston, 1909:fig. 1; Dilkes &amp; Reisz, 1987:figs. 2A, 3A; Polley &amp; Reisz, 2011:fig. 1).</w:t>
      </w:r>
    </w:p>
    <w:p w14:paraId="4E0E8845" w14:textId="77777777" w:rsidR="00FA06B2" w:rsidRPr="00A155FA" w:rsidRDefault="00FA06B2" w:rsidP="005229E5">
      <w:pPr>
        <w:pStyle w:val="ListParagraph"/>
        <w:numPr>
          <w:ilvl w:val="0"/>
          <w:numId w:val="32"/>
        </w:numPr>
        <w:tabs>
          <w:tab w:val="left" w:pos="1260"/>
        </w:tabs>
        <w:rPr>
          <w:rFonts w:ascii="Times New Roman" w:hAnsi="Times New Roman" w:cs="Times New Roman"/>
          <w:b/>
          <w:bCs/>
        </w:rPr>
      </w:pPr>
      <w:r w:rsidRPr="00A155FA">
        <w:rPr>
          <w:rFonts w:ascii="Times New Roman" w:hAnsi="Times New Roman" w:cs="Times New Roman"/>
          <w:b/>
          <w:bCs/>
        </w:rPr>
        <w:t xml:space="preserve">100 (choana, medial):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The anteromedial expansion of the choana (e.g., Polley &amp; Reisz, 2011:figs. 1, 7) is autapomorphic for this taxon among trematopids (Gee, 2020).</w:t>
      </w:r>
    </w:p>
    <w:p w14:paraId="1E8E92EA" w14:textId="77777777" w:rsidR="00FA06B2" w:rsidRPr="00A155FA" w:rsidRDefault="00FA06B2" w:rsidP="005229E5">
      <w:pPr>
        <w:pStyle w:val="ListParagraph"/>
        <w:numPr>
          <w:ilvl w:val="0"/>
          <w:numId w:val="32"/>
        </w:numPr>
        <w:tabs>
          <w:tab w:val="left" w:pos="1260"/>
        </w:tabs>
        <w:rPr>
          <w:rFonts w:ascii="Times New Roman" w:hAnsi="Times New Roman" w:cs="Times New Roman"/>
          <w:b/>
          <w:bCs/>
        </w:rPr>
      </w:pPr>
      <w:r w:rsidRPr="00A155FA">
        <w:rPr>
          <w:rFonts w:ascii="Times New Roman" w:hAnsi="Times New Roman" w:cs="Times New Roman"/>
          <w:b/>
          <w:bCs/>
        </w:rPr>
        <w:t xml:space="preserve">209 (osteoderms):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0. Osteoderms are not found in this taxon (e.g., Olson, 1941; Dilkes &amp; Reisz, 1987).</w:t>
      </w:r>
    </w:p>
    <w:p w14:paraId="5EA6D84C" w14:textId="77777777" w:rsidR="00FA06B2" w:rsidRPr="00A155FA" w:rsidRDefault="00FA06B2" w:rsidP="005229E5">
      <w:pPr>
        <w:pStyle w:val="ListParagraph"/>
        <w:numPr>
          <w:ilvl w:val="0"/>
          <w:numId w:val="32"/>
        </w:numPr>
        <w:tabs>
          <w:tab w:val="left" w:pos="1260"/>
        </w:tabs>
        <w:rPr>
          <w:rFonts w:ascii="Times New Roman" w:hAnsi="Times New Roman" w:cs="Times New Roman"/>
          <w:b/>
          <w:bCs/>
        </w:rPr>
      </w:pPr>
      <w:r w:rsidRPr="00A155FA">
        <w:rPr>
          <w:rFonts w:ascii="Times New Roman" w:hAnsi="Times New Roman" w:cs="Times New Roman"/>
          <w:b/>
          <w:bCs/>
        </w:rPr>
        <w:t xml:space="preserve">214 (skull to trunk):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Williston’s (1909:fig. 6) reconstruction is based on the holotype of ‘</w:t>
      </w:r>
      <w:r w:rsidRPr="00A155FA">
        <w:rPr>
          <w:rFonts w:ascii="Times New Roman" w:hAnsi="Times New Roman" w:cs="Times New Roman"/>
          <w:i/>
          <w:iCs/>
        </w:rPr>
        <w:t>Trematops milleri</w:t>
      </w:r>
      <w:r w:rsidRPr="00A155FA">
        <w:rPr>
          <w:rFonts w:ascii="Times New Roman" w:hAnsi="Times New Roman" w:cs="Times New Roman"/>
        </w:rPr>
        <w:t>’, which has an essentially complete presacral column and skull.</w:t>
      </w:r>
    </w:p>
    <w:p w14:paraId="41C4CBC7" w14:textId="77777777" w:rsidR="00FA06B2" w:rsidRPr="00A155FA" w:rsidRDefault="00FA06B2" w:rsidP="005229E5">
      <w:pPr>
        <w:pStyle w:val="ListParagraph"/>
        <w:numPr>
          <w:ilvl w:val="0"/>
          <w:numId w:val="32"/>
        </w:numPr>
        <w:tabs>
          <w:tab w:val="left" w:pos="1260"/>
        </w:tabs>
        <w:rPr>
          <w:rFonts w:ascii="Times New Roman" w:hAnsi="Times New Roman" w:cs="Times New Roman"/>
          <w:b/>
          <w:bCs/>
        </w:rPr>
      </w:pPr>
      <w:r w:rsidRPr="00A155FA">
        <w:rPr>
          <w:rFonts w:ascii="Times New Roman" w:hAnsi="Times New Roman" w:cs="Times New Roman"/>
          <w:b/>
          <w:bCs/>
        </w:rPr>
        <w:t xml:space="preserve">220 (lacrimal-orbit):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1. This contact is well-documented (Olson, 1941:figs. 2A, 6; Dilkes &amp; Reisz, 1987:fig. 3; Polley &amp; Reisz, 2011:figs. 1–5).</w:t>
      </w:r>
    </w:p>
    <w:p w14:paraId="35CA67E9" w14:textId="77777777" w:rsidR="00FA06B2" w:rsidRPr="00A155FA" w:rsidRDefault="00FA06B2" w:rsidP="005229E5">
      <w:pPr>
        <w:pStyle w:val="ListParagraph"/>
        <w:numPr>
          <w:ilvl w:val="0"/>
          <w:numId w:val="32"/>
        </w:numPr>
        <w:tabs>
          <w:tab w:val="left" w:pos="1260"/>
        </w:tabs>
        <w:rPr>
          <w:rFonts w:ascii="Times New Roman" w:hAnsi="Times New Roman" w:cs="Times New Roman"/>
          <w:b/>
          <w:bCs/>
        </w:rPr>
      </w:pPr>
      <w:r w:rsidRPr="00A155FA">
        <w:rPr>
          <w:rFonts w:ascii="Times New Roman" w:hAnsi="Times New Roman" w:cs="Times New Roman"/>
          <w:b/>
          <w:bCs/>
        </w:rPr>
        <w:t xml:space="preserve">249 (denticles on pterygoid):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As reported by Polley &amp; Reisz (2011:803).</w:t>
      </w:r>
    </w:p>
    <w:p w14:paraId="31012E96" w14:textId="77777777" w:rsidR="00FA06B2" w:rsidRPr="00A155FA" w:rsidRDefault="00FA06B2" w:rsidP="005229E5">
      <w:pPr>
        <w:pStyle w:val="ListParagraph"/>
        <w:numPr>
          <w:ilvl w:val="0"/>
          <w:numId w:val="32"/>
        </w:numPr>
        <w:tabs>
          <w:tab w:val="left" w:pos="1260"/>
        </w:tabs>
        <w:rPr>
          <w:rFonts w:ascii="Times New Roman" w:hAnsi="Times New Roman" w:cs="Times New Roman"/>
        </w:rPr>
      </w:pPr>
      <w:r w:rsidRPr="00A155FA">
        <w:rPr>
          <w:rFonts w:ascii="Times New Roman" w:hAnsi="Times New Roman" w:cs="Times New Roman"/>
          <w:b/>
          <w:bCs/>
        </w:rPr>
        <w:t xml:space="preserve">251 (denticles on vomers):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Polley &amp; Reisz (2011:801) stated that the vomer is covered in denticles.</w:t>
      </w:r>
    </w:p>
    <w:p w14:paraId="1564FB46" w14:textId="77777777" w:rsidR="00FA06B2" w:rsidRPr="00A155FA" w:rsidRDefault="00FA06B2" w:rsidP="005229E5">
      <w:pPr>
        <w:pStyle w:val="ListParagraph"/>
        <w:numPr>
          <w:ilvl w:val="0"/>
          <w:numId w:val="32"/>
        </w:numPr>
        <w:tabs>
          <w:tab w:val="left" w:pos="1260"/>
        </w:tabs>
        <w:rPr>
          <w:rFonts w:ascii="Times New Roman" w:hAnsi="Times New Roman" w:cs="Times New Roman"/>
        </w:rPr>
      </w:pPr>
      <w:r w:rsidRPr="00A155FA">
        <w:rPr>
          <w:rFonts w:ascii="Times New Roman" w:hAnsi="Times New Roman" w:cs="Times New Roman"/>
          <w:b/>
          <w:bCs/>
        </w:rPr>
        <w:lastRenderedPageBreak/>
        <w:t xml:space="preserve">252 (denticles on palatines):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Polley &amp; Reisz (2011:fig. 1) did not comment on the presence or absence of denticles in the text but did figure a loose covering.</w:t>
      </w:r>
    </w:p>
    <w:p w14:paraId="03EC4698" w14:textId="77777777" w:rsidR="00FA06B2" w:rsidRPr="00A155FA" w:rsidRDefault="00FA06B2" w:rsidP="005229E5">
      <w:pPr>
        <w:pStyle w:val="ListParagraph"/>
        <w:numPr>
          <w:ilvl w:val="0"/>
          <w:numId w:val="32"/>
        </w:numPr>
        <w:tabs>
          <w:tab w:val="left" w:pos="1260"/>
        </w:tabs>
        <w:rPr>
          <w:rFonts w:ascii="Times New Roman" w:hAnsi="Times New Roman" w:cs="Times New Roman"/>
        </w:rPr>
      </w:pPr>
      <w:r w:rsidRPr="00A155FA">
        <w:rPr>
          <w:rFonts w:ascii="Times New Roman" w:hAnsi="Times New Roman" w:cs="Times New Roman"/>
          <w:b/>
          <w:bCs/>
        </w:rPr>
        <w:t xml:space="preserve">287 (atlas-axis intercentra):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Williston (1909:645–646) and Polley &amp; Reisz (2011:805) described intercentra of both positions.</w:t>
      </w:r>
    </w:p>
    <w:p w14:paraId="1A5CDE82" w14:textId="77777777" w:rsidR="00FA06B2" w:rsidRPr="00A155FA" w:rsidRDefault="00FA06B2" w:rsidP="005229E5">
      <w:pPr>
        <w:pStyle w:val="ListParagraph"/>
        <w:numPr>
          <w:ilvl w:val="0"/>
          <w:numId w:val="32"/>
        </w:numPr>
        <w:tabs>
          <w:tab w:val="left" w:pos="1260"/>
        </w:tabs>
        <w:rPr>
          <w:rFonts w:ascii="Times New Roman" w:hAnsi="Times New Roman" w:cs="Times New Roman"/>
        </w:rPr>
      </w:pPr>
      <w:r w:rsidRPr="00A155FA">
        <w:rPr>
          <w:rFonts w:ascii="Times New Roman" w:hAnsi="Times New Roman" w:cs="Times New Roman"/>
          <w:b/>
          <w:bCs/>
        </w:rPr>
        <w:t xml:space="preserve">288 (atlas anterior centrum):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1. As with character 287.</w:t>
      </w:r>
    </w:p>
    <w:p w14:paraId="77D0D7EC" w14:textId="77777777" w:rsidR="00FA06B2" w:rsidRPr="00A155FA" w:rsidRDefault="00FA06B2" w:rsidP="005229E5">
      <w:pPr>
        <w:pStyle w:val="ListParagraph"/>
        <w:numPr>
          <w:ilvl w:val="0"/>
          <w:numId w:val="32"/>
        </w:numPr>
        <w:tabs>
          <w:tab w:val="left" w:pos="1260"/>
        </w:tabs>
        <w:rPr>
          <w:rFonts w:ascii="Times New Roman" w:hAnsi="Times New Roman" w:cs="Times New Roman"/>
        </w:rPr>
      </w:pPr>
      <w:r w:rsidRPr="00A155FA">
        <w:rPr>
          <w:rFonts w:ascii="Times New Roman" w:hAnsi="Times New Roman" w:cs="Times New Roman"/>
          <w:b/>
          <w:bCs/>
        </w:rPr>
        <w:t>289 (atlas centrum):</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1. As with character 287.</w:t>
      </w:r>
    </w:p>
    <w:p w14:paraId="21F86981" w14:textId="77777777" w:rsidR="00FA06B2" w:rsidRPr="00A155FA" w:rsidRDefault="00FA06B2" w:rsidP="005229E5">
      <w:pPr>
        <w:pStyle w:val="ListParagraph"/>
        <w:numPr>
          <w:ilvl w:val="0"/>
          <w:numId w:val="32"/>
        </w:numPr>
        <w:tabs>
          <w:tab w:val="left" w:pos="1260"/>
        </w:tabs>
        <w:rPr>
          <w:rFonts w:ascii="Times New Roman" w:hAnsi="Times New Roman" w:cs="Times New Roman"/>
        </w:rPr>
      </w:pPr>
      <w:r w:rsidRPr="00A155FA">
        <w:rPr>
          <w:rFonts w:ascii="Times New Roman" w:hAnsi="Times New Roman" w:cs="Times New Roman"/>
          <w:b/>
          <w:bCs/>
        </w:rPr>
        <w:t>290 (atlas neural arch):</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1/2. Whether the arch is co-ossified or merely tightly sutured with the centrum is unclear.</w:t>
      </w:r>
    </w:p>
    <w:p w14:paraId="51F43B93" w14:textId="77777777" w:rsidR="00FA06B2" w:rsidRPr="00A155FA" w:rsidRDefault="00FA06B2" w:rsidP="005229E5">
      <w:pPr>
        <w:pStyle w:val="ListParagraph"/>
        <w:numPr>
          <w:ilvl w:val="0"/>
          <w:numId w:val="32"/>
        </w:numPr>
        <w:tabs>
          <w:tab w:val="left" w:pos="1260"/>
        </w:tabs>
        <w:rPr>
          <w:rFonts w:ascii="Times New Roman" w:hAnsi="Times New Roman" w:cs="Times New Roman"/>
        </w:rPr>
      </w:pPr>
      <w:r w:rsidRPr="00A155FA">
        <w:rPr>
          <w:rFonts w:ascii="Times New Roman" w:hAnsi="Times New Roman" w:cs="Times New Roman"/>
          <w:b/>
          <w:bCs/>
        </w:rPr>
        <w:t xml:space="preserve">292 (atlas, neural arch):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The arch forms two separate prongs (Polley &amp; Reisz, 2011:fig. 12C).</w:t>
      </w:r>
    </w:p>
    <w:p w14:paraId="219E5BB5" w14:textId="77777777" w:rsidR="00FA06B2" w:rsidRPr="00A155FA" w:rsidRDefault="00FA06B2" w:rsidP="005229E5">
      <w:pPr>
        <w:pStyle w:val="ListParagraph"/>
        <w:numPr>
          <w:ilvl w:val="0"/>
          <w:numId w:val="32"/>
        </w:numPr>
        <w:tabs>
          <w:tab w:val="left" w:pos="1260"/>
        </w:tabs>
        <w:rPr>
          <w:rFonts w:ascii="Times New Roman" w:hAnsi="Times New Roman" w:cs="Times New Roman"/>
        </w:rPr>
      </w:pPr>
      <w:r w:rsidRPr="00A155FA">
        <w:rPr>
          <w:rFonts w:ascii="Times New Roman" w:hAnsi="Times New Roman" w:cs="Times New Roman"/>
          <w:b/>
          <w:bCs/>
        </w:rPr>
        <w:t>293 (proatlantes):</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1. The completeness with which the skeleton is known confers confidence in the absence of proatlantes.</w:t>
      </w:r>
    </w:p>
    <w:p w14:paraId="5330F868" w14:textId="77777777" w:rsidR="00FA06B2" w:rsidRPr="00A155FA" w:rsidRDefault="00FA06B2" w:rsidP="005229E5">
      <w:pPr>
        <w:pStyle w:val="ListParagraph"/>
        <w:numPr>
          <w:ilvl w:val="0"/>
          <w:numId w:val="32"/>
        </w:numPr>
        <w:tabs>
          <w:tab w:val="left" w:pos="1260"/>
        </w:tabs>
        <w:rPr>
          <w:rFonts w:ascii="Times New Roman" w:hAnsi="Times New Roman" w:cs="Times New Roman"/>
          <w:b/>
          <w:bCs/>
        </w:rPr>
      </w:pPr>
      <w:r w:rsidRPr="00A155FA">
        <w:rPr>
          <w:rFonts w:ascii="Times New Roman" w:hAnsi="Times New Roman" w:cs="Times New Roman"/>
          <w:b/>
          <w:bCs/>
        </w:rPr>
        <w:t xml:space="preserve">305 (olecranon process):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1. This process was documented in the most mature specimens by Olson (1941:168).</w:t>
      </w:r>
    </w:p>
    <w:p w14:paraId="18B69CD4" w14:textId="77777777" w:rsidR="00FA06B2" w:rsidRPr="00A155FA" w:rsidRDefault="00FA06B2" w:rsidP="005229E5">
      <w:pPr>
        <w:pStyle w:val="ListParagraph"/>
        <w:numPr>
          <w:ilvl w:val="0"/>
          <w:numId w:val="32"/>
        </w:numPr>
        <w:tabs>
          <w:tab w:val="left" w:pos="1260"/>
        </w:tabs>
        <w:rPr>
          <w:rFonts w:ascii="Times New Roman" w:hAnsi="Times New Roman" w:cs="Times New Roman"/>
          <w:b/>
          <w:bCs/>
        </w:rPr>
      </w:pPr>
      <w:r w:rsidRPr="00A155FA">
        <w:rPr>
          <w:rFonts w:ascii="Times New Roman" w:hAnsi="Times New Roman" w:cs="Times New Roman"/>
          <w:b/>
          <w:bCs/>
        </w:rPr>
        <w:t xml:space="preserve">309 (number of distal tarsals):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1. The number of tarsals was documented by Dilkes (2014).</w:t>
      </w:r>
    </w:p>
    <w:p w14:paraId="30AB2BD6" w14:textId="77777777" w:rsidR="00FA06B2" w:rsidRPr="00A155FA" w:rsidRDefault="00FA06B2" w:rsidP="005229E5">
      <w:pPr>
        <w:pStyle w:val="ListParagraph"/>
        <w:numPr>
          <w:ilvl w:val="0"/>
          <w:numId w:val="62"/>
        </w:numPr>
        <w:tabs>
          <w:tab w:val="left" w:pos="1260"/>
        </w:tabs>
        <w:rPr>
          <w:rFonts w:ascii="Times New Roman" w:hAnsi="Times New Roman" w:cs="Times New Roman"/>
          <w:b/>
          <w:bCs/>
        </w:rPr>
      </w:pPr>
      <w:r w:rsidRPr="00A155FA">
        <w:rPr>
          <w:rFonts w:ascii="Times New Roman" w:hAnsi="Times New Roman" w:cs="Times New Roman"/>
          <w:b/>
          <w:bCs/>
          <w:i/>
          <w:iCs/>
        </w:rPr>
        <w:t>Phonerpeton pricei</w:t>
      </w:r>
    </w:p>
    <w:p w14:paraId="31BD7AC6" w14:textId="77777777" w:rsidR="00FA06B2" w:rsidRPr="00A155FA" w:rsidRDefault="00FA06B2" w:rsidP="005229E5">
      <w:pPr>
        <w:pStyle w:val="ListParagraph"/>
        <w:numPr>
          <w:ilvl w:val="0"/>
          <w:numId w:val="33"/>
        </w:numPr>
        <w:tabs>
          <w:tab w:val="left" w:pos="1260"/>
        </w:tabs>
        <w:rPr>
          <w:rFonts w:ascii="Times New Roman" w:hAnsi="Times New Roman" w:cs="Times New Roman"/>
          <w:b/>
          <w:bCs/>
        </w:rPr>
      </w:pPr>
      <w:r w:rsidRPr="00A155FA">
        <w:rPr>
          <w:rFonts w:ascii="Times New Roman" w:hAnsi="Times New Roman" w:cs="Times New Roman"/>
          <w:b/>
          <w:bCs/>
        </w:rPr>
        <w:t xml:space="preserve">37 (maxilla, anterior margin):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Lateral swelling in this region is characteristic of this taxon due to its caniniform dentition (Dilkes, 1990:224, fig. 1A-B).</w:t>
      </w:r>
    </w:p>
    <w:p w14:paraId="4D1BC317" w14:textId="77777777" w:rsidR="00FA06B2" w:rsidRPr="00A155FA" w:rsidRDefault="00FA06B2" w:rsidP="005229E5">
      <w:pPr>
        <w:pStyle w:val="ListParagraph"/>
        <w:numPr>
          <w:ilvl w:val="0"/>
          <w:numId w:val="33"/>
        </w:numPr>
        <w:tabs>
          <w:tab w:val="left" w:pos="1260"/>
        </w:tabs>
        <w:rPr>
          <w:rFonts w:ascii="Times New Roman" w:hAnsi="Times New Roman" w:cs="Times New Roman"/>
        </w:rPr>
      </w:pPr>
      <w:r w:rsidRPr="00A155FA">
        <w:rPr>
          <w:rFonts w:ascii="Times New Roman" w:hAnsi="Times New Roman" w:cs="Times New Roman"/>
          <w:b/>
          <w:bCs/>
        </w:rPr>
        <w:t xml:space="preserve">179 (interclavicle, length):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There is no documented interclavicle for this taxon (Dilkes, 1990), and other interclavicle characters (180–187) were not originally coded.</w:t>
      </w:r>
    </w:p>
    <w:p w14:paraId="3D1815EF" w14:textId="77777777" w:rsidR="00FA06B2" w:rsidRPr="00A155FA" w:rsidRDefault="00FA06B2" w:rsidP="005229E5">
      <w:pPr>
        <w:pStyle w:val="ListParagraph"/>
        <w:numPr>
          <w:ilvl w:val="0"/>
          <w:numId w:val="33"/>
        </w:numPr>
        <w:tabs>
          <w:tab w:val="left" w:pos="1260"/>
        </w:tabs>
        <w:rPr>
          <w:rFonts w:ascii="Times New Roman" w:hAnsi="Times New Roman" w:cs="Times New Roman"/>
        </w:rPr>
      </w:pPr>
      <w:r w:rsidRPr="00A155FA">
        <w:rPr>
          <w:rFonts w:ascii="Times New Roman" w:hAnsi="Times New Roman" w:cs="Times New Roman"/>
          <w:b/>
          <w:bCs/>
        </w:rPr>
        <w:t xml:space="preserve">209 (osteoderms):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0. Osteoderms are not found in this taxon (Dilkes, 1990).</w:t>
      </w:r>
    </w:p>
    <w:p w14:paraId="600E3DBA" w14:textId="77777777" w:rsidR="00FA06B2" w:rsidRPr="00A155FA" w:rsidRDefault="00FA06B2" w:rsidP="005229E5">
      <w:pPr>
        <w:pStyle w:val="ListParagraph"/>
        <w:numPr>
          <w:ilvl w:val="0"/>
          <w:numId w:val="33"/>
        </w:numPr>
        <w:tabs>
          <w:tab w:val="left" w:pos="1260"/>
        </w:tabs>
        <w:rPr>
          <w:rFonts w:ascii="Times New Roman" w:hAnsi="Times New Roman" w:cs="Times New Roman"/>
        </w:rPr>
      </w:pPr>
      <w:r w:rsidRPr="00A155FA">
        <w:rPr>
          <w:rFonts w:ascii="Times New Roman" w:hAnsi="Times New Roman" w:cs="Times New Roman"/>
          <w:b/>
          <w:bCs/>
        </w:rPr>
        <w:t xml:space="preserve">220 (lacrimal-orbit):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1. This contact is well-documented (Dilkes, 1990:figs. 1, 3–4).</w:t>
      </w:r>
    </w:p>
    <w:p w14:paraId="1D62E27D" w14:textId="77777777" w:rsidR="00FA06B2" w:rsidRPr="00A155FA" w:rsidRDefault="00FA06B2" w:rsidP="005229E5">
      <w:pPr>
        <w:pStyle w:val="ListParagraph"/>
        <w:numPr>
          <w:ilvl w:val="0"/>
          <w:numId w:val="33"/>
        </w:numPr>
        <w:tabs>
          <w:tab w:val="left" w:pos="1260"/>
        </w:tabs>
        <w:rPr>
          <w:rFonts w:ascii="Times New Roman" w:hAnsi="Times New Roman" w:cs="Times New Roman"/>
        </w:rPr>
      </w:pPr>
      <w:r w:rsidRPr="00A155FA">
        <w:rPr>
          <w:rFonts w:ascii="Times New Roman" w:hAnsi="Times New Roman" w:cs="Times New Roman"/>
          <w:b/>
          <w:bCs/>
        </w:rPr>
        <w:t xml:space="preserve">251 (denticles on vomers):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Dilkes (1990:231, fig. 1B) stated all palatal surfaces are covered in denticles.</w:t>
      </w:r>
    </w:p>
    <w:p w14:paraId="759787AF" w14:textId="77777777" w:rsidR="00FA06B2" w:rsidRPr="00A155FA" w:rsidRDefault="00FA06B2" w:rsidP="005229E5">
      <w:pPr>
        <w:pStyle w:val="ListParagraph"/>
        <w:numPr>
          <w:ilvl w:val="0"/>
          <w:numId w:val="33"/>
        </w:numPr>
        <w:tabs>
          <w:tab w:val="left" w:pos="1260"/>
        </w:tabs>
        <w:rPr>
          <w:rFonts w:ascii="Times New Roman" w:hAnsi="Times New Roman" w:cs="Times New Roman"/>
        </w:rPr>
      </w:pPr>
      <w:r w:rsidRPr="00A155FA">
        <w:rPr>
          <w:rFonts w:ascii="Times New Roman" w:hAnsi="Times New Roman" w:cs="Times New Roman"/>
          <w:b/>
          <w:bCs/>
        </w:rPr>
        <w:t xml:space="preserve">252 (denticles on palatines):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As with character 251.</w:t>
      </w:r>
    </w:p>
    <w:p w14:paraId="35D50001" w14:textId="77777777" w:rsidR="00FA06B2" w:rsidRPr="00A155FA" w:rsidRDefault="00FA06B2" w:rsidP="005229E5">
      <w:pPr>
        <w:pStyle w:val="ListParagraph"/>
        <w:numPr>
          <w:ilvl w:val="0"/>
          <w:numId w:val="33"/>
        </w:numPr>
        <w:tabs>
          <w:tab w:val="left" w:pos="1260"/>
        </w:tabs>
        <w:rPr>
          <w:rFonts w:ascii="Times New Roman" w:hAnsi="Times New Roman" w:cs="Times New Roman"/>
        </w:rPr>
      </w:pPr>
      <w:r w:rsidRPr="00A155FA">
        <w:rPr>
          <w:rFonts w:ascii="Times New Roman" w:hAnsi="Times New Roman" w:cs="Times New Roman"/>
          <w:b/>
          <w:bCs/>
        </w:rPr>
        <w:t>305 (olecranon process):</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1. This process is documented by Dilkes (1990:237).</w:t>
      </w:r>
    </w:p>
    <w:p w14:paraId="476DFC88"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r w:rsidRPr="00A155FA">
        <w:rPr>
          <w:rFonts w:ascii="Times New Roman" w:hAnsi="Times New Roman" w:cs="Times New Roman"/>
          <w:b/>
          <w:bCs/>
          <w:i/>
          <w:iCs/>
        </w:rPr>
        <w:t>Onchiodon labyrinthicus</w:t>
      </w:r>
    </w:p>
    <w:p w14:paraId="30AAD510" w14:textId="77777777" w:rsidR="00FA06B2" w:rsidRPr="00A155FA" w:rsidRDefault="00FA06B2" w:rsidP="005229E5">
      <w:pPr>
        <w:pStyle w:val="ListParagraph"/>
        <w:numPr>
          <w:ilvl w:val="0"/>
          <w:numId w:val="34"/>
        </w:numPr>
        <w:tabs>
          <w:tab w:val="left" w:pos="1260"/>
        </w:tabs>
        <w:rPr>
          <w:rFonts w:ascii="Times New Roman" w:hAnsi="Times New Roman" w:cs="Times New Roman"/>
        </w:rPr>
      </w:pPr>
      <w:r w:rsidRPr="00A155FA">
        <w:rPr>
          <w:rFonts w:ascii="Times New Roman" w:hAnsi="Times New Roman" w:cs="Times New Roman"/>
          <w:b/>
          <w:bCs/>
        </w:rPr>
        <w:t>121 (pterygoid, flange):</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1. A prominent flange is found in large individuals (Boy, 1990:fig. 3B).</w:t>
      </w:r>
    </w:p>
    <w:p w14:paraId="24BC82AF" w14:textId="77777777" w:rsidR="00FA06B2" w:rsidRPr="00A155FA" w:rsidRDefault="00FA06B2" w:rsidP="005229E5">
      <w:pPr>
        <w:pStyle w:val="ListParagraph"/>
        <w:numPr>
          <w:ilvl w:val="0"/>
          <w:numId w:val="34"/>
        </w:numPr>
        <w:tabs>
          <w:tab w:val="left" w:pos="1260"/>
        </w:tabs>
        <w:rPr>
          <w:rFonts w:ascii="Times New Roman" w:hAnsi="Times New Roman" w:cs="Times New Roman"/>
          <w:b/>
          <w:bCs/>
        </w:rPr>
      </w:pPr>
      <w:r w:rsidRPr="00A155FA">
        <w:rPr>
          <w:rFonts w:ascii="Times New Roman" w:hAnsi="Times New Roman" w:cs="Times New Roman"/>
          <w:b/>
          <w:bCs/>
        </w:rPr>
        <w:t>243 (maxillary tooth count):</w:t>
      </w:r>
      <w:r w:rsidRPr="00A155FA">
        <w:rPr>
          <w:rFonts w:ascii="Times New Roman" w:hAnsi="Times New Roman" w:cs="Times New Roman"/>
        </w:rPr>
        <w:t xml:space="preserve"> 2 </w:t>
      </w:r>
      <w:r w:rsidRPr="00A155FA">
        <w:rPr>
          <w:rFonts w:ascii="Times New Roman" w:eastAsia="Wingdings" w:hAnsi="Times New Roman" w:cs="Times New Roman"/>
        </w:rPr>
        <w:t>→</w:t>
      </w:r>
      <w:r w:rsidRPr="00A155FA">
        <w:rPr>
          <w:rFonts w:ascii="Times New Roman" w:hAnsi="Times New Roman" w:cs="Times New Roman"/>
        </w:rPr>
        <w:t xml:space="preserve"> 0. Boy (1990:296) stated that there is room for 30–34 teeth on the maxilla.</w:t>
      </w:r>
      <w:r w:rsidRPr="00A155FA">
        <w:rPr>
          <w:rFonts w:ascii="Times New Roman" w:hAnsi="Times New Roman" w:cs="Times New Roman"/>
          <w:b/>
          <w:bCs/>
        </w:rPr>
        <w:t xml:space="preserve"> </w:t>
      </w:r>
    </w:p>
    <w:p w14:paraId="6EEE2C11" w14:textId="77777777" w:rsidR="00FA06B2" w:rsidRPr="00A155FA" w:rsidRDefault="00FA06B2" w:rsidP="005229E5">
      <w:pPr>
        <w:pStyle w:val="ListParagraph"/>
        <w:numPr>
          <w:ilvl w:val="0"/>
          <w:numId w:val="34"/>
        </w:numPr>
        <w:tabs>
          <w:tab w:val="left" w:pos="1260"/>
        </w:tabs>
        <w:rPr>
          <w:rFonts w:ascii="Times New Roman" w:hAnsi="Times New Roman" w:cs="Times New Roman"/>
          <w:b/>
          <w:bCs/>
        </w:rPr>
      </w:pPr>
      <w:r w:rsidRPr="00A155FA">
        <w:rPr>
          <w:rFonts w:ascii="Times New Roman" w:hAnsi="Times New Roman" w:cs="Times New Roman"/>
          <w:b/>
          <w:bCs/>
        </w:rPr>
        <w:t xml:space="preserve">272 (coronoid teeth):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Boy (1990:298, fig. 4) indicated that the posterior coronoid is only covered by denticles, and the other two coronoids appear to be smooth. Based on how this character was originally coded (272–1, teeth absent) in taxa with denticulate coronoids like the outgroups, </w:t>
      </w:r>
      <w:r w:rsidRPr="00A155FA">
        <w:rPr>
          <w:rFonts w:ascii="Times New Roman" w:hAnsi="Times New Roman" w:cs="Times New Roman"/>
          <w:i/>
          <w:iCs/>
        </w:rPr>
        <w:t>Balanerpeton</w:t>
      </w:r>
      <w:r w:rsidRPr="00A155FA">
        <w:rPr>
          <w:rFonts w:ascii="Times New Roman" w:hAnsi="Times New Roman" w:cs="Times New Roman"/>
        </w:rPr>
        <w:t xml:space="preserve">, and edopoids, it is interpreted that denticles are differentiated from teeth for this character. </w:t>
      </w:r>
    </w:p>
    <w:p w14:paraId="421D86BB" w14:textId="77777777" w:rsidR="00FA06B2" w:rsidRPr="00A155FA" w:rsidRDefault="00FA06B2" w:rsidP="005229E5">
      <w:pPr>
        <w:pStyle w:val="ListParagraph"/>
        <w:numPr>
          <w:ilvl w:val="0"/>
          <w:numId w:val="34"/>
        </w:numPr>
        <w:tabs>
          <w:tab w:val="left" w:pos="1260"/>
        </w:tabs>
        <w:rPr>
          <w:rFonts w:ascii="Times New Roman" w:hAnsi="Times New Roman" w:cs="Times New Roman"/>
          <w:b/>
          <w:bCs/>
        </w:rPr>
      </w:pPr>
      <w:r w:rsidRPr="00A155FA">
        <w:rPr>
          <w:rFonts w:ascii="Times New Roman" w:hAnsi="Times New Roman" w:cs="Times New Roman"/>
          <w:b/>
          <w:bCs/>
        </w:rPr>
        <w:t xml:space="preserve">273 (coronoid teeth): </w:t>
      </w:r>
      <w:r w:rsidRPr="00A155FA">
        <w:rPr>
          <w:rFonts w:ascii="Times New Roman" w:hAnsi="Times New Roman" w:cs="Times New Roman"/>
        </w:rPr>
        <w:t xml:space="preserve">2 </w:t>
      </w:r>
      <w:r w:rsidRPr="00A155FA">
        <w:rPr>
          <w:rFonts w:ascii="Times New Roman" w:eastAsia="Wingdings" w:hAnsi="Times New Roman" w:cs="Times New Roman"/>
        </w:rPr>
        <w:t>→</w:t>
      </w:r>
      <w:r w:rsidRPr="00A155FA">
        <w:rPr>
          <w:rFonts w:ascii="Times New Roman" w:hAnsi="Times New Roman" w:cs="Times New Roman"/>
        </w:rPr>
        <w:t xml:space="preserve"> -. Correspondent with character 272.</w:t>
      </w:r>
    </w:p>
    <w:p w14:paraId="01C685D6"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r w:rsidRPr="00A155FA">
        <w:rPr>
          <w:rFonts w:ascii="Times New Roman" w:hAnsi="Times New Roman" w:cs="Times New Roman"/>
          <w:b/>
          <w:bCs/>
          <w:i/>
          <w:iCs/>
        </w:rPr>
        <w:t>Eryops megacephalus</w:t>
      </w:r>
    </w:p>
    <w:p w14:paraId="4CF732ED" w14:textId="77777777" w:rsidR="00FA06B2" w:rsidRPr="00A155FA" w:rsidRDefault="00FA06B2" w:rsidP="00A30351">
      <w:pPr>
        <w:pStyle w:val="ListParagraph"/>
        <w:numPr>
          <w:ilvl w:val="1"/>
          <w:numId w:val="35"/>
        </w:numPr>
        <w:tabs>
          <w:tab w:val="left" w:pos="1260"/>
        </w:tabs>
        <w:rPr>
          <w:rFonts w:ascii="Times New Roman" w:hAnsi="Times New Roman" w:cs="Times New Roman"/>
        </w:rPr>
      </w:pPr>
      <w:r w:rsidRPr="00A155FA">
        <w:rPr>
          <w:rFonts w:ascii="Times New Roman" w:hAnsi="Times New Roman" w:cs="Times New Roman"/>
          <w:b/>
          <w:bCs/>
        </w:rPr>
        <w:lastRenderedPageBreak/>
        <w:t xml:space="preserve">49 (postorbital, lateral process):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0&amp;1. As depicted by Sawin (1941:fig. 1), there is a slender lateral process from the postorbital that extends past the lateral margin of the orbit on at least one side of the skull. This could also be coded strictly for state 1.</w:t>
      </w:r>
    </w:p>
    <w:p w14:paraId="426991FA" w14:textId="77777777" w:rsidR="00FA06B2" w:rsidRPr="00A155FA" w:rsidRDefault="00FA06B2" w:rsidP="005229E5">
      <w:pPr>
        <w:pStyle w:val="ListParagraph"/>
        <w:numPr>
          <w:ilvl w:val="0"/>
          <w:numId w:val="35"/>
        </w:numPr>
        <w:tabs>
          <w:tab w:val="left" w:pos="1260"/>
        </w:tabs>
        <w:rPr>
          <w:rFonts w:ascii="Times New Roman" w:hAnsi="Times New Roman" w:cs="Times New Roman"/>
        </w:rPr>
      </w:pPr>
      <w:r w:rsidRPr="00A155FA">
        <w:rPr>
          <w:rFonts w:ascii="Times New Roman" w:hAnsi="Times New Roman" w:cs="Times New Roman"/>
          <w:b/>
          <w:bCs/>
        </w:rPr>
        <w:t>121 (pterygoid, flange):</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1. A prominent flange is found in large individuals (Sawin, 1941:pl. 2).</w:t>
      </w:r>
    </w:p>
    <w:p w14:paraId="67120287" w14:textId="77777777" w:rsidR="00FA06B2" w:rsidRPr="00A155FA" w:rsidRDefault="00FA06B2" w:rsidP="005229E5">
      <w:pPr>
        <w:pStyle w:val="ListParagraph"/>
        <w:numPr>
          <w:ilvl w:val="0"/>
          <w:numId w:val="35"/>
        </w:numPr>
        <w:tabs>
          <w:tab w:val="left" w:pos="1260"/>
        </w:tabs>
        <w:rPr>
          <w:rFonts w:ascii="Times New Roman" w:hAnsi="Times New Roman" w:cs="Times New Roman"/>
        </w:rPr>
      </w:pPr>
      <w:r w:rsidRPr="00A155FA">
        <w:rPr>
          <w:rFonts w:ascii="Times New Roman" w:hAnsi="Times New Roman" w:cs="Times New Roman"/>
          <w:b/>
          <w:bCs/>
        </w:rPr>
        <w:t>272 (coronoid teeth):</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1. Sawin (1941:430–431) noted denticles on the coronoids.</w:t>
      </w:r>
    </w:p>
    <w:p w14:paraId="38F7E5A9" w14:textId="77777777" w:rsidR="00FA06B2" w:rsidRPr="00A155FA" w:rsidRDefault="00FA06B2" w:rsidP="005229E5">
      <w:pPr>
        <w:pStyle w:val="ListParagraph"/>
        <w:numPr>
          <w:ilvl w:val="0"/>
          <w:numId w:val="35"/>
        </w:numPr>
        <w:tabs>
          <w:tab w:val="left" w:pos="1260"/>
        </w:tabs>
        <w:rPr>
          <w:rFonts w:ascii="Times New Roman" w:hAnsi="Times New Roman" w:cs="Times New Roman"/>
        </w:rPr>
      </w:pPr>
      <w:r w:rsidRPr="00A155FA">
        <w:rPr>
          <w:rFonts w:ascii="Times New Roman" w:hAnsi="Times New Roman" w:cs="Times New Roman"/>
          <w:b/>
          <w:bCs/>
        </w:rPr>
        <w:t xml:space="preserve">287 (atlas-axis intercentra):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Moulton (1974:26–27; figs. 1, 12) described these ossifications.</w:t>
      </w:r>
    </w:p>
    <w:p w14:paraId="19325E76" w14:textId="77777777" w:rsidR="00FA06B2" w:rsidRPr="00A155FA" w:rsidRDefault="00FA06B2" w:rsidP="005229E5">
      <w:pPr>
        <w:pStyle w:val="ListParagraph"/>
        <w:numPr>
          <w:ilvl w:val="0"/>
          <w:numId w:val="35"/>
        </w:numPr>
        <w:tabs>
          <w:tab w:val="left" w:pos="1260"/>
        </w:tabs>
        <w:rPr>
          <w:rFonts w:ascii="Times New Roman" w:hAnsi="Times New Roman" w:cs="Times New Roman"/>
        </w:rPr>
      </w:pPr>
      <w:r w:rsidRPr="00A155FA">
        <w:rPr>
          <w:rFonts w:ascii="Times New Roman" w:hAnsi="Times New Roman" w:cs="Times New Roman"/>
          <w:b/>
          <w:bCs/>
        </w:rPr>
        <w:t>288 (atlas anterior centrum):</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1. As with character 287.</w:t>
      </w:r>
    </w:p>
    <w:p w14:paraId="3C5E9515" w14:textId="77777777" w:rsidR="00FA06B2" w:rsidRPr="00A155FA" w:rsidRDefault="00FA06B2" w:rsidP="005229E5">
      <w:pPr>
        <w:pStyle w:val="ListParagraph"/>
        <w:numPr>
          <w:ilvl w:val="0"/>
          <w:numId w:val="35"/>
        </w:numPr>
        <w:tabs>
          <w:tab w:val="left" w:pos="1260"/>
        </w:tabs>
        <w:rPr>
          <w:rFonts w:ascii="Times New Roman" w:hAnsi="Times New Roman" w:cs="Times New Roman"/>
        </w:rPr>
      </w:pPr>
      <w:r w:rsidRPr="00A155FA">
        <w:rPr>
          <w:rFonts w:ascii="Times New Roman" w:hAnsi="Times New Roman" w:cs="Times New Roman"/>
          <w:b/>
          <w:bCs/>
        </w:rPr>
        <w:t>289 (atlas centrum):</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1. As with character 287.</w:t>
      </w:r>
    </w:p>
    <w:p w14:paraId="138A13A9" w14:textId="77777777" w:rsidR="00FA06B2" w:rsidRPr="00A155FA" w:rsidRDefault="00FA06B2" w:rsidP="005229E5">
      <w:pPr>
        <w:pStyle w:val="ListParagraph"/>
        <w:numPr>
          <w:ilvl w:val="0"/>
          <w:numId w:val="35"/>
        </w:numPr>
        <w:tabs>
          <w:tab w:val="left" w:pos="1260"/>
        </w:tabs>
        <w:rPr>
          <w:rFonts w:ascii="Times New Roman" w:hAnsi="Times New Roman" w:cs="Times New Roman"/>
        </w:rPr>
      </w:pPr>
      <w:r w:rsidRPr="00A155FA">
        <w:rPr>
          <w:rFonts w:ascii="Times New Roman" w:hAnsi="Times New Roman" w:cs="Times New Roman"/>
          <w:b/>
          <w:bCs/>
        </w:rPr>
        <w:t>290 (atlas neural arch):</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As with character 287.</w:t>
      </w:r>
    </w:p>
    <w:p w14:paraId="3320E362" w14:textId="77777777" w:rsidR="00FA06B2" w:rsidRPr="00A155FA" w:rsidRDefault="00FA06B2" w:rsidP="005229E5">
      <w:pPr>
        <w:pStyle w:val="ListParagraph"/>
        <w:numPr>
          <w:ilvl w:val="0"/>
          <w:numId w:val="35"/>
        </w:numPr>
        <w:tabs>
          <w:tab w:val="left" w:pos="1260"/>
        </w:tabs>
        <w:rPr>
          <w:rFonts w:ascii="Times New Roman" w:hAnsi="Times New Roman" w:cs="Times New Roman"/>
        </w:rPr>
      </w:pPr>
      <w:r w:rsidRPr="00A155FA">
        <w:rPr>
          <w:rFonts w:ascii="Times New Roman" w:hAnsi="Times New Roman" w:cs="Times New Roman"/>
          <w:b/>
          <w:bCs/>
        </w:rPr>
        <w:t>292 (atlas neural arch):</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0&amp;2. Moulton (1974:26–27) noted that the arches may be separate or </w:t>
      </w:r>
      <w:proofErr w:type="spellStart"/>
      <w:r w:rsidRPr="00A155FA">
        <w:rPr>
          <w:rFonts w:ascii="Times New Roman" w:hAnsi="Times New Roman" w:cs="Times New Roman"/>
        </w:rPr>
        <w:t>coosified</w:t>
      </w:r>
      <w:proofErr w:type="spellEnd"/>
      <w:r w:rsidRPr="00A155FA">
        <w:rPr>
          <w:rFonts w:ascii="Times New Roman" w:hAnsi="Times New Roman" w:cs="Times New Roman"/>
        </w:rPr>
        <w:t>.</w:t>
      </w:r>
    </w:p>
    <w:p w14:paraId="0FBFE7CB" w14:textId="77777777" w:rsidR="00FA06B2" w:rsidRPr="00A155FA" w:rsidRDefault="00FA06B2" w:rsidP="005229E5">
      <w:pPr>
        <w:pStyle w:val="ListParagraph"/>
        <w:numPr>
          <w:ilvl w:val="0"/>
          <w:numId w:val="35"/>
        </w:numPr>
        <w:tabs>
          <w:tab w:val="left" w:pos="1260"/>
        </w:tabs>
        <w:rPr>
          <w:rFonts w:ascii="Times New Roman" w:hAnsi="Times New Roman" w:cs="Times New Roman"/>
        </w:rPr>
      </w:pPr>
      <w:r w:rsidRPr="00A155FA">
        <w:rPr>
          <w:rFonts w:ascii="Times New Roman" w:hAnsi="Times New Roman" w:cs="Times New Roman"/>
          <w:b/>
          <w:bCs/>
        </w:rPr>
        <w:t>293 (proatlantes):</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Moulton (1974:27) noted the presence of the proatlas.</w:t>
      </w:r>
    </w:p>
    <w:p w14:paraId="502C0B45" w14:textId="77777777" w:rsidR="00FA06B2" w:rsidRPr="00A155FA" w:rsidRDefault="00FA06B2" w:rsidP="005229E5">
      <w:pPr>
        <w:pStyle w:val="ListParagraph"/>
        <w:numPr>
          <w:ilvl w:val="0"/>
          <w:numId w:val="35"/>
        </w:numPr>
        <w:tabs>
          <w:tab w:val="left" w:pos="1260"/>
        </w:tabs>
        <w:rPr>
          <w:rFonts w:ascii="Times New Roman" w:hAnsi="Times New Roman" w:cs="Times New Roman"/>
        </w:rPr>
      </w:pPr>
      <w:r w:rsidRPr="00A155FA">
        <w:rPr>
          <w:rFonts w:ascii="Times New Roman" w:hAnsi="Times New Roman" w:cs="Times New Roman"/>
          <w:b/>
          <w:bCs/>
        </w:rPr>
        <w:t>305 (olecranon process):</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1. A well-developed process was documented by Miner (1925:figs. 7, 21) and Pawley &amp; Warren (2006:572–573, fig. 7.7–7.10).</w:t>
      </w:r>
    </w:p>
    <w:p w14:paraId="44B93C91"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r w:rsidRPr="00A155FA">
        <w:rPr>
          <w:rFonts w:ascii="Times New Roman" w:hAnsi="Times New Roman" w:cs="Times New Roman"/>
          <w:b/>
          <w:bCs/>
          <w:i/>
          <w:iCs/>
        </w:rPr>
        <w:t>Sclerocephalus haeuseri</w:t>
      </w:r>
    </w:p>
    <w:p w14:paraId="1155731A" w14:textId="77777777" w:rsidR="00FA06B2" w:rsidRPr="00A155FA" w:rsidRDefault="00FA06B2" w:rsidP="005229E5">
      <w:pPr>
        <w:pStyle w:val="ListParagraph"/>
        <w:numPr>
          <w:ilvl w:val="0"/>
          <w:numId w:val="36"/>
        </w:numPr>
        <w:tabs>
          <w:tab w:val="left" w:pos="1260"/>
        </w:tabs>
        <w:rPr>
          <w:rFonts w:ascii="Times New Roman" w:hAnsi="Times New Roman" w:cs="Times New Roman"/>
          <w:b/>
          <w:bCs/>
        </w:rPr>
      </w:pPr>
      <w:r w:rsidRPr="00A155FA">
        <w:rPr>
          <w:rFonts w:ascii="Times New Roman" w:hAnsi="Times New Roman" w:cs="Times New Roman"/>
          <w:b/>
          <w:bCs/>
        </w:rPr>
        <w:t xml:space="preserve">33 (lateral line sulci, adults):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0&amp;1. Schoch &amp; Witzmann (2009a:146) noted specimens from L–O 6 that have lateral line grooves but also mention a specimen from L–O 6 that was first noted by Boy (1988) to lack grooves.</w:t>
      </w:r>
    </w:p>
    <w:p w14:paraId="162D598E" w14:textId="77777777" w:rsidR="00FA06B2" w:rsidRPr="00A155FA" w:rsidRDefault="00FA06B2" w:rsidP="005229E5">
      <w:pPr>
        <w:pStyle w:val="ListParagraph"/>
        <w:numPr>
          <w:ilvl w:val="0"/>
          <w:numId w:val="36"/>
        </w:numPr>
        <w:tabs>
          <w:tab w:val="left" w:pos="1260"/>
        </w:tabs>
        <w:rPr>
          <w:rFonts w:ascii="Times New Roman" w:hAnsi="Times New Roman" w:cs="Times New Roman"/>
        </w:rPr>
      </w:pPr>
      <w:r w:rsidRPr="00A155FA">
        <w:rPr>
          <w:rFonts w:ascii="Times New Roman" w:hAnsi="Times New Roman" w:cs="Times New Roman"/>
          <w:b/>
          <w:bCs/>
        </w:rPr>
        <w:t>121 (pterygoid, flange):</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1. A prominent flange comparable to the transverse flange reported in </w:t>
      </w:r>
      <w:r w:rsidRPr="00A155FA">
        <w:rPr>
          <w:rFonts w:ascii="Times New Roman" w:hAnsi="Times New Roman" w:cs="Times New Roman"/>
          <w:i/>
          <w:iCs/>
        </w:rPr>
        <w:t>Archegosaurus</w:t>
      </w:r>
      <w:r w:rsidRPr="00A155FA">
        <w:rPr>
          <w:rFonts w:ascii="Times New Roman" w:hAnsi="Times New Roman" w:cs="Times New Roman"/>
        </w:rPr>
        <w:t xml:space="preserve"> is found in this taxon (Schoch &amp; Witzmann, 2009a:fig. 4B).</w:t>
      </w:r>
    </w:p>
    <w:p w14:paraId="64D15D66" w14:textId="77777777" w:rsidR="00FA06B2" w:rsidRPr="00A155FA" w:rsidRDefault="00FA06B2" w:rsidP="005229E5">
      <w:pPr>
        <w:pStyle w:val="ListParagraph"/>
        <w:numPr>
          <w:ilvl w:val="0"/>
          <w:numId w:val="36"/>
        </w:numPr>
        <w:tabs>
          <w:tab w:val="left" w:pos="1260"/>
        </w:tabs>
        <w:rPr>
          <w:rFonts w:ascii="Times New Roman" w:hAnsi="Times New Roman" w:cs="Times New Roman"/>
          <w:b/>
          <w:bCs/>
        </w:rPr>
      </w:pPr>
      <w:r w:rsidRPr="00A155FA">
        <w:rPr>
          <w:rFonts w:ascii="Times New Roman" w:hAnsi="Times New Roman" w:cs="Times New Roman"/>
          <w:b/>
          <w:bCs/>
        </w:rPr>
        <w:t>156 (</w:t>
      </w:r>
      <w:proofErr w:type="spellStart"/>
      <w:r w:rsidRPr="00A155FA">
        <w:rPr>
          <w:rFonts w:ascii="Times New Roman" w:hAnsi="Times New Roman" w:cs="Times New Roman"/>
          <w:b/>
          <w:bCs/>
        </w:rPr>
        <w:t>hypobranchials</w:t>
      </w:r>
      <w:proofErr w:type="spellEnd"/>
      <w:r w:rsidRPr="00A155FA">
        <w:rPr>
          <w:rFonts w:ascii="Times New Roman" w:hAnsi="Times New Roman" w:cs="Times New Roman"/>
          <w:b/>
          <w:bCs/>
        </w:rPr>
        <w:t xml:space="preserve">):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Witzmann (2013:155, fig. 5F) identified a pair of elements as </w:t>
      </w:r>
      <w:proofErr w:type="spellStart"/>
      <w:r w:rsidRPr="00A155FA">
        <w:rPr>
          <w:rFonts w:ascii="Times New Roman" w:hAnsi="Times New Roman" w:cs="Times New Roman"/>
        </w:rPr>
        <w:t>hypobranchials</w:t>
      </w:r>
      <w:proofErr w:type="spellEnd"/>
      <w:r w:rsidRPr="00A155FA">
        <w:rPr>
          <w:rFonts w:ascii="Times New Roman" w:hAnsi="Times New Roman" w:cs="Times New Roman"/>
        </w:rPr>
        <w:t>.</w:t>
      </w:r>
    </w:p>
    <w:p w14:paraId="4EF8F077" w14:textId="77777777" w:rsidR="00FA06B2" w:rsidRPr="00A155FA" w:rsidRDefault="00FA06B2" w:rsidP="005229E5">
      <w:pPr>
        <w:pStyle w:val="ListParagraph"/>
        <w:numPr>
          <w:ilvl w:val="0"/>
          <w:numId w:val="36"/>
        </w:numPr>
        <w:tabs>
          <w:tab w:val="left" w:pos="1260"/>
        </w:tabs>
        <w:rPr>
          <w:rFonts w:ascii="Times New Roman" w:hAnsi="Times New Roman" w:cs="Times New Roman"/>
          <w:b/>
          <w:bCs/>
        </w:rPr>
      </w:pPr>
      <w:r w:rsidRPr="00A155FA">
        <w:rPr>
          <w:rFonts w:ascii="Times New Roman" w:hAnsi="Times New Roman" w:cs="Times New Roman"/>
          <w:b/>
          <w:bCs/>
        </w:rPr>
        <w:t xml:space="preserve">159 (caudal count):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w:t>
      </w:r>
      <w:r w:rsidRPr="00A155FA">
        <w:rPr>
          <w:rFonts w:ascii="Times New Roman" w:hAnsi="Times New Roman" w:cs="Times New Roman"/>
          <w:b/>
          <w:bCs/>
        </w:rPr>
        <w:t xml:space="preserve"> </w:t>
      </w:r>
      <w:r w:rsidRPr="00A155FA">
        <w:rPr>
          <w:rFonts w:ascii="Times New Roman" w:hAnsi="Times New Roman" w:cs="Times New Roman"/>
        </w:rPr>
        <w:t>Schoch &amp; Witzmann (2009a:153) only provided a caudal count for one specimen, but it is from L–O 6 and has 27 caudal positions, compared to 24–25 presacral positions.</w:t>
      </w:r>
    </w:p>
    <w:p w14:paraId="3F2DD9FA" w14:textId="77777777" w:rsidR="00FA06B2" w:rsidRPr="00A155FA" w:rsidRDefault="00FA06B2" w:rsidP="005229E5">
      <w:pPr>
        <w:pStyle w:val="ListParagraph"/>
        <w:numPr>
          <w:ilvl w:val="0"/>
          <w:numId w:val="36"/>
        </w:numPr>
        <w:tabs>
          <w:tab w:val="left" w:pos="1260"/>
        </w:tabs>
        <w:rPr>
          <w:rFonts w:ascii="Times New Roman" w:hAnsi="Times New Roman" w:cs="Times New Roman"/>
        </w:rPr>
      </w:pPr>
      <w:r w:rsidRPr="00A155FA">
        <w:rPr>
          <w:rFonts w:ascii="Times New Roman" w:hAnsi="Times New Roman" w:cs="Times New Roman"/>
          <w:b/>
          <w:bCs/>
        </w:rPr>
        <w:t xml:space="preserve">203 (pubis):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0&amp;1. The code was originally adjusted as part of the recoding of this character (see character-specific comment) but was subsequently changed to a polymorphism because Schoch &amp; Witzmann (2009a:157) stated that “the pubis is only present in some of the largest adults of </w:t>
      </w:r>
      <w:r w:rsidRPr="00A155FA">
        <w:rPr>
          <w:rFonts w:ascii="Times New Roman" w:hAnsi="Times New Roman" w:cs="Times New Roman"/>
          <w:i/>
          <w:iCs/>
        </w:rPr>
        <w:t xml:space="preserve">S. haeuseri </w:t>
      </w:r>
      <w:r w:rsidRPr="00A155FA">
        <w:rPr>
          <w:rFonts w:ascii="Times New Roman" w:hAnsi="Times New Roman" w:cs="Times New Roman"/>
        </w:rPr>
        <w:t>from L–O 6 […], whereas it is definitely absent in others (SMNS 90055).”</w:t>
      </w:r>
    </w:p>
    <w:p w14:paraId="5D101001" w14:textId="77777777" w:rsidR="00FA06B2" w:rsidRPr="00A155FA" w:rsidRDefault="00FA06B2" w:rsidP="005229E5">
      <w:pPr>
        <w:pStyle w:val="ListParagraph"/>
        <w:numPr>
          <w:ilvl w:val="0"/>
          <w:numId w:val="36"/>
        </w:numPr>
        <w:tabs>
          <w:tab w:val="left" w:pos="1260"/>
        </w:tabs>
        <w:rPr>
          <w:rFonts w:ascii="Times New Roman" w:hAnsi="Times New Roman" w:cs="Times New Roman"/>
        </w:rPr>
      </w:pPr>
      <w:r w:rsidRPr="00A155FA">
        <w:rPr>
          <w:rFonts w:ascii="Times New Roman" w:hAnsi="Times New Roman" w:cs="Times New Roman"/>
          <w:b/>
          <w:bCs/>
        </w:rPr>
        <w:t>250 (teeth on pterygoid):</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0. Schoch &amp; Witzmann (2009a:148) made no mention of teeth on the pterygoid, nor do they reconstruct or illustrate any, in contrast to teeth on the palatine and ectopterygoid.</w:t>
      </w:r>
    </w:p>
    <w:p w14:paraId="4C42DB71" w14:textId="77777777" w:rsidR="00FA06B2" w:rsidRPr="00A155FA" w:rsidRDefault="00FA06B2" w:rsidP="005229E5">
      <w:pPr>
        <w:pStyle w:val="ListParagraph"/>
        <w:numPr>
          <w:ilvl w:val="0"/>
          <w:numId w:val="36"/>
        </w:numPr>
        <w:tabs>
          <w:tab w:val="left" w:pos="1260"/>
        </w:tabs>
        <w:rPr>
          <w:rFonts w:ascii="Times New Roman" w:hAnsi="Times New Roman" w:cs="Times New Roman"/>
        </w:rPr>
      </w:pPr>
      <w:r w:rsidRPr="00A155FA">
        <w:rPr>
          <w:rFonts w:ascii="Times New Roman" w:hAnsi="Times New Roman" w:cs="Times New Roman"/>
          <w:b/>
          <w:bCs/>
        </w:rPr>
        <w:t xml:space="preserve">251 (denticles on vomers):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0. Schoch &amp; Witzmann (2009a:148) stated that all palatal bones (exclusive of the parasphenoid) are covered in denticles.</w:t>
      </w:r>
    </w:p>
    <w:p w14:paraId="3BE9592A" w14:textId="77777777" w:rsidR="00FA06B2" w:rsidRPr="00A155FA" w:rsidRDefault="00FA06B2" w:rsidP="005229E5">
      <w:pPr>
        <w:pStyle w:val="ListParagraph"/>
        <w:numPr>
          <w:ilvl w:val="0"/>
          <w:numId w:val="36"/>
        </w:numPr>
        <w:tabs>
          <w:tab w:val="left" w:pos="1260"/>
        </w:tabs>
        <w:rPr>
          <w:rFonts w:ascii="Times New Roman" w:hAnsi="Times New Roman" w:cs="Times New Roman"/>
        </w:rPr>
      </w:pPr>
      <w:r w:rsidRPr="00A155FA">
        <w:rPr>
          <w:rFonts w:ascii="Times New Roman" w:hAnsi="Times New Roman" w:cs="Times New Roman"/>
          <w:b/>
          <w:bCs/>
        </w:rPr>
        <w:t xml:space="preserve">252 (denticles on palatines):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0. As with character 251.</w:t>
      </w:r>
    </w:p>
    <w:p w14:paraId="020E754E" w14:textId="77777777" w:rsidR="00FA06B2" w:rsidRPr="00A155FA" w:rsidRDefault="00FA06B2" w:rsidP="005229E5">
      <w:pPr>
        <w:pStyle w:val="ListParagraph"/>
        <w:numPr>
          <w:ilvl w:val="0"/>
          <w:numId w:val="36"/>
        </w:numPr>
        <w:tabs>
          <w:tab w:val="left" w:pos="1260"/>
        </w:tabs>
        <w:rPr>
          <w:rFonts w:ascii="Times New Roman" w:hAnsi="Times New Roman" w:cs="Times New Roman"/>
          <w:b/>
          <w:bCs/>
        </w:rPr>
      </w:pPr>
      <w:r w:rsidRPr="00A155FA">
        <w:rPr>
          <w:rFonts w:ascii="Times New Roman" w:hAnsi="Times New Roman" w:cs="Times New Roman"/>
          <w:b/>
          <w:bCs/>
        </w:rPr>
        <w:t xml:space="preserve">272 (coronoid teeth):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Schoch &amp; Witzmann (2009a:150, fig. 4E) indicated the coronoids are only covered by denticles. Based on how this </w:t>
      </w:r>
      <w:r w:rsidRPr="00A155FA">
        <w:rPr>
          <w:rFonts w:ascii="Times New Roman" w:hAnsi="Times New Roman" w:cs="Times New Roman"/>
        </w:rPr>
        <w:lastRenderedPageBreak/>
        <w:t xml:space="preserve">character was originally coded (272–1, teeth absent) in taxa with denticulate coronoids like the outgroups, </w:t>
      </w:r>
      <w:r w:rsidRPr="00A155FA">
        <w:rPr>
          <w:rFonts w:ascii="Times New Roman" w:hAnsi="Times New Roman" w:cs="Times New Roman"/>
          <w:i/>
          <w:iCs/>
        </w:rPr>
        <w:t>Balanerpeton</w:t>
      </w:r>
      <w:r w:rsidRPr="00A155FA">
        <w:rPr>
          <w:rFonts w:ascii="Times New Roman" w:hAnsi="Times New Roman" w:cs="Times New Roman"/>
        </w:rPr>
        <w:t>, and edopoids, it is interpreted that denticles are differentiated from teeth for this character.</w:t>
      </w:r>
    </w:p>
    <w:p w14:paraId="7FB6EB07" w14:textId="77777777" w:rsidR="00FA06B2" w:rsidRPr="00A155FA" w:rsidRDefault="00FA06B2" w:rsidP="005229E5">
      <w:pPr>
        <w:pStyle w:val="ListParagraph"/>
        <w:numPr>
          <w:ilvl w:val="0"/>
          <w:numId w:val="36"/>
        </w:numPr>
        <w:tabs>
          <w:tab w:val="left" w:pos="1260"/>
        </w:tabs>
        <w:rPr>
          <w:rFonts w:ascii="Times New Roman" w:hAnsi="Times New Roman" w:cs="Times New Roman"/>
          <w:b/>
          <w:bCs/>
        </w:rPr>
      </w:pPr>
      <w:r w:rsidRPr="00A155FA">
        <w:rPr>
          <w:rFonts w:ascii="Times New Roman" w:hAnsi="Times New Roman" w:cs="Times New Roman"/>
          <w:b/>
          <w:bCs/>
        </w:rPr>
        <w:t xml:space="preserve">273 (coronoid teeth): </w:t>
      </w:r>
      <w:r w:rsidRPr="00A155FA">
        <w:rPr>
          <w:rFonts w:ascii="Times New Roman" w:hAnsi="Times New Roman" w:cs="Times New Roman"/>
        </w:rPr>
        <w:t xml:space="preserve">2 </w:t>
      </w:r>
      <w:r w:rsidRPr="00A155FA">
        <w:rPr>
          <w:rFonts w:ascii="Times New Roman" w:eastAsia="Wingdings" w:hAnsi="Times New Roman" w:cs="Times New Roman"/>
        </w:rPr>
        <w:t>→</w:t>
      </w:r>
      <w:r w:rsidRPr="00A155FA">
        <w:rPr>
          <w:rFonts w:ascii="Times New Roman" w:hAnsi="Times New Roman" w:cs="Times New Roman"/>
        </w:rPr>
        <w:t xml:space="preserve"> -. Correspondent with character 272.</w:t>
      </w:r>
    </w:p>
    <w:p w14:paraId="27636681" w14:textId="77777777" w:rsidR="00FA06B2" w:rsidRPr="00A155FA" w:rsidRDefault="00FA06B2" w:rsidP="005229E5">
      <w:pPr>
        <w:pStyle w:val="ListParagraph"/>
        <w:numPr>
          <w:ilvl w:val="0"/>
          <w:numId w:val="36"/>
        </w:numPr>
        <w:tabs>
          <w:tab w:val="left" w:pos="1260"/>
        </w:tabs>
        <w:rPr>
          <w:rFonts w:ascii="Times New Roman" w:hAnsi="Times New Roman" w:cs="Times New Roman"/>
          <w:b/>
          <w:bCs/>
        </w:rPr>
      </w:pPr>
      <w:r w:rsidRPr="00A155FA">
        <w:rPr>
          <w:rFonts w:ascii="Times New Roman" w:hAnsi="Times New Roman" w:cs="Times New Roman"/>
          <w:b/>
          <w:bCs/>
        </w:rPr>
        <w:t xml:space="preserve">281 (haemal arches):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Schoch &amp; Witzmann (2009a:153, fig. 7E) noted these features.</w:t>
      </w:r>
    </w:p>
    <w:p w14:paraId="2B60301E" w14:textId="77777777" w:rsidR="00FA06B2" w:rsidRPr="00A155FA" w:rsidRDefault="00FA06B2" w:rsidP="005229E5">
      <w:pPr>
        <w:pStyle w:val="ListParagraph"/>
        <w:numPr>
          <w:ilvl w:val="0"/>
          <w:numId w:val="36"/>
        </w:numPr>
        <w:tabs>
          <w:tab w:val="left" w:pos="1260"/>
        </w:tabs>
        <w:rPr>
          <w:rFonts w:ascii="Times New Roman" w:hAnsi="Times New Roman" w:cs="Times New Roman"/>
        </w:rPr>
      </w:pPr>
      <w:r w:rsidRPr="00A155FA">
        <w:rPr>
          <w:rFonts w:ascii="Times New Roman" w:hAnsi="Times New Roman" w:cs="Times New Roman"/>
          <w:b/>
          <w:bCs/>
        </w:rPr>
        <w:t>282 (haemal arches):</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As with character 284.</w:t>
      </w:r>
    </w:p>
    <w:p w14:paraId="2422ACCB" w14:textId="77777777" w:rsidR="00FA06B2" w:rsidRPr="00A155FA" w:rsidRDefault="00FA06B2" w:rsidP="005229E5">
      <w:pPr>
        <w:pStyle w:val="ListParagraph"/>
        <w:numPr>
          <w:ilvl w:val="0"/>
          <w:numId w:val="36"/>
        </w:numPr>
        <w:tabs>
          <w:tab w:val="left" w:pos="1260"/>
        </w:tabs>
        <w:rPr>
          <w:rFonts w:ascii="Times New Roman" w:hAnsi="Times New Roman" w:cs="Times New Roman"/>
        </w:rPr>
      </w:pPr>
      <w:r w:rsidRPr="00A155FA">
        <w:rPr>
          <w:rFonts w:ascii="Times New Roman" w:hAnsi="Times New Roman" w:cs="Times New Roman"/>
          <w:b/>
          <w:bCs/>
        </w:rPr>
        <w:t>283 (haemal arches):</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As with character 284.</w:t>
      </w:r>
    </w:p>
    <w:p w14:paraId="614B9C92" w14:textId="77777777" w:rsidR="00FA06B2" w:rsidRPr="00A155FA" w:rsidRDefault="00FA06B2" w:rsidP="005229E5">
      <w:pPr>
        <w:pStyle w:val="ListParagraph"/>
        <w:numPr>
          <w:ilvl w:val="0"/>
          <w:numId w:val="36"/>
        </w:numPr>
        <w:tabs>
          <w:tab w:val="left" w:pos="1260"/>
        </w:tabs>
        <w:rPr>
          <w:rFonts w:ascii="Times New Roman" w:hAnsi="Times New Roman" w:cs="Times New Roman"/>
        </w:rPr>
      </w:pPr>
      <w:r w:rsidRPr="00A155FA">
        <w:rPr>
          <w:rFonts w:ascii="Times New Roman" w:hAnsi="Times New Roman" w:cs="Times New Roman"/>
          <w:b/>
          <w:bCs/>
        </w:rPr>
        <w:t>284 (haemal arch shape):</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As with character 284.</w:t>
      </w:r>
    </w:p>
    <w:p w14:paraId="2CC2690D" w14:textId="77777777" w:rsidR="00FA06B2" w:rsidRPr="00A155FA" w:rsidRDefault="00FA06B2" w:rsidP="005229E5">
      <w:pPr>
        <w:pStyle w:val="ListParagraph"/>
        <w:numPr>
          <w:ilvl w:val="0"/>
          <w:numId w:val="36"/>
        </w:numPr>
        <w:tabs>
          <w:tab w:val="left" w:pos="1260"/>
        </w:tabs>
        <w:rPr>
          <w:rFonts w:ascii="Times New Roman" w:hAnsi="Times New Roman" w:cs="Times New Roman"/>
        </w:rPr>
      </w:pPr>
      <w:r w:rsidRPr="00A155FA">
        <w:rPr>
          <w:rFonts w:ascii="Times New Roman" w:hAnsi="Times New Roman" w:cs="Times New Roman"/>
          <w:b/>
          <w:bCs/>
        </w:rPr>
        <w:t xml:space="preserve">287 (atlas-axis intercentra):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Schoch &amp; Witzmann (2009a:151, fig. 7) described and figured most of this complex.</w:t>
      </w:r>
    </w:p>
    <w:p w14:paraId="3944F3A9" w14:textId="77777777" w:rsidR="00FA06B2" w:rsidRPr="00A155FA" w:rsidRDefault="00FA06B2" w:rsidP="005229E5">
      <w:pPr>
        <w:pStyle w:val="ListParagraph"/>
        <w:numPr>
          <w:ilvl w:val="0"/>
          <w:numId w:val="36"/>
        </w:numPr>
        <w:tabs>
          <w:tab w:val="left" w:pos="1260"/>
        </w:tabs>
        <w:rPr>
          <w:rFonts w:ascii="Times New Roman" w:hAnsi="Times New Roman" w:cs="Times New Roman"/>
        </w:rPr>
      </w:pPr>
      <w:r w:rsidRPr="00A155FA">
        <w:rPr>
          <w:rFonts w:ascii="Times New Roman" w:hAnsi="Times New Roman" w:cs="Times New Roman"/>
          <w:b/>
          <w:bCs/>
        </w:rPr>
        <w:t>288 (atlas anterior centrum):</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1. As with character 287.</w:t>
      </w:r>
    </w:p>
    <w:p w14:paraId="25446F5D" w14:textId="77777777" w:rsidR="00FA06B2" w:rsidRPr="00A155FA" w:rsidRDefault="00FA06B2" w:rsidP="005229E5">
      <w:pPr>
        <w:pStyle w:val="ListParagraph"/>
        <w:numPr>
          <w:ilvl w:val="0"/>
          <w:numId w:val="36"/>
        </w:numPr>
        <w:tabs>
          <w:tab w:val="left" w:pos="1260"/>
        </w:tabs>
        <w:rPr>
          <w:rFonts w:ascii="Times New Roman" w:hAnsi="Times New Roman" w:cs="Times New Roman"/>
        </w:rPr>
      </w:pPr>
      <w:r w:rsidRPr="00A155FA">
        <w:rPr>
          <w:rFonts w:ascii="Times New Roman" w:hAnsi="Times New Roman" w:cs="Times New Roman"/>
          <w:b/>
          <w:bCs/>
        </w:rPr>
        <w:t>290 (atlas neural arch):</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As with character 287. </w:t>
      </w:r>
    </w:p>
    <w:p w14:paraId="4D711BE0" w14:textId="77777777" w:rsidR="00FA06B2" w:rsidRPr="00A155FA" w:rsidRDefault="00FA06B2" w:rsidP="005229E5">
      <w:pPr>
        <w:pStyle w:val="ListParagraph"/>
        <w:numPr>
          <w:ilvl w:val="0"/>
          <w:numId w:val="36"/>
        </w:numPr>
        <w:tabs>
          <w:tab w:val="left" w:pos="1260"/>
        </w:tabs>
        <w:rPr>
          <w:rFonts w:ascii="Times New Roman" w:hAnsi="Times New Roman" w:cs="Times New Roman"/>
        </w:rPr>
      </w:pPr>
      <w:r w:rsidRPr="00A155FA">
        <w:rPr>
          <w:rFonts w:ascii="Times New Roman" w:hAnsi="Times New Roman" w:cs="Times New Roman"/>
          <w:b/>
          <w:bCs/>
        </w:rPr>
        <w:t>292 (atlas neural arch):</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0/1. As with character 287; Schoch &amp; Witzmann stated that they were “at best loosely attached.”</w:t>
      </w:r>
    </w:p>
    <w:p w14:paraId="07473918" w14:textId="77777777" w:rsidR="00FA06B2" w:rsidRPr="00A155FA" w:rsidRDefault="00FA06B2" w:rsidP="005229E5">
      <w:pPr>
        <w:pStyle w:val="ListParagraph"/>
        <w:numPr>
          <w:ilvl w:val="0"/>
          <w:numId w:val="36"/>
        </w:numPr>
        <w:tabs>
          <w:tab w:val="left" w:pos="1260"/>
        </w:tabs>
        <w:rPr>
          <w:rFonts w:ascii="Times New Roman" w:hAnsi="Times New Roman" w:cs="Times New Roman"/>
        </w:rPr>
      </w:pPr>
      <w:r w:rsidRPr="00A155FA">
        <w:rPr>
          <w:rFonts w:ascii="Times New Roman" w:hAnsi="Times New Roman" w:cs="Times New Roman"/>
          <w:b/>
          <w:bCs/>
        </w:rPr>
        <w:t xml:space="preserve">294 (second cervical arch):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As figured by Schoch &amp; Witzmann (2009a:fig. 7A-B).</w:t>
      </w:r>
    </w:p>
    <w:p w14:paraId="52660397" w14:textId="77777777" w:rsidR="00FA06B2" w:rsidRPr="00A155FA" w:rsidRDefault="00FA06B2" w:rsidP="005229E5">
      <w:pPr>
        <w:pStyle w:val="ListParagraph"/>
        <w:numPr>
          <w:ilvl w:val="0"/>
          <w:numId w:val="36"/>
        </w:numPr>
        <w:tabs>
          <w:tab w:val="left" w:pos="1260"/>
        </w:tabs>
        <w:rPr>
          <w:rFonts w:ascii="Times New Roman" w:hAnsi="Times New Roman" w:cs="Times New Roman"/>
        </w:rPr>
      </w:pPr>
      <w:r w:rsidRPr="00A155FA">
        <w:rPr>
          <w:rFonts w:ascii="Times New Roman" w:hAnsi="Times New Roman" w:cs="Times New Roman"/>
          <w:b/>
          <w:bCs/>
        </w:rPr>
        <w:t xml:space="preserve">295 (cervical rib distal shape):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As figured by Schoch &amp; Witzmann (2009a:fig. 7C).</w:t>
      </w:r>
    </w:p>
    <w:p w14:paraId="2EA4A8B3" w14:textId="77777777" w:rsidR="00FA06B2" w:rsidRPr="00A155FA" w:rsidRDefault="00FA06B2" w:rsidP="005229E5">
      <w:pPr>
        <w:pStyle w:val="ListParagraph"/>
        <w:numPr>
          <w:ilvl w:val="0"/>
          <w:numId w:val="36"/>
        </w:numPr>
        <w:tabs>
          <w:tab w:val="left" w:pos="1260"/>
        </w:tabs>
        <w:rPr>
          <w:rFonts w:ascii="Times New Roman" w:hAnsi="Times New Roman" w:cs="Times New Roman"/>
        </w:rPr>
      </w:pPr>
      <w:r w:rsidRPr="00A155FA">
        <w:rPr>
          <w:rFonts w:ascii="Times New Roman" w:hAnsi="Times New Roman" w:cs="Times New Roman"/>
          <w:b/>
          <w:bCs/>
        </w:rPr>
        <w:t xml:space="preserve">296 (ribs anterior to sacrum):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As with character 295.</w:t>
      </w:r>
    </w:p>
    <w:p w14:paraId="7DE8A3A1" w14:textId="77777777" w:rsidR="00FA06B2" w:rsidRPr="00A155FA" w:rsidRDefault="00FA06B2" w:rsidP="005229E5">
      <w:pPr>
        <w:pStyle w:val="ListParagraph"/>
        <w:numPr>
          <w:ilvl w:val="0"/>
          <w:numId w:val="36"/>
        </w:numPr>
        <w:tabs>
          <w:tab w:val="left" w:pos="1260"/>
        </w:tabs>
        <w:rPr>
          <w:rFonts w:ascii="Times New Roman" w:hAnsi="Times New Roman" w:cs="Times New Roman"/>
        </w:rPr>
      </w:pPr>
      <w:r w:rsidRPr="00A155FA">
        <w:rPr>
          <w:rFonts w:ascii="Times New Roman" w:hAnsi="Times New Roman" w:cs="Times New Roman"/>
          <w:b/>
          <w:bCs/>
        </w:rPr>
        <w:t>298 (number of caudal rib pairs):</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Schoch &amp; Witzmann (2009a:153) noted the presence of six pairs.</w:t>
      </w:r>
    </w:p>
    <w:p w14:paraId="60DA5810" w14:textId="77777777" w:rsidR="00FA06B2" w:rsidRPr="00A155FA" w:rsidRDefault="00FA06B2" w:rsidP="005229E5">
      <w:pPr>
        <w:pStyle w:val="ListParagraph"/>
        <w:numPr>
          <w:ilvl w:val="0"/>
          <w:numId w:val="36"/>
        </w:numPr>
        <w:tabs>
          <w:tab w:val="left" w:pos="1260"/>
        </w:tabs>
        <w:rPr>
          <w:rFonts w:ascii="Times New Roman" w:hAnsi="Times New Roman" w:cs="Times New Roman"/>
        </w:rPr>
      </w:pPr>
      <w:r w:rsidRPr="00A155FA">
        <w:rPr>
          <w:rFonts w:ascii="Times New Roman" w:hAnsi="Times New Roman" w:cs="Times New Roman"/>
          <w:b/>
          <w:bCs/>
        </w:rPr>
        <w:t>299 (supraglenoid foramen):</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As described and figured by Boy (1988:122, fig. 8).</w:t>
      </w:r>
    </w:p>
    <w:p w14:paraId="33715254" w14:textId="77777777" w:rsidR="00FA06B2" w:rsidRPr="00A155FA" w:rsidRDefault="00FA06B2" w:rsidP="005229E5">
      <w:pPr>
        <w:pStyle w:val="ListParagraph"/>
        <w:numPr>
          <w:ilvl w:val="0"/>
          <w:numId w:val="36"/>
        </w:numPr>
        <w:tabs>
          <w:tab w:val="left" w:pos="1260"/>
        </w:tabs>
        <w:rPr>
          <w:rFonts w:ascii="Times New Roman" w:hAnsi="Times New Roman" w:cs="Times New Roman"/>
        </w:rPr>
      </w:pPr>
      <w:r w:rsidRPr="00A155FA">
        <w:rPr>
          <w:rFonts w:ascii="Times New Roman" w:hAnsi="Times New Roman" w:cs="Times New Roman"/>
          <w:b/>
          <w:bCs/>
        </w:rPr>
        <w:t xml:space="preserve">300 (number coracoid foramina):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2. As with character 300.</w:t>
      </w:r>
    </w:p>
    <w:p w14:paraId="1D70254D" w14:textId="77777777" w:rsidR="00FA06B2" w:rsidRPr="00A155FA" w:rsidRDefault="00FA06B2" w:rsidP="005229E5">
      <w:pPr>
        <w:pStyle w:val="ListParagraph"/>
        <w:numPr>
          <w:ilvl w:val="0"/>
          <w:numId w:val="36"/>
        </w:numPr>
        <w:tabs>
          <w:tab w:val="left" w:pos="1260"/>
        </w:tabs>
        <w:rPr>
          <w:rFonts w:ascii="Times New Roman" w:hAnsi="Times New Roman" w:cs="Times New Roman"/>
        </w:rPr>
      </w:pPr>
      <w:r w:rsidRPr="00A155FA">
        <w:rPr>
          <w:rFonts w:ascii="Times New Roman" w:hAnsi="Times New Roman" w:cs="Times New Roman"/>
          <w:b/>
          <w:bCs/>
        </w:rPr>
        <w:t>301 (scapulocoracoid ossification):</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As with character 300.</w:t>
      </w:r>
    </w:p>
    <w:p w14:paraId="7253CB11" w14:textId="77777777" w:rsidR="00FA06B2" w:rsidRPr="00A155FA" w:rsidRDefault="00FA06B2" w:rsidP="005229E5">
      <w:pPr>
        <w:pStyle w:val="ListParagraph"/>
        <w:numPr>
          <w:ilvl w:val="0"/>
          <w:numId w:val="36"/>
        </w:numPr>
        <w:tabs>
          <w:tab w:val="left" w:pos="1260"/>
        </w:tabs>
        <w:rPr>
          <w:rFonts w:ascii="Times New Roman" w:hAnsi="Times New Roman" w:cs="Times New Roman"/>
        </w:rPr>
      </w:pPr>
      <w:r w:rsidRPr="00A155FA">
        <w:rPr>
          <w:rFonts w:ascii="Times New Roman" w:hAnsi="Times New Roman" w:cs="Times New Roman"/>
          <w:b/>
          <w:bCs/>
        </w:rPr>
        <w:t>302 (deltopectoral crest):</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2. Schoch &amp; Witzmann (2009a:154, fig. 8A-C) depicted a well-developed thickened crest, which is better developed than in </w:t>
      </w:r>
      <w:r w:rsidRPr="00A155FA">
        <w:rPr>
          <w:rFonts w:ascii="Times New Roman" w:hAnsi="Times New Roman" w:cs="Times New Roman"/>
          <w:i/>
          <w:iCs/>
        </w:rPr>
        <w:t xml:space="preserve">Glanochthon </w:t>
      </w:r>
      <w:r w:rsidRPr="00A155FA">
        <w:rPr>
          <w:rFonts w:ascii="Times New Roman" w:hAnsi="Times New Roman" w:cs="Times New Roman"/>
        </w:rPr>
        <w:t>(previously coded for 302–1).</w:t>
      </w:r>
    </w:p>
    <w:p w14:paraId="13A2520D" w14:textId="77777777" w:rsidR="00FA06B2" w:rsidRPr="00A155FA" w:rsidRDefault="00FA06B2" w:rsidP="005229E5">
      <w:pPr>
        <w:pStyle w:val="ListParagraph"/>
        <w:numPr>
          <w:ilvl w:val="0"/>
          <w:numId w:val="36"/>
        </w:numPr>
        <w:tabs>
          <w:tab w:val="left" w:pos="1260"/>
        </w:tabs>
        <w:rPr>
          <w:rFonts w:ascii="Times New Roman" w:hAnsi="Times New Roman" w:cs="Times New Roman"/>
        </w:rPr>
      </w:pPr>
      <w:r w:rsidRPr="00A155FA">
        <w:rPr>
          <w:rFonts w:ascii="Times New Roman" w:hAnsi="Times New Roman" w:cs="Times New Roman"/>
          <w:b/>
          <w:bCs/>
        </w:rPr>
        <w:t>306 (</w:t>
      </w:r>
      <w:proofErr w:type="spellStart"/>
      <w:r w:rsidRPr="00A155FA">
        <w:rPr>
          <w:rFonts w:ascii="Times New Roman" w:hAnsi="Times New Roman" w:cs="Times New Roman"/>
          <w:b/>
          <w:bCs/>
        </w:rPr>
        <w:t>basale</w:t>
      </w:r>
      <w:proofErr w:type="spellEnd"/>
      <w:r w:rsidRPr="00A155FA">
        <w:rPr>
          <w:rFonts w:ascii="Times New Roman" w:hAnsi="Times New Roman" w:cs="Times New Roman"/>
          <w:b/>
          <w:bCs/>
        </w:rPr>
        <w:t xml:space="preserve"> commune):</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As determined by figures of the pes (Schoch &amp; Witzmann, 2009a:fig. 8E).</w:t>
      </w:r>
    </w:p>
    <w:p w14:paraId="55326E66" w14:textId="77777777" w:rsidR="00FA06B2" w:rsidRPr="00A155FA" w:rsidRDefault="00FA06B2" w:rsidP="005229E5">
      <w:pPr>
        <w:pStyle w:val="ListParagraph"/>
        <w:numPr>
          <w:ilvl w:val="0"/>
          <w:numId w:val="36"/>
        </w:numPr>
        <w:tabs>
          <w:tab w:val="left" w:pos="1260"/>
        </w:tabs>
        <w:rPr>
          <w:rFonts w:ascii="Times New Roman" w:hAnsi="Times New Roman" w:cs="Times New Roman"/>
        </w:rPr>
      </w:pPr>
      <w:r w:rsidRPr="00A155FA">
        <w:rPr>
          <w:rFonts w:ascii="Times New Roman" w:hAnsi="Times New Roman" w:cs="Times New Roman"/>
          <w:b/>
          <w:bCs/>
        </w:rPr>
        <w:t>307 (femur):</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1. As described by Schoch &amp; Witzmann (2009a:157).</w:t>
      </w:r>
    </w:p>
    <w:p w14:paraId="0AC2294E" w14:textId="77777777" w:rsidR="00FA06B2" w:rsidRPr="00A155FA" w:rsidRDefault="00FA06B2" w:rsidP="005229E5">
      <w:pPr>
        <w:pStyle w:val="ListParagraph"/>
        <w:numPr>
          <w:ilvl w:val="0"/>
          <w:numId w:val="36"/>
        </w:numPr>
        <w:tabs>
          <w:tab w:val="left" w:pos="1260"/>
        </w:tabs>
        <w:rPr>
          <w:rFonts w:ascii="Times New Roman" w:hAnsi="Times New Roman" w:cs="Times New Roman"/>
        </w:rPr>
      </w:pPr>
      <w:r w:rsidRPr="00A155FA">
        <w:rPr>
          <w:rFonts w:ascii="Times New Roman" w:hAnsi="Times New Roman" w:cs="Times New Roman"/>
          <w:b/>
          <w:bCs/>
        </w:rPr>
        <w:t>308 (elongate tibiale and fibulare):</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As with character 306.</w:t>
      </w:r>
    </w:p>
    <w:p w14:paraId="55B75E8A"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proofErr w:type="spellStart"/>
      <w:r w:rsidRPr="00A155FA">
        <w:rPr>
          <w:rFonts w:ascii="Times New Roman" w:hAnsi="Times New Roman" w:cs="Times New Roman"/>
          <w:b/>
          <w:bCs/>
          <w:i/>
          <w:iCs/>
        </w:rPr>
        <w:t>Glanochthon</w:t>
      </w:r>
      <w:proofErr w:type="spellEnd"/>
      <w:r w:rsidRPr="00A155FA">
        <w:rPr>
          <w:rFonts w:ascii="Times New Roman" w:hAnsi="Times New Roman" w:cs="Times New Roman"/>
          <w:b/>
          <w:bCs/>
          <w:i/>
          <w:iCs/>
        </w:rPr>
        <w:t xml:space="preserve"> </w:t>
      </w:r>
      <w:proofErr w:type="spellStart"/>
      <w:r w:rsidRPr="00A155FA">
        <w:rPr>
          <w:rFonts w:ascii="Times New Roman" w:hAnsi="Times New Roman" w:cs="Times New Roman"/>
          <w:b/>
          <w:bCs/>
          <w:i/>
          <w:iCs/>
        </w:rPr>
        <w:t>latirostre</w:t>
      </w:r>
      <w:proofErr w:type="spellEnd"/>
    </w:p>
    <w:p w14:paraId="76B2BFBA" w14:textId="77777777" w:rsidR="00FA06B2" w:rsidRPr="00A155FA" w:rsidRDefault="00FA06B2" w:rsidP="005229E5">
      <w:pPr>
        <w:pStyle w:val="ListParagraph"/>
        <w:numPr>
          <w:ilvl w:val="0"/>
          <w:numId w:val="37"/>
        </w:numPr>
        <w:tabs>
          <w:tab w:val="left" w:pos="1260"/>
        </w:tabs>
        <w:rPr>
          <w:rFonts w:ascii="Times New Roman" w:hAnsi="Times New Roman" w:cs="Times New Roman"/>
        </w:rPr>
      </w:pPr>
      <w:r w:rsidRPr="00A155FA">
        <w:rPr>
          <w:rFonts w:ascii="Times New Roman" w:hAnsi="Times New Roman" w:cs="Times New Roman"/>
          <w:b/>
          <w:bCs/>
        </w:rPr>
        <w:t xml:space="preserve">37 (maxilla, anterior margin):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Schoch &amp; Witzmann (2009b:12) listed “locally differentiated teeth in the snout, with larger teeth producing lateral excursions of margin (</w:t>
      </w:r>
      <w:r w:rsidRPr="00A155FA">
        <w:rPr>
          <w:rFonts w:ascii="Times New Roman" w:hAnsi="Times New Roman" w:cs="Times New Roman"/>
          <w:i/>
          <w:iCs/>
        </w:rPr>
        <w:t>Intasuchus</w:t>
      </w:r>
      <w:r w:rsidRPr="00A155FA">
        <w:rPr>
          <w:rFonts w:ascii="Times New Roman" w:hAnsi="Times New Roman" w:cs="Times New Roman"/>
        </w:rPr>
        <w:t xml:space="preserve">, </w:t>
      </w:r>
      <w:r w:rsidRPr="00A155FA">
        <w:rPr>
          <w:rFonts w:ascii="Times New Roman" w:hAnsi="Times New Roman" w:cs="Times New Roman"/>
          <w:i/>
          <w:iCs/>
        </w:rPr>
        <w:t>Sclerocephalus</w:t>
      </w:r>
      <w:r w:rsidRPr="00A155FA">
        <w:rPr>
          <w:rFonts w:ascii="Times New Roman" w:hAnsi="Times New Roman" w:cs="Times New Roman"/>
        </w:rPr>
        <w:t xml:space="preserve">)” as a feature shared between </w:t>
      </w:r>
      <w:r w:rsidRPr="00A155FA">
        <w:rPr>
          <w:rFonts w:ascii="Times New Roman" w:hAnsi="Times New Roman" w:cs="Times New Roman"/>
          <w:i/>
          <w:iCs/>
        </w:rPr>
        <w:t xml:space="preserve">Glanochthon </w:t>
      </w:r>
      <w:r w:rsidRPr="00A155FA">
        <w:rPr>
          <w:rFonts w:ascii="Times New Roman" w:hAnsi="Times New Roman" w:cs="Times New Roman"/>
        </w:rPr>
        <w:t>and the aforementioned stereospondylomorphs.</w:t>
      </w:r>
    </w:p>
    <w:p w14:paraId="42723C7B" w14:textId="77777777" w:rsidR="00FA06B2" w:rsidRPr="00A155FA" w:rsidRDefault="00FA06B2" w:rsidP="005229E5">
      <w:pPr>
        <w:pStyle w:val="ListParagraph"/>
        <w:numPr>
          <w:ilvl w:val="0"/>
          <w:numId w:val="37"/>
        </w:numPr>
        <w:tabs>
          <w:tab w:val="left" w:pos="1260"/>
        </w:tabs>
        <w:rPr>
          <w:rFonts w:ascii="Times New Roman" w:hAnsi="Times New Roman" w:cs="Times New Roman"/>
        </w:rPr>
      </w:pPr>
      <w:r w:rsidRPr="00A155FA">
        <w:rPr>
          <w:rFonts w:ascii="Times New Roman" w:hAnsi="Times New Roman" w:cs="Times New Roman"/>
          <w:b/>
          <w:bCs/>
        </w:rPr>
        <w:t>121 (pterygoid, flange):</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1. A prominent flange comparable to the transverse flange reported in </w:t>
      </w:r>
      <w:r w:rsidRPr="00A155FA">
        <w:rPr>
          <w:rFonts w:ascii="Times New Roman" w:hAnsi="Times New Roman" w:cs="Times New Roman"/>
          <w:i/>
          <w:iCs/>
        </w:rPr>
        <w:t>Archegosaurus</w:t>
      </w:r>
      <w:r w:rsidRPr="00A155FA">
        <w:rPr>
          <w:rFonts w:ascii="Times New Roman" w:hAnsi="Times New Roman" w:cs="Times New Roman"/>
        </w:rPr>
        <w:t xml:space="preserve"> is found in this taxon (Boy, 1993:fig. 3; Schoch &amp; Witzmann, 2009b:fig. 4D).</w:t>
      </w:r>
    </w:p>
    <w:p w14:paraId="5D794963"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r w:rsidRPr="00A155FA">
        <w:rPr>
          <w:rFonts w:ascii="Times New Roman" w:hAnsi="Times New Roman" w:cs="Times New Roman"/>
          <w:b/>
          <w:bCs/>
          <w:i/>
          <w:iCs/>
        </w:rPr>
        <w:t>Archegosaurus decheni</w:t>
      </w:r>
    </w:p>
    <w:p w14:paraId="11015254" w14:textId="77777777" w:rsidR="00FA06B2" w:rsidRPr="00A155FA" w:rsidRDefault="00FA06B2" w:rsidP="005229E5">
      <w:pPr>
        <w:pStyle w:val="ListParagraph"/>
        <w:numPr>
          <w:ilvl w:val="0"/>
          <w:numId w:val="38"/>
        </w:numPr>
        <w:tabs>
          <w:tab w:val="left" w:pos="1260"/>
        </w:tabs>
        <w:rPr>
          <w:rFonts w:ascii="Times New Roman" w:hAnsi="Times New Roman" w:cs="Times New Roman"/>
          <w:b/>
          <w:bCs/>
        </w:rPr>
      </w:pPr>
      <w:r w:rsidRPr="00A155FA">
        <w:rPr>
          <w:rFonts w:ascii="Times New Roman" w:hAnsi="Times New Roman" w:cs="Times New Roman"/>
          <w:b/>
          <w:bCs/>
        </w:rPr>
        <w:t xml:space="preserve">15 (internarial distance):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0. This condition is ontogenetically variable (Witzmann, 2005:134), with state 15</w:t>
      </w:r>
      <w:r w:rsidRPr="00A155FA">
        <w:rPr>
          <w:rFonts w:ascii="Times New Roman" w:hAnsi="Times New Roman" w:cs="Times New Roman"/>
        </w:rPr>
        <w:softHyphen/>
        <w:t>–1 found in juveniles (e.g., Witzmann, 2005:fig. 2a), but 15–0 occurs in adults (Witzmann, 2005:fig. 5a).</w:t>
      </w:r>
    </w:p>
    <w:p w14:paraId="7AC0218D" w14:textId="77777777" w:rsidR="00FA06B2" w:rsidRPr="00A155FA" w:rsidRDefault="00FA06B2" w:rsidP="00A30351">
      <w:pPr>
        <w:pStyle w:val="ListParagraph"/>
        <w:numPr>
          <w:ilvl w:val="0"/>
          <w:numId w:val="38"/>
        </w:numPr>
        <w:tabs>
          <w:tab w:val="left" w:pos="1260"/>
        </w:tabs>
        <w:rPr>
          <w:rFonts w:ascii="Times New Roman" w:hAnsi="Times New Roman" w:cs="Times New Roman"/>
          <w:b/>
          <w:bCs/>
        </w:rPr>
      </w:pPr>
      <w:r w:rsidRPr="00A155FA">
        <w:rPr>
          <w:rFonts w:ascii="Times New Roman" w:hAnsi="Times New Roman" w:cs="Times New Roman"/>
          <w:b/>
          <w:bCs/>
        </w:rPr>
        <w:lastRenderedPageBreak/>
        <w:t xml:space="preserve">39 (prefrontal, frontal):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0&amp;2. This is variable within a single individual (e.g., Witzmann, 2005:fig. 15).</w:t>
      </w:r>
    </w:p>
    <w:p w14:paraId="37D4118A" w14:textId="77777777" w:rsidR="00FA06B2" w:rsidRPr="00A155FA" w:rsidRDefault="00FA06B2" w:rsidP="005229E5">
      <w:pPr>
        <w:pStyle w:val="ListParagraph"/>
        <w:numPr>
          <w:ilvl w:val="0"/>
          <w:numId w:val="38"/>
        </w:numPr>
        <w:tabs>
          <w:tab w:val="left" w:pos="1260"/>
        </w:tabs>
        <w:rPr>
          <w:rFonts w:ascii="Times New Roman" w:hAnsi="Times New Roman" w:cs="Times New Roman"/>
          <w:b/>
          <w:bCs/>
        </w:rPr>
      </w:pPr>
      <w:r w:rsidRPr="00A155FA">
        <w:rPr>
          <w:rFonts w:ascii="Times New Roman" w:hAnsi="Times New Roman" w:cs="Times New Roman"/>
          <w:b/>
          <w:bCs/>
        </w:rPr>
        <w:t xml:space="preserve">85 (transverse tooth row, transvomerine):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0. Witzmann (2005:145) only noted the presence of a tooth row along the medial edge of the choana, which may be continuous with, but is not equivalent to, the transvomerine row. Witzmann (2005)’s ‘type B’ palate (fig. 17B therein) does have a trio of teeth near the midline, but this is not a row, and the slight anteromedial angling of the parachoanal teeth also does not form a row; even if either could be considered a ‘row’, this character would have to be coded as polymorphic.</w:t>
      </w:r>
    </w:p>
    <w:p w14:paraId="5DB1A396" w14:textId="77777777" w:rsidR="00FA06B2" w:rsidRPr="00A155FA" w:rsidRDefault="00FA06B2" w:rsidP="005229E5">
      <w:pPr>
        <w:pStyle w:val="ListParagraph"/>
        <w:numPr>
          <w:ilvl w:val="0"/>
          <w:numId w:val="38"/>
        </w:numPr>
        <w:tabs>
          <w:tab w:val="left" w:pos="1260"/>
        </w:tabs>
        <w:rPr>
          <w:rFonts w:ascii="Times New Roman" w:hAnsi="Times New Roman" w:cs="Times New Roman"/>
          <w:b/>
          <w:bCs/>
        </w:rPr>
      </w:pPr>
      <w:r w:rsidRPr="00A155FA">
        <w:rPr>
          <w:rFonts w:ascii="Times New Roman" w:hAnsi="Times New Roman" w:cs="Times New Roman"/>
          <w:b/>
          <w:bCs/>
        </w:rPr>
        <w:t xml:space="preserve">88 (ectopterygoid fangs):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Witzmann (2005:146) stated that no fangs are present on the ectopterygoids.</w:t>
      </w:r>
    </w:p>
    <w:p w14:paraId="02DDA423" w14:textId="77777777" w:rsidR="00FA06B2" w:rsidRPr="00A155FA" w:rsidRDefault="00FA06B2" w:rsidP="005229E5">
      <w:pPr>
        <w:pStyle w:val="ListParagraph"/>
        <w:numPr>
          <w:ilvl w:val="0"/>
          <w:numId w:val="38"/>
        </w:numPr>
        <w:tabs>
          <w:tab w:val="left" w:pos="1260"/>
        </w:tabs>
        <w:rPr>
          <w:rFonts w:ascii="Times New Roman" w:hAnsi="Times New Roman" w:cs="Times New Roman"/>
        </w:rPr>
      </w:pPr>
      <w:r w:rsidRPr="00A155FA">
        <w:rPr>
          <w:rFonts w:ascii="Times New Roman" w:hAnsi="Times New Roman" w:cs="Times New Roman"/>
          <w:b/>
          <w:bCs/>
        </w:rPr>
        <w:t>121 (pterygoid, flange):</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1. A prominent flange is found in large individuals (Witzmann, 2005:146, fig. 17).</w:t>
      </w:r>
    </w:p>
    <w:p w14:paraId="0BEE82BF" w14:textId="77777777" w:rsidR="00FA06B2" w:rsidRPr="00A155FA" w:rsidRDefault="00FA06B2" w:rsidP="005229E5">
      <w:pPr>
        <w:pStyle w:val="ListParagraph"/>
        <w:numPr>
          <w:ilvl w:val="0"/>
          <w:numId w:val="38"/>
        </w:numPr>
        <w:tabs>
          <w:tab w:val="left" w:pos="1260"/>
        </w:tabs>
        <w:rPr>
          <w:rFonts w:ascii="Times New Roman" w:hAnsi="Times New Roman" w:cs="Times New Roman"/>
          <w:b/>
          <w:bCs/>
        </w:rPr>
      </w:pPr>
      <w:r w:rsidRPr="00A155FA">
        <w:rPr>
          <w:rFonts w:ascii="Times New Roman" w:hAnsi="Times New Roman" w:cs="Times New Roman"/>
          <w:b/>
          <w:bCs/>
        </w:rPr>
        <w:t xml:space="preserve">272 (coronoid teeth):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Witzmann (2005:149, fig. 21) indicated the coronoids are only covered by denticles. Based on how this character was originally coded (272–1, teeth absent) in taxa with denticulate coronoids such as the outgroups, </w:t>
      </w:r>
      <w:r w:rsidRPr="00A155FA">
        <w:rPr>
          <w:rFonts w:ascii="Times New Roman" w:hAnsi="Times New Roman" w:cs="Times New Roman"/>
          <w:i/>
          <w:iCs/>
        </w:rPr>
        <w:t>Balanerpeton</w:t>
      </w:r>
      <w:r w:rsidRPr="00A155FA">
        <w:rPr>
          <w:rFonts w:ascii="Times New Roman" w:hAnsi="Times New Roman" w:cs="Times New Roman"/>
        </w:rPr>
        <w:t>, and edopoids, it is interpreted that denticles are differentiated from teeth for this character.</w:t>
      </w:r>
    </w:p>
    <w:p w14:paraId="581A9D6C" w14:textId="77777777" w:rsidR="00FA06B2" w:rsidRPr="00A155FA" w:rsidRDefault="00FA06B2" w:rsidP="005229E5">
      <w:pPr>
        <w:pStyle w:val="ListParagraph"/>
        <w:numPr>
          <w:ilvl w:val="0"/>
          <w:numId w:val="38"/>
        </w:numPr>
        <w:tabs>
          <w:tab w:val="left" w:pos="1260"/>
        </w:tabs>
        <w:rPr>
          <w:rFonts w:ascii="Times New Roman" w:hAnsi="Times New Roman" w:cs="Times New Roman"/>
          <w:b/>
          <w:bCs/>
        </w:rPr>
      </w:pPr>
      <w:r w:rsidRPr="00A155FA">
        <w:rPr>
          <w:rFonts w:ascii="Times New Roman" w:hAnsi="Times New Roman" w:cs="Times New Roman"/>
          <w:b/>
          <w:bCs/>
        </w:rPr>
        <w:t xml:space="preserve">273 (coronoid teeth): </w:t>
      </w:r>
      <w:r w:rsidRPr="00A155FA">
        <w:rPr>
          <w:rFonts w:ascii="Times New Roman" w:hAnsi="Times New Roman" w:cs="Times New Roman"/>
        </w:rPr>
        <w:t xml:space="preserve">2 </w:t>
      </w:r>
      <w:r w:rsidRPr="00A155FA">
        <w:rPr>
          <w:rFonts w:ascii="Times New Roman" w:eastAsia="Wingdings" w:hAnsi="Times New Roman" w:cs="Times New Roman"/>
        </w:rPr>
        <w:t>→</w:t>
      </w:r>
      <w:r w:rsidRPr="00A155FA">
        <w:rPr>
          <w:rFonts w:ascii="Times New Roman" w:hAnsi="Times New Roman" w:cs="Times New Roman"/>
        </w:rPr>
        <w:t xml:space="preserve"> -. Correspondent with character 272.</w:t>
      </w:r>
    </w:p>
    <w:p w14:paraId="1016265F"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r w:rsidRPr="00A155FA">
        <w:rPr>
          <w:rFonts w:ascii="Times New Roman" w:hAnsi="Times New Roman" w:cs="Times New Roman"/>
          <w:b/>
          <w:bCs/>
          <w:i/>
          <w:iCs/>
        </w:rPr>
        <w:t>Uranocentrodon senekalensis</w:t>
      </w:r>
    </w:p>
    <w:p w14:paraId="3CCAD584" w14:textId="77777777" w:rsidR="00FA06B2" w:rsidRPr="00A155FA" w:rsidRDefault="00FA06B2" w:rsidP="005229E5">
      <w:pPr>
        <w:pStyle w:val="ListParagraph"/>
        <w:numPr>
          <w:ilvl w:val="0"/>
          <w:numId w:val="39"/>
        </w:numPr>
        <w:tabs>
          <w:tab w:val="left" w:pos="1260"/>
        </w:tabs>
        <w:rPr>
          <w:rFonts w:ascii="Times New Roman" w:hAnsi="Times New Roman" w:cs="Times New Roman"/>
        </w:rPr>
      </w:pPr>
      <w:r w:rsidRPr="00A155FA">
        <w:rPr>
          <w:rFonts w:ascii="Times New Roman" w:hAnsi="Times New Roman" w:cs="Times New Roman"/>
          <w:b/>
          <w:bCs/>
        </w:rPr>
        <w:t>107 (basicranium, suture):</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1. The extent of the suture is certainly more than 40% of the length of the basal plate and does not differ substantially from other stereospondyls (e.g., Broom, 1930:fig. 2).</w:t>
      </w:r>
    </w:p>
    <w:p w14:paraId="4C6DFBF9" w14:textId="77777777" w:rsidR="00FA06B2" w:rsidRPr="00A155FA" w:rsidRDefault="00FA06B2" w:rsidP="005229E5">
      <w:pPr>
        <w:pStyle w:val="ListParagraph"/>
        <w:numPr>
          <w:ilvl w:val="0"/>
          <w:numId w:val="39"/>
        </w:numPr>
        <w:tabs>
          <w:tab w:val="left" w:pos="1260"/>
        </w:tabs>
        <w:rPr>
          <w:rFonts w:ascii="Times New Roman" w:hAnsi="Times New Roman" w:cs="Times New Roman"/>
        </w:rPr>
      </w:pPr>
      <w:r w:rsidRPr="00A155FA">
        <w:rPr>
          <w:rFonts w:ascii="Times New Roman" w:hAnsi="Times New Roman" w:cs="Times New Roman"/>
          <w:b/>
          <w:bCs/>
        </w:rPr>
        <w:t xml:space="preserve">219 (lacrimal-naris):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The lacrimal is widely separated from the naris (e.g., Marsicano et al., 2017:fig. 4).</w:t>
      </w:r>
    </w:p>
    <w:p w14:paraId="32686330" w14:textId="77777777" w:rsidR="00FA06B2" w:rsidRPr="00A155FA" w:rsidRDefault="00FA06B2" w:rsidP="005229E5">
      <w:pPr>
        <w:pStyle w:val="ListParagraph"/>
        <w:numPr>
          <w:ilvl w:val="0"/>
          <w:numId w:val="39"/>
        </w:numPr>
        <w:tabs>
          <w:tab w:val="left" w:pos="1260"/>
        </w:tabs>
        <w:rPr>
          <w:rFonts w:ascii="Times New Roman" w:hAnsi="Times New Roman" w:cs="Times New Roman"/>
        </w:rPr>
      </w:pPr>
      <w:r w:rsidRPr="00A155FA">
        <w:rPr>
          <w:rFonts w:ascii="Times New Roman" w:hAnsi="Times New Roman" w:cs="Times New Roman"/>
          <w:b/>
          <w:bCs/>
        </w:rPr>
        <w:t>249 (denticles on pterygoid):</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Broom (1930:fig. 2) depicted denticles on the pterygoid. This agrees with both earlier work (e.g., Haughton, 1925:228) and the phylogenetic coding by Marsicano et al. (2017), the most recent revision of Rhinesuchidae.</w:t>
      </w:r>
    </w:p>
    <w:p w14:paraId="69B1F935" w14:textId="77777777" w:rsidR="00FA06B2" w:rsidRPr="00A155FA" w:rsidRDefault="00FA06B2" w:rsidP="005229E5">
      <w:pPr>
        <w:pStyle w:val="ListParagraph"/>
        <w:numPr>
          <w:ilvl w:val="0"/>
          <w:numId w:val="39"/>
        </w:numPr>
        <w:tabs>
          <w:tab w:val="left" w:pos="1260"/>
        </w:tabs>
        <w:rPr>
          <w:rFonts w:ascii="Times New Roman" w:hAnsi="Times New Roman" w:cs="Times New Roman"/>
        </w:rPr>
      </w:pPr>
      <w:r w:rsidRPr="00A155FA">
        <w:rPr>
          <w:rFonts w:ascii="Times New Roman" w:hAnsi="Times New Roman" w:cs="Times New Roman"/>
          <w:b/>
          <w:bCs/>
        </w:rPr>
        <w:t>251 (denticles on vomer):</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As with character 249.</w:t>
      </w:r>
    </w:p>
    <w:p w14:paraId="6BB25F1C" w14:textId="77777777" w:rsidR="00FA06B2" w:rsidRPr="00A155FA" w:rsidRDefault="00FA06B2" w:rsidP="005229E5">
      <w:pPr>
        <w:pStyle w:val="ListParagraph"/>
        <w:numPr>
          <w:ilvl w:val="0"/>
          <w:numId w:val="39"/>
        </w:numPr>
        <w:tabs>
          <w:tab w:val="left" w:pos="1260"/>
        </w:tabs>
        <w:rPr>
          <w:rFonts w:ascii="Times New Roman" w:hAnsi="Times New Roman" w:cs="Times New Roman"/>
        </w:rPr>
      </w:pPr>
      <w:r w:rsidRPr="00A155FA">
        <w:rPr>
          <w:rFonts w:ascii="Times New Roman" w:hAnsi="Times New Roman" w:cs="Times New Roman"/>
          <w:b/>
          <w:bCs/>
        </w:rPr>
        <w:t xml:space="preserve">311 (parietals, anterior </w:t>
      </w:r>
      <w:proofErr w:type="spellStart"/>
      <w:r w:rsidRPr="00A155FA">
        <w:rPr>
          <w:rFonts w:ascii="Times New Roman" w:hAnsi="Times New Roman" w:cs="Times New Roman"/>
          <w:b/>
          <w:bCs/>
        </w:rPr>
        <w:t>waisting</w:t>
      </w:r>
      <w:proofErr w:type="spellEnd"/>
      <w:r w:rsidRPr="00A155FA">
        <w:rPr>
          <w:rFonts w:ascii="Times New Roman" w:hAnsi="Times New Roman" w:cs="Times New Roman"/>
          <w:b/>
          <w:bCs/>
        </w:rPr>
        <w:t xml:space="preserve">):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1. As most recently documented by Marsicano et al. (2017:fig. 4).</w:t>
      </w:r>
    </w:p>
    <w:p w14:paraId="34F7B4DA" w14:textId="77777777" w:rsidR="00FA06B2" w:rsidRPr="00A155FA" w:rsidRDefault="00FA06B2" w:rsidP="005229E5">
      <w:pPr>
        <w:pStyle w:val="ListParagraph"/>
        <w:numPr>
          <w:ilvl w:val="0"/>
          <w:numId w:val="39"/>
        </w:numPr>
        <w:tabs>
          <w:tab w:val="left" w:pos="1260"/>
        </w:tabs>
        <w:rPr>
          <w:rFonts w:ascii="Times New Roman" w:hAnsi="Times New Roman" w:cs="Times New Roman"/>
        </w:rPr>
      </w:pPr>
      <w:r w:rsidRPr="00A155FA">
        <w:rPr>
          <w:rFonts w:ascii="Times New Roman" w:hAnsi="Times New Roman" w:cs="Times New Roman"/>
          <w:b/>
          <w:bCs/>
        </w:rPr>
        <w:t>312 (parietal width):</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1. As with character 311.</w:t>
      </w:r>
    </w:p>
    <w:p w14:paraId="1DE1D674" w14:textId="77777777" w:rsidR="00FA06B2" w:rsidRPr="00A155FA" w:rsidRDefault="00FA06B2" w:rsidP="005229E5">
      <w:pPr>
        <w:pStyle w:val="ListParagraph"/>
        <w:numPr>
          <w:ilvl w:val="0"/>
          <w:numId w:val="39"/>
        </w:numPr>
        <w:tabs>
          <w:tab w:val="left" w:pos="1260"/>
        </w:tabs>
        <w:rPr>
          <w:rFonts w:ascii="Times New Roman" w:hAnsi="Times New Roman" w:cs="Times New Roman"/>
        </w:rPr>
      </w:pPr>
      <w:r w:rsidRPr="00A155FA">
        <w:rPr>
          <w:rFonts w:ascii="Times New Roman" w:hAnsi="Times New Roman" w:cs="Times New Roman"/>
          <w:b/>
          <w:bCs/>
        </w:rPr>
        <w:t xml:space="preserve">313 (skull table):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As with character 311.</w:t>
      </w:r>
    </w:p>
    <w:p w14:paraId="7BECF003" w14:textId="77777777" w:rsidR="00FA06B2" w:rsidRPr="00A155FA" w:rsidRDefault="00FA06B2" w:rsidP="005229E5">
      <w:pPr>
        <w:pStyle w:val="ListParagraph"/>
        <w:numPr>
          <w:ilvl w:val="0"/>
          <w:numId w:val="39"/>
        </w:numPr>
        <w:tabs>
          <w:tab w:val="left" w:pos="1260"/>
        </w:tabs>
        <w:rPr>
          <w:rFonts w:ascii="Times New Roman" w:hAnsi="Times New Roman" w:cs="Times New Roman"/>
        </w:rPr>
      </w:pPr>
      <w:r w:rsidRPr="00A155FA">
        <w:rPr>
          <w:rFonts w:ascii="Times New Roman" w:hAnsi="Times New Roman" w:cs="Times New Roman"/>
          <w:b/>
          <w:bCs/>
        </w:rPr>
        <w:t>314 (prefrontals):</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As with character 311.</w:t>
      </w:r>
    </w:p>
    <w:p w14:paraId="4BC0950E" w14:textId="77777777" w:rsidR="00FA06B2" w:rsidRPr="00A155FA" w:rsidRDefault="00FA06B2" w:rsidP="005229E5">
      <w:pPr>
        <w:pStyle w:val="ListParagraph"/>
        <w:numPr>
          <w:ilvl w:val="0"/>
          <w:numId w:val="39"/>
        </w:numPr>
        <w:tabs>
          <w:tab w:val="left" w:pos="1260"/>
        </w:tabs>
        <w:rPr>
          <w:rFonts w:ascii="Times New Roman" w:hAnsi="Times New Roman" w:cs="Times New Roman"/>
        </w:rPr>
      </w:pPr>
      <w:r w:rsidRPr="00A155FA">
        <w:rPr>
          <w:rFonts w:ascii="Times New Roman" w:hAnsi="Times New Roman" w:cs="Times New Roman"/>
          <w:b/>
          <w:bCs/>
        </w:rPr>
        <w:t>315 (postfrontals):</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As with character 311.</w:t>
      </w:r>
    </w:p>
    <w:p w14:paraId="36231E91" w14:textId="77777777" w:rsidR="00FA06B2" w:rsidRPr="00A155FA" w:rsidRDefault="00FA06B2" w:rsidP="005229E5">
      <w:pPr>
        <w:pStyle w:val="ListParagraph"/>
        <w:numPr>
          <w:ilvl w:val="0"/>
          <w:numId w:val="39"/>
        </w:numPr>
        <w:tabs>
          <w:tab w:val="left" w:pos="1260"/>
        </w:tabs>
        <w:rPr>
          <w:rFonts w:ascii="Times New Roman" w:hAnsi="Times New Roman" w:cs="Times New Roman"/>
        </w:rPr>
      </w:pPr>
      <w:r w:rsidRPr="00A155FA">
        <w:rPr>
          <w:rFonts w:ascii="Times New Roman" w:hAnsi="Times New Roman" w:cs="Times New Roman"/>
          <w:b/>
          <w:bCs/>
        </w:rPr>
        <w:t>317 (zygokrotaphy):</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As with character 311.</w:t>
      </w:r>
    </w:p>
    <w:p w14:paraId="7C586A67"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r w:rsidRPr="00A155FA">
        <w:rPr>
          <w:rFonts w:ascii="Times New Roman" w:hAnsi="Times New Roman" w:cs="Times New Roman"/>
          <w:b/>
          <w:bCs/>
          <w:i/>
          <w:iCs/>
        </w:rPr>
        <w:t>Lydekkerina huxleyi</w:t>
      </w:r>
    </w:p>
    <w:p w14:paraId="66F6E76E" w14:textId="77777777" w:rsidR="00FA06B2" w:rsidRPr="00A155FA" w:rsidRDefault="00FA06B2" w:rsidP="005229E5">
      <w:pPr>
        <w:pStyle w:val="ListParagraph"/>
        <w:numPr>
          <w:ilvl w:val="0"/>
          <w:numId w:val="40"/>
        </w:numPr>
        <w:tabs>
          <w:tab w:val="left" w:pos="1260"/>
        </w:tabs>
        <w:rPr>
          <w:rFonts w:ascii="Times New Roman" w:hAnsi="Times New Roman" w:cs="Times New Roman"/>
        </w:rPr>
      </w:pPr>
      <w:r w:rsidRPr="00A155FA">
        <w:rPr>
          <w:rFonts w:ascii="Times New Roman" w:hAnsi="Times New Roman" w:cs="Times New Roman"/>
          <w:b/>
          <w:bCs/>
        </w:rPr>
        <w:t xml:space="preserve">38 (maxilla-nasal):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0&amp;1. This condition is intraspecifically variable per Jeannot et al. (2006:fig. 5).</w:t>
      </w:r>
    </w:p>
    <w:p w14:paraId="29194419" w14:textId="77777777" w:rsidR="00FA06B2" w:rsidRPr="00A155FA" w:rsidRDefault="00FA06B2" w:rsidP="005229E5">
      <w:pPr>
        <w:pStyle w:val="ListParagraph"/>
        <w:numPr>
          <w:ilvl w:val="0"/>
          <w:numId w:val="40"/>
        </w:numPr>
        <w:tabs>
          <w:tab w:val="left" w:pos="1260"/>
        </w:tabs>
        <w:rPr>
          <w:rFonts w:ascii="Times New Roman" w:hAnsi="Times New Roman" w:cs="Times New Roman"/>
        </w:rPr>
      </w:pPr>
      <w:r w:rsidRPr="00A155FA">
        <w:rPr>
          <w:rFonts w:ascii="Times New Roman" w:hAnsi="Times New Roman" w:cs="Times New Roman"/>
          <w:b/>
          <w:bCs/>
        </w:rPr>
        <w:t>75 (quadrate and occipital condyles):</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0. Illustrations and reconstructions (Shishkin et al., 1996:fig. 7; Schoch &amp; Milner, 2000:fig. 57; Jeannot et al., 2006:figs. 2, 7; Hewison 2007:figs. 30, 32) depict occipital condyles anterior to the quadrate condyles. </w:t>
      </w:r>
    </w:p>
    <w:p w14:paraId="0D8CFA06" w14:textId="77777777" w:rsidR="00FA06B2" w:rsidRPr="00A155FA" w:rsidRDefault="00FA06B2" w:rsidP="005229E5">
      <w:pPr>
        <w:pStyle w:val="ListParagraph"/>
        <w:numPr>
          <w:ilvl w:val="0"/>
          <w:numId w:val="40"/>
        </w:numPr>
        <w:tabs>
          <w:tab w:val="left" w:pos="1260"/>
        </w:tabs>
        <w:rPr>
          <w:rFonts w:ascii="Times New Roman" w:hAnsi="Times New Roman" w:cs="Times New Roman"/>
        </w:rPr>
      </w:pPr>
      <w:r w:rsidRPr="00A155FA">
        <w:rPr>
          <w:rFonts w:ascii="Times New Roman" w:hAnsi="Times New Roman" w:cs="Times New Roman"/>
          <w:b/>
          <w:bCs/>
        </w:rPr>
        <w:t>88 (ectopterygoid, fangs):</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0&amp;1. Jeannot et al. (2006), citing Shishkin et al. (1996:1646), stated this character is polymorphic.</w:t>
      </w:r>
    </w:p>
    <w:p w14:paraId="74607086" w14:textId="77777777" w:rsidR="00FA06B2" w:rsidRPr="00A155FA" w:rsidRDefault="00FA06B2" w:rsidP="005229E5">
      <w:pPr>
        <w:pStyle w:val="ListParagraph"/>
        <w:numPr>
          <w:ilvl w:val="0"/>
          <w:numId w:val="40"/>
        </w:numPr>
        <w:tabs>
          <w:tab w:val="left" w:pos="1260"/>
        </w:tabs>
        <w:rPr>
          <w:rFonts w:ascii="Times New Roman" w:hAnsi="Times New Roman" w:cs="Times New Roman"/>
        </w:rPr>
      </w:pPr>
      <w:r w:rsidRPr="00A155FA">
        <w:rPr>
          <w:rFonts w:ascii="Times New Roman" w:hAnsi="Times New Roman" w:cs="Times New Roman"/>
          <w:b/>
          <w:bCs/>
        </w:rPr>
        <w:lastRenderedPageBreak/>
        <w:t>107 (basicranium, suture):</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1. The extent of the suture is certainly more than 40% of the length of the basal plate and does not differ substantially from other stereospondyls (Shishkin et al., 1996:fig. 7; Jeannot et al., 2006:figs. 2, 7; Hewison 2007:fig. 32).</w:t>
      </w:r>
    </w:p>
    <w:p w14:paraId="32C9B54C" w14:textId="77777777" w:rsidR="00FA06B2" w:rsidRPr="00A155FA" w:rsidRDefault="00FA06B2" w:rsidP="005229E5">
      <w:pPr>
        <w:pStyle w:val="ListParagraph"/>
        <w:numPr>
          <w:ilvl w:val="0"/>
          <w:numId w:val="40"/>
        </w:numPr>
        <w:tabs>
          <w:tab w:val="left" w:pos="1260"/>
        </w:tabs>
        <w:rPr>
          <w:rFonts w:ascii="Times New Roman" w:hAnsi="Times New Roman" w:cs="Times New Roman"/>
        </w:rPr>
      </w:pPr>
      <w:r w:rsidRPr="00A155FA">
        <w:rPr>
          <w:rFonts w:ascii="Times New Roman" w:hAnsi="Times New Roman" w:cs="Times New Roman"/>
          <w:b/>
          <w:bCs/>
        </w:rPr>
        <w:t xml:space="preserve">124 (pterygoid-palatine-ectopterygoid):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0&amp;1. Jeannot et al. (2006:829) noted that the ectopterygoid is excluded from the interpterygoid vacuity by a point contact between the pterygoid and the palatine (as with Shishkin et al., 1996:fig. 7), whereas Hewison (2007:22) noted the absence of this suture in other specimens.</w:t>
      </w:r>
    </w:p>
    <w:p w14:paraId="7F3CFEBF" w14:textId="77777777" w:rsidR="00FA06B2" w:rsidRPr="00A155FA" w:rsidRDefault="00FA06B2" w:rsidP="005229E5">
      <w:pPr>
        <w:pStyle w:val="ListParagraph"/>
        <w:numPr>
          <w:ilvl w:val="0"/>
          <w:numId w:val="40"/>
        </w:numPr>
        <w:tabs>
          <w:tab w:val="left" w:pos="1260"/>
        </w:tabs>
        <w:rPr>
          <w:rFonts w:ascii="Times New Roman" w:hAnsi="Times New Roman" w:cs="Times New Roman"/>
        </w:rPr>
      </w:pPr>
      <w:r w:rsidRPr="00A155FA">
        <w:rPr>
          <w:rFonts w:ascii="Times New Roman" w:hAnsi="Times New Roman" w:cs="Times New Roman"/>
          <w:b/>
          <w:bCs/>
        </w:rPr>
        <w:t>145 (Meckelian window):</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0. The size of this opening is proportionately in line with the plesiomorphic condition observed in most non-stereospondyls (e.g., Jeannot et al., 2006:fig. 4; Hewison, 2007:fig. 34)</w:t>
      </w:r>
    </w:p>
    <w:p w14:paraId="6205D2EE" w14:textId="77777777" w:rsidR="00FA06B2" w:rsidRPr="00A155FA" w:rsidRDefault="00FA06B2" w:rsidP="005229E5">
      <w:pPr>
        <w:pStyle w:val="ListParagraph"/>
        <w:numPr>
          <w:ilvl w:val="0"/>
          <w:numId w:val="40"/>
        </w:numPr>
        <w:tabs>
          <w:tab w:val="left" w:pos="1260"/>
        </w:tabs>
        <w:rPr>
          <w:rFonts w:ascii="Times New Roman" w:hAnsi="Times New Roman" w:cs="Times New Roman"/>
        </w:rPr>
      </w:pPr>
      <w:r w:rsidRPr="00A155FA">
        <w:rPr>
          <w:rFonts w:ascii="Times New Roman" w:hAnsi="Times New Roman" w:cs="Times New Roman"/>
          <w:b/>
          <w:bCs/>
        </w:rPr>
        <w:t>148 (anterior, middle coronoid teeth):</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0. While this taxon lacks “teeth” in the sense of similarly sized features to the marginal teeth, a covering of denticles on all three is the plesiomorphic condition, and many non-stereospondyls with denticle coverings but no coronoid teeth were coded for state 0. Jeannot et al. (2006:831) confirmed the presence of denticles on all three coronoids.</w:t>
      </w:r>
    </w:p>
    <w:p w14:paraId="1479E3E2" w14:textId="77777777" w:rsidR="00FA06B2" w:rsidRPr="00A155FA" w:rsidRDefault="00FA06B2" w:rsidP="005229E5">
      <w:pPr>
        <w:pStyle w:val="ListParagraph"/>
        <w:numPr>
          <w:ilvl w:val="0"/>
          <w:numId w:val="40"/>
        </w:numPr>
        <w:tabs>
          <w:tab w:val="left" w:pos="1260"/>
        </w:tabs>
        <w:rPr>
          <w:rFonts w:ascii="Times New Roman" w:hAnsi="Times New Roman" w:cs="Times New Roman"/>
        </w:rPr>
      </w:pPr>
      <w:r w:rsidRPr="00A155FA">
        <w:rPr>
          <w:rFonts w:ascii="Times New Roman" w:hAnsi="Times New Roman" w:cs="Times New Roman"/>
          <w:b/>
          <w:bCs/>
        </w:rPr>
        <w:t>155 (</w:t>
      </w:r>
      <w:proofErr w:type="spellStart"/>
      <w:r w:rsidRPr="00A155FA">
        <w:rPr>
          <w:rFonts w:ascii="Times New Roman" w:hAnsi="Times New Roman" w:cs="Times New Roman"/>
          <w:b/>
          <w:bCs/>
        </w:rPr>
        <w:t>basibranchials</w:t>
      </w:r>
      <w:proofErr w:type="spellEnd"/>
      <w:r w:rsidRPr="00A155FA">
        <w:rPr>
          <w:rFonts w:ascii="Times New Roman" w:hAnsi="Times New Roman" w:cs="Times New Roman"/>
          <w:b/>
          <w:bCs/>
        </w:rPr>
        <w:t>):</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1. Witzmann (2013:155) noted the presence of </w:t>
      </w:r>
      <w:proofErr w:type="spellStart"/>
      <w:r w:rsidRPr="00A155FA">
        <w:rPr>
          <w:rFonts w:ascii="Times New Roman" w:hAnsi="Times New Roman" w:cs="Times New Roman"/>
        </w:rPr>
        <w:t>basibranchials</w:t>
      </w:r>
      <w:proofErr w:type="spellEnd"/>
      <w:r w:rsidRPr="00A155FA">
        <w:rPr>
          <w:rFonts w:ascii="Times New Roman" w:hAnsi="Times New Roman" w:cs="Times New Roman"/>
        </w:rPr>
        <w:t>.</w:t>
      </w:r>
    </w:p>
    <w:p w14:paraId="23280C67" w14:textId="77777777" w:rsidR="00FA06B2" w:rsidRPr="00A155FA" w:rsidRDefault="00FA06B2" w:rsidP="005229E5">
      <w:pPr>
        <w:pStyle w:val="ListParagraph"/>
        <w:numPr>
          <w:ilvl w:val="0"/>
          <w:numId w:val="40"/>
        </w:numPr>
        <w:tabs>
          <w:tab w:val="left" w:pos="1260"/>
        </w:tabs>
        <w:rPr>
          <w:rFonts w:ascii="Times New Roman" w:hAnsi="Times New Roman" w:cs="Times New Roman"/>
        </w:rPr>
      </w:pPr>
      <w:r w:rsidRPr="00A155FA">
        <w:rPr>
          <w:rFonts w:ascii="Times New Roman" w:hAnsi="Times New Roman" w:cs="Times New Roman"/>
          <w:b/>
          <w:bCs/>
        </w:rPr>
        <w:t>196 (carpals):</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1. Pawley &amp; Warren (2005:289, fig. 5) described and figured carpals.</w:t>
      </w:r>
    </w:p>
    <w:p w14:paraId="527080D7" w14:textId="77777777" w:rsidR="00FA06B2" w:rsidRPr="00A155FA" w:rsidRDefault="00FA06B2" w:rsidP="005229E5">
      <w:pPr>
        <w:pStyle w:val="ListParagraph"/>
        <w:numPr>
          <w:ilvl w:val="0"/>
          <w:numId w:val="40"/>
        </w:numPr>
        <w:tabs>
          <w:tab w:val="left" w:pos="1260"/>
        </w:tabs>
        <w:rPr>
          <w:rFonts w:ascii="Times New Roman" w:hAnsi="Times New Roman" w:cs="Times New Roman"/>
        </w:rPr>
      </w:pPr>
      <w:r w:rsidRPr="00A155FA">
        <w:rPr>
          <w:rFonts w:ascii="Times New Roman" w:hAnsi="Times New Roman" w:cs="Times New Roman"/>
          <w:b/>
          <w:bCs/>
        </w:rPr>
        <w:t xml:space="preserve">219 (lacrimal-naris contact):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0&amp;1. Jeannot et al. (2006:828, fig. 5) cited this as an example of non-taphonomic intraspecific variation.</w:t>
      </w:r>
    </w:p>
    <w:p w14:paraId="410BA580" w14:textId="77777777" w:rsidR="00FA06B2" w:rsidRPr="00A155FA" w:rsidRDefault="00FA06B2" w:rsidP="005229E5">
      <w:pPr>
        <w:pStyle w:val="ListParagraph"/>
        <w:numPr>
          <w:ilvl w:val="0"/>
          <w:numId w:val="40"/>
        </w:numPr>
        <w:tabs>
          <w:tab w:val="left" w:pos="1260"/>
        </w:tabs>
        <w:rPr>
          <w:rFonts w:ascii="Times New Roman" w:hAnsi="Times New Roman" w:cs="Times New Roman"/>
        </w:rPr>
      </w:pPr>
      <w:r w:rsidRPr="00A155FA">
        <w:rPr>
          <w:rFonts w:ascii="Times New Roman" w:hAnsi="Times New Roman" w:cs="Times New Roman"/>
          <w:b/>
          <w:bCs/>
        </w:rPr>
        <w:t>225 (septomaxilla):</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Septomaxillae are often absent in specimens of this taxon (Jeannot et al., 2006:826, 828, fig. 5), but an ossified septomaxillae has been documented by numerous workers (e.g., Jeannot et al., 2006; Hewison, 2007:9–10), and it is felt that the balance favors post-mortem loss or immaturity in specimens without this bone (as with Jeannot et al., 2006:fig. 5).</w:t>
      </w:r>
    </w:p>
    <w:p w14:paraId="76D900D4" w14:textId="77777777" w:rsidR="00FA06B2" w:rsidRPr="00A155FA" w:rsidRDefault="00FA06B2" w:rsidP="005229E5">
      <w:pPr>
        <w:pStyle w:val="ListParagraph"/>
        <w:numPr>
          <w:ilvl w:val="0"/>
          <w:numId w:val="40"/>
        </w:numPr>
        <w:tabs>
          <w:tab w:val="left" w:pos="1260"/>
        </w:tabs>
        <w:rPr>
          <w:rFonts w:ascii="Times New Roman" w:hAnsi="Times New Roman" w:cs="Times New Roman"/>
        </w:rPr>
      </w:pPr>
      <w:r w:rsidRPr="00A155FA">
        <w:rPr>
          <w:rFonts w:ascii="Times New Roman" w:hAnsi="Times New Roman" w:cs="Times New Roman"/>
          <w:b/>
          <w:bCs/>
        </w:rPr>
        <w:t>243 (maxillary tooth count):</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0. Jeannot et al. (2006:830) were able to identify at least 29 teeth on the left maxilla of the holotype and 38 teeth on the right. Hewison (2007:12) only identified 31 teeth on the right maxilla but reconstructed several additional positions.</w:t>
      </w:r>
    </w:p>
    <w:p w14:paraId="7E01C357" w14:textId="77777777" w:rsidR="00FA06B2" w:rsidRPr="00A155FA" w:rsidRDefault="00FA06B2" w:rsidP="005229E5">
      <w:pPr>
        <w:pStyle w:val="ListParagraph"/>
        <w:numPr>
          <w:ilvl w:val="0"/>
          <w:numId w:val="40"/>
        </w:numPr>
        <w:tabs>
          <w:tab w:val="left" w:pos="1260"/>
        </w:tabs>
        <w:rPr>
          <w:rFonts w:ascii="Times New Roman" w:hAnsi="Times New Roman" w:cs="Times New Roman"/>
        </w:rPr>
      </w:pPr>
      <w:r w:rsidRPr="00A155FA">
        <w:rPr>
          <w:rFonts w:ascii="Times New Roman" w:hAnsi="Times New Roman" w:cs="Times New Roman"/>
          <w:b/>
          <w:bCs/>
        </w:rPr>
        <w:t xml:space="preserve">287 (atlas-axis centra):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Jeannot et al. (2006:832) reported the presence of intercentra associated with these two positions.</w:t>
      </w:r>
    </w:p>
    <w:p w14:paraId="24AFEA67" w14:textId="77777777" w:rsidR="00FA06B2" w:rsidRPr="00A155FA" w:rsidRDefault="00FA06B2" w:rsidP="005229E5">
      <w:pPr>
        <w:pStyle w:val="ListParagraph"/>
        <w:numPr>
          <w:ilvl w:val="0"/>
          <w:numId w:val="40"/>
        </w:numPr>
        <w:tabs>
          <w:tab w:val="left" w:pos="1260"/>
        </w:tabs>
        <w:rPr>
          <w:rFonts w:ascii="Times New Roman" w:hAnsi="Times New Roman" w:cs="Times New Roman"/>
        </w:rPr>
      </w:pPr>
      <w:r w:rsidRPr="00A155FA">
        <w:rPr>
          <w:rFonts w:ascii="Times New Roman" w:hAnsi="Times New Roman" w:cs="Times New Roman"/>
          <w:b/>
          <w:bCs/>
        </w:rPr>
        <w:t>293 (proatlantes):</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1. Pawley &amp; Warren (2005:282), citing </w:t>
      </w:r>
      <w:proofErr w:type="spellStart"/>
      <w:r w:rsidRPr="00A155FA">
        <w:rPr>
          <w:rFonts w:ascii="Times New Roman" w:hAnsi="Times New Roman" w:cs="Times New Roman"/>
        </w:rPr>
        <w:t>Broili</w:t>
      </w:r>
      <w:proofErr w:type="spellEnd"/>
      <w:r w:rsidRPr="00A155FA">
        <w:rPr>
          <w:rFonts w:ascii="Times New Roman" w:hAnsi="Times New Roman" w:cs="Times New Roman"/>
        </w:rPr>
        <w:t xml:space="preserve"> and </w:t>
      </w:r>
      <w:proofErr w:type="spellStart"/>
      <w:r w:rsidRPr="00A155FA">
        <w:rPr>
          <w:rFonts w:ascii="Times New Roman" w:hAnsi="Times New Roman" w:cs="Times New Roman"/>
        </w:rPr>
        <w:t>Schröder</w:t>
      </w:r>
      <w:proofErr w:type="spellEnd"/>
      <w:r w:rsidRPr="00A155FA">
        <w:rPr>
          <w:rFonts w:ascii="Times New Roman" w:hAnsi="Times New Roman" w:cs="Times New Roman"/>
        </w:rPr>
        <w:t xml:space="preserve"> (1937), considered the absence of a proatlas among the abundance of material to be genuine.</w:t>
      </w:r>
    </w:p>
    <w:p w14:paraId="0BC02665" w14:textId="77777777" w:rsidR="00FA06B2" w:rsidRPr="007A0A6B" w:rsidRDefault="00FA06B2" w:rsidP="00A30351">
      <w:pPr>
        <w:pStyle w:val="ListParagraph"/>
        <w:numPr>
          <w:ilvl w:val="0"/>
          <w:numId w:val="40"/>
        </w:numPr>
        <w:tabs>
          <w:tab w:val="left" w:pos="1260"/>
        </w:tabs>
        <w:rPr>
          <w:rFonts w:ascii="Times New Roman" w:hAnsi="Times New Roman" w:cs="Times New Roman"/>
        </w:rPr>
      </w:pPr>
      <w:r w:rsidRPr="00A155FA">
        <w:rPr>
          <w:rFonts w:ascii="Times New Roman" w:hAnsi="Times New Roman" w:cs="Times New Roman"/>
          <w:b/>
          <w:bCs/>
        </w:rPr>
        <w:t>312 (parietal, width):</w:t>
      </w:r>
      <w:r w:rsidRPr="00A155FA">
        <w:rPr>
          <w:rFonts w:ascii="Times New Roman" w:hAnsi="Times New Roman" w:cs="Times New Roman"/>
        </w:rPr>
        <w:t xml:space="preserve"> 1 </w:t>
      </w:r>
      <w:r w:rsidRPr="00A155FA">
        <w:rPr>
          <w:rFonts w:ascii="Times New Roman" w:hAnsi="Times New Roman" w:cs="Times New Roman"/>
        </w:rPr>
        <w:sym w:font="Wingdings" w:char="F0E0"/>
      </w:r>
      <w:r w:rsidRPr="00A155FA">
        <w:rPr>
          <w:rFonts w:ascii="Times New Roman" w:hAnsi="Times New Roman" w:cs="Times New Roman"/>
        </w:rPr>
        <w:t xml:space="preserve"> 0. Jeannot et al. (2006) and Hewison (2007) depict parietals that are wider than the frontals.</w:t>
      </w:r>
    </w:p>
    <w:p w14:paraId="658DB446"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r w:rsidRPr="00A155FA">
        <w:rPr>
          <w:rFonts w:ascii="Times New Roman" w:hAnsi="Times New Roman" w:cs="Times New Roman"/>
          <w:b/>
          <w:bCs/>
          <w:i/>
          <w:iCs/>
        </w:rPr>
        <w:t>Siderops kehli</w:t>
      </w:r>
    </w:p>
    <w:p w14:paraId="0849DB7E" w14:textId="77777777" w:rsidR="00FA06B2" w:rsidRPr="00A155FA" w:rsidRDefault="00FA06B2" w:rsidP="005229E5">
      <w:pPr>
        <w:pStyle w:val="ListParagraph"/>
        <w:numPr>
          <w:ilvl w:val="0"/>
          <w:numId w:val="41"/>
        </w:numPr>
        <w:tabs>
          <w:tab w:val="left" w:pos="1260"/>
        </w:tabs>
        <w:rPr>
          <w:rFonts w:ascii="Times New Roman" w:hAnsi="Times New Roman" w:cs="Times New Roman"/>
        </w:rPr>
      </w:pPr>
      <w:r w:rsidRPr="00A155FA">
        <w:rPr>
          <w:rFonts w:ascii="Times New Roman" w:hAnsi="Times New Roman" w:cs="Times New Roman"/>
          <w:b/>
          <w:bCs/>
        </w:rPr>
        <w:t xml:space="preserve">10 (premaxilla, alary process):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 The reconstruction of the premaxillary-nasal suture is entirely conjectural (Warren &amp; Hutchinson, 1983:9–10, fig. 2).</w:t>
      </w:r>
    </w:p>
    <w:p w14:paraId="14762022" w14:textId="77777777" w:rsidR="00FA06B2" w:rsidRPr="00A155FA" w:rsidRDefault="00FA06B2" w:rsidP="005229E5">
      <w:pPr>
        <w:pStyle w:val="ListParagraph"/>
        <w:numPr>
          <w:ilvl w:val="0"/>
          <w:numId w:val="41"/>
        </w:numPr>
        <w:tabs>
          <w:tab w:val="left" w:pos="1260"/>
        </w:tabs>
        <w:rPr>
          <w:rFonts w:ascii="Times New Roman" w:hAnsi="Times New Roman" w:cs="Times New Roman"/>
        </w:rPr>
      </w:pPr>
      <w:r w:rsidRPr="00A155FA">
        <w:rPr>
          <w:rFonts w:ascii="Times New Roman" w:hAnsi="Times New Roman" w:cs="Times New Roman"/>
          <w:b/>
          <w:bCs/>
        </w:rPr>
        <w:t xml:space="preserve">11 (premaxilla, </w:t>
      </w:r>
      <w:proofErr w:type="spellStart"/>
      <w:r w:rsidRPr="00A155FA">
        <w:rPr>
          <w:rFonts w:ascii="Times New Roman" w:hAnsi="Times New Roman" w:cs="Times New Roman"/>
          <w:b/>
          <w:bCs/>
        </w:rPr>
        <w:t>prenarial</w:t>
      </w:r>
      <w:proofErr w:type="spellEnd"/>
      <w:r w:rsidRPr="00A155FA">
        <w:rPr>
          <w:rFonts w:ascii="Times New Roman" w:hAnsi="Times New Roman" w:cs="Times New Roman"/>
          <w:b/>
          <w:bCs/>
        </w:rPr>
        <w:t xml:space="preserve"> portion):</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10.</w:t>
      </w:r>
    </w:p>
    <w:p w14:paraId="12BB640A" w14:textId="77777777" w:rsidR="00FA06B2" w:rsidRPr="00A155FA" w:rsidRDefault="00FA06B2" w:rsidP="005229E5">
      <w:pPr>
        <w:pStyle w:val="ListParagraph"/>
        <w:numPr>
          <w:ilvl w:val="0"/>
          <w:numId w:val="41"/>
        </w:numPr>
        <w:tabs>
          <w:tab w:val="left" w:pos="1260"/>
        </w:tabs>
        <w:rPr>
          <w:rFonts w:ascii="Times New Roman" w:hAnsi="Times New Roman" w:cs="Times New Roman"/>
        </w:rPr>
      </w:pPr>
      <w:r w:rsidRPr="00A155FA">
        <w:rPr>
          <w:rFonts w:ascii="Times New Roman" w:hAnsi="Times New Roman" w:cs="Times New Roman"/>
          <w:b/>
          <w:bCs/>
        </w:rPr>
        <w:t>12 (premaxilla, outline):</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10.</w:t>
      </w:r>
    </w:p>
    <w:p w14:paraId="39F98323" w14:textId="77777777" w:rsidR="00FA06B2" w:rsidRPr="00A155FA" w:rsidRDefault="00FA06B2" w:rsidP="005229E5">
      <w:pPr>
        <w:pStyle w:val="ListParagraph"/>
        <w:numPr>
          <w:ilvl w:val="0"/>
          <w:numId w:val="41"/>
        </w:numPr>
        <w:tabs>
          <w:tab w:val="left" w:pos="1260"/>
        </w:tabs>
        <w:rPr>
          <w:rFonts w:ascii="Times New Roman" w:hAnsi="Times New Roman" w:cs="Times New Roman"/>
        </w:rPr>
      </w:pPr>
      <w:r w:rsidRPr="00A155FA">
        <w:rPr>
          <w:rFonts w:ascii="Times New Roman" w:hAnsi="Times New Roman" w:cs="Times New Roman"/>
          <w:b/>
          <w:bCs/>
        </w:rPr>
        <w:lastRenderedPageBreak/>
        <w:t>13 (premaxillary foramen):</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10. Though Warren &amp; Hutchinson (1983:10) stated that none was found, because the opening can be variably sized, and the tip of the premaxilla is not preserved on the skull roof, this is best left as unknown.</w:t>
      </w:r>
    </w:p>
    <w:p w14:paraId="3428B5B3" w14:textId="77777777" w:rsidR="00FA06B2" w:rsidRPr="00A155FA" w:rsidRDefault="00FA06B2" w:rsidP="005229E5">
      <w:pPr>
        <w:pStyle w:val="ListParagraph"/>
        <w:numPr>
          <w:ilvl w:val="0"/>
          <w:numId w:val="41"/>
        </w:numPr>
        <w:tabs>
          <w:tab w:val="left" w:pos="1260"/>
        </w:tabs>
        <w:rPr>
          <w:rFonts w:ascii="Times New Roman" w:hAnsi="Times New Roman" w:cs="Times New Roman"/>
        </w:rPr>
      </w:pPr>
      <w:r w:rsidRPr="00A155FA">
        <w:rPr>
          <w:rFonts w:ascii="Times New Roman" w:hAnsi="Times New Roman" w:cs="Times New Roman"/>
          <w:b/>
          <w:bCs/>
        </w:rPr>
        <w:t>20 (nasal, lateral margin):</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The lateral suture is too incomplete on both sides to assess its shape (Warren &amp; Hutchinson, 1983:fig. 2).</w:t>
      </w:r>
    </w:p>
    <w:p w14:paraId="18CF61A8" w14:textId="77777777" w:rsidR="00FA06B2" w:rsidRPr="00A155FA" w:rsidRDefault="00FA06B2" w:rsidP="005229E5">
      <w:pPr>
        <w:pStyle w:val="ListParagraph"/>
        <w:numPr>
          <w:ilvl w:val="0"/>
          <w:numId w:val="41"/>
        </w:numPr>
        <w:tabs>
          <w:tab w:val="left" w:pos="1260"/>
        </w:tabs>
        <w:rPr>
          <w:rFonts w:ascii="Times New Roman" w:hAnsi="Times New Roman" w:cs="Times New Roman"/>
        </w:rPr>
      </w:pPr>
      <w:r w:rsidRPr="00A155FA">
        <w:rPr>
          <w:rFonts w:ascii="Times New Roman" w:hAnsi="Times New Roman" w:cs="Times New Roman"/>
          <w:b/>
          <w:bCs/>
        </w:rPr>
        <w:t xml:space="preserve">31 (frontal-nasal, length):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The reconstruction of the frontal-nasal suture is entirely conjectural (Warren &amp; Hutchinson, 1983:fig. 2).</w:t>
      </w:r>
    </w:p>
    <w:p w14:paraId="66E22466" w14:textId="77777777" w:rsidR="00FA06B2" w:rsidRPr="00A155FA" w:rsidRDefault="00FA06B2" w:rsidP="005229E5">
      <w:pPr>
        <w:pStyle w:val="ListParagraph"/>
        <w:numPr>
          <w:ilvl w:val="0"/>
          <w:numId w:val="41"/>
        </w:numPr>
        <w:tabs>
          <w:tab w:val="left" w:pos="1260"/>
        </w:tabs>
        <w:rPr>
          <w:rFonts w:ascii="Times New Roman" w:hAnsi="Times New Roman" w:cs="Times New Roman"/>
        </w:rPr>
      </w:pPr>
      <w:r w:rsidRPr="00A155FA">
        <w:rPr>
          <w:rFonts w:ascii="Times New Roman" w:hAnsi="Times New Roman" w:cs="Times New Roman"/>
          <w:b/>
          <w:bCs/>
        </w:rPr>
        <w:t>32 (frontal-nasal, suture</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31.</w:t>
      </w:r>
    </w:p>
    <w:p w14:paraId="0C9B4A01" w14:textId="77777777" w:rsidR="00FA06B2" w:rsidRPr="00A155FA" w:rsidRDefault="00FA06B2" w:rsidP="005229E5">
      <w:pPr>
        <w:pStyle w:val="ListParagraph"/>
        <w:numPr>
          <w:ilvl w:val="0"/>
          <w:numId w:val="41"/>
        </w:numPr>
        <w:tabs>
          <w:tab w:val="left" w:pos="1260"/>
        </w:tabs>
        <w:rPr>
          <w:rFonts w:ascii="Times New Roman" w:hAnsi="Times New Roman" w:cs="Times New Roman"/>
        </w:rPr>
      </w:pPr>
      <w:r w:rsidRPr="00A155FA">
        <w:rPr>
          <w:rFonts w:ascii="Times New Roman" w:hAnsi="Times New Roman" w:cs="Times New Roman"/>
          <w:b/>
          <w:bCs/>
        </w:rPr>
        <w:t xml:space="preserve">35 (infraorbital sulcus):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The sensory groove canals are both asymmetrical and interrupted (Warren &amp; Hutchinson, 1983:9–10, figs. 1–2); it is not clear that this groove is sufficiently posteriorly extensive to capture any flexure like that found in some other taxa. If it is considered to be sufficient, then it would be state 1 (S-shaped flexure) based on a prominent curve from the left maxilla to the left prefrontal; the right side does not preserve a groove in the same region.</w:t>
      </w:r>
    </w:p>
    <w:p w14:paraId="3C72BFE3" w14:textId="77777777" w:rsidR="00FA06B2" w:rsidRPr="00A155FA" w:rsidRDefault="00FA06B2" w:rsidP="005229E5">
      <w:pPr>
        <w:pStyle w:val="ListParagraph"/>
        <w:numPr>
          <w:ilvl w:val="0"/>
          <w:numId w:val="41"/>
        </w:numPr>
        <w:tabs>
          <w:tab w:val="left" w:pos="1260"/>
        </w:tabs>
        <w:rPr>
          <w:rFonts w:ascii="Times New Roman" w:hAnsi="Times New Roman" w:cs="Times New Roman"/>
        </w:rPr>
      </w:pPr>
      <w:r w:rsidRPr="00A155FA">
        <w:rPr>
          <w:rFonts w:ascii="Times New Roman" w:hAnsi="Times New Roman" w:cs="Times New Roman"/>
          <w:b/>
          <w:bCs/>
        </w:rPr>
        <w:t xml:space="preserve">38 (maxilla-nasal):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 Despite the absence of a lacrimal, this does not ensure maxilla-nasal contact, and this suture nor the anterior terminus of the prefrontal are confidently known (Warren &amp; Hutchinson, 1983:fig. 2).</w:t>
      </w:r>
    </w:p>
    <w:p w14:paraId="193831CC" w14:textId="77777777" w:rsidR="00FA06B2" w:rsidRPr="00A155FA" w:rsidRDefault="00FA06B2" w:rsidP="005229E5">
      <w:pPr>
        <w:pStyle w:val="ListParagraph"/>
        <w:numPr>
          <w:ilvl w:val="0"/>
          <w:numId w:val="41"/>
        </w:numPr>
        <w:tabs>
          <w:tab w:val="left" w:pos="1260"/>
        </w:tabs>
        <w:rPr>
          <w:rFonts w:ascii="Times New Roman" w:hAnsi="Times New Roman" w:cs="Times New Roman"/>
        </w:rPr>
      </w:pPr>
      <w:r w:rsidRPr="00A155FA">
        <w:rPr>
          <w:rFonts w:ascii="Times New Roman" w:hAnsi="Times New Roman" w:cs="Times New Roman"/>
          <w:b/>
          <w:bCs/>
        </w:rPr>
        <w:t xml:space="preserve">41 (prefrontal, lateral suture):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Only a small portion of the anterolateral margin is preserved, and the region around the orbit (referenced in state 1) is unknown (Warren &amp; Hutchinson, 1983:fig. 2).</w:t>
      </w:r>
    </w:p>
    <w:p w14:paraId="3F78C9C0" w14:textId="77777777" w:rsidR="00FA06B2" w:rsidRPr="00A155FA" w:rsidRDefault="00FA06B2" w:rsidP="005229E5">
      <w:pPr>
        <w:pStyle w:val="ListParagraph"/>
        <w:numPr>
          <w:ilvl w:val="0"/>
          <w:numId w:val="41"/>
        </w:numPr>
        <w:tabs>
          <w:tab w:val="left" w:pos="1260"/>
        </w:tabs>
        <w:rPr>
          <w:rFonts w:ascii="Times New Roman" w:hAnsi="Times New Roman" w:cs="Times New Roman"/>
        </w:rPr>
      </w:pPr>
      <w:r w:rsidRPr="00A155FA">
        <w:rPr>
          <w:rFonts w:ascii="Times New Roman" w:hAnsi="Times New Roman" w:cs="Times New Roman"/>
          <w:b/>
          <w:bCs/>
        </w:rPr>
        <w:t xml:space="preserve">44 (prefrontal-jugal):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w:t>
      </w:r>
      <w:r w:rsidRPr="00A155FA">
        <w:rPr>
          <w:rFonts w:ascii="Times New Roman" w:hAnsi="Times New Roman" w:cs="Times New Roman"/>
          <w:b/>
          <w:bCs/>
        </w:rPr>
        <w:t xml:space="preserve"> </w:t>
      </w:r>
      <w:r w:rsidRPr="00A155FA">
        <w:rPr>
          <w:rFonts w:ascii="Times New Roman" w:hAnsi="Times New Roman" w:cs="Times New Roman"/>
        </w:rPr>
        <w:t xml:space="preserve">the anterior extent of the jugal is unknown, and the anterolateral and lateral orbital margins are not well-preserved (Warren &amp; Hutchinson, 1983:fig. 2). </w:t>
      </w:r>
    </w:p>
    <w:p w14:paraId="17E09827" w14:textId="77777777" w:rsidR="00FA06B2" w:rsidRPr="00A155FA" w:rsidRDefault="00FA06B2" w:rsidP="005229E5">
      <w:pPr>
        <w:pStyle w:val="ListParagraph"/>
        <w:numPr>
          <w:ilvl w:val="0"/>
          <w:numId w:val="41"/>
        </w:numPr>
        <w:tabs>
          <w:tab w:val="left" w:pos="1260"/>
        </w:tabs>
        <w:rPr>
          <w:rFonts w:ascii="Times New Roman" w:hAnsi="Times New Roman" w:cs="Times New Roman"/>
        </w:rPr>
      </w:pPr>
      <w:r w:rsidRPr="00A155FA">
        <w:rPr>
          <w:rFonts w:ascii="Times New Roman" w:hAnsi="Times New Roman" w:cs="Times New Roman"/>
          <w:b/>
          <w:bCs/>
        </w:rPr>
        <w:t>47 (postorbital, shape):</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Only the anterolateral and medial sutures are known (Warren &amp; Hutchinson, 1983:fig. 2), which is insufficient to determine whether it is “wedged deeply between squamosal and supratemporal.”</w:t>
      </w:r>
    </w:p>
    <w:p w14:paraId="1E39DBFF" w14:textId="77777777" w:rsidR="00FA06B2" w:rsidRPr="00A155FA" w:rsidRDefault="00FA06B2" w:rsidP="005229E5">
      <w:pPr>
        <w:pStyle w:val="ListParagraph"/>
        <w:numPr>
          <w:ilvl w:val="0"/>
          <w:numId w:val="41"/>
        </w:numPr>
        <w:tabs>
          <w:tab w:val="left" w:pos="1260"/>
        </w:tabs>
        <w:rPr>
          <w:rFonts w:ascii="Times New Roman" w:hAnsi="Times New Roman" w:cs="Times New Roman"/>
        </w:rPr>
      </w:pPr>
      <w:r w:rsidRPr="00A155FA">
        <w:rPr>
          <w:rFonts w:ascii="Times New Roman" w:hAnsi="Times New Roman" w:cs="Times New Roman"/>
          <w:b/>
          <w:bCs/>
        </w:rPr>
        <w:t>48 (postorbital, end):</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47.</w:t>
      </w:r>
    </w:p>
    <w:p w14:paraId="2CB99895" w14:textId="77777777" w:rsidR="00FA06B2" w:rsidRPr="00A155FA" w:rsidRDefault="00FA06B2" w:rsidP="005229E5">
      <w:pPr>
        <w:pStyle w:val="ListParagraph"/>
        <w:numPr>
          <w:ilvl w:val="0"/>
          <w:numId w:val="41"/>
        </w:numPr>
        <w:tabs>
          <w:tab w:val="left" w:pos="1260"/>
        </w:tabs>
        <w:rPr>
          <w:rFonts w:ascii="Times New Roman" w:hAnsi="Times New Roman" w:cs="Times New Roman"/>
        </w:rPr>
      </w:pPr>
      <w:r w:rsidRPr="00A155FA">
        <w:rPr>
          <w:rFonts w:ascii="Times New Roman" w:hAnsi="Times New Roman" w:cs="Times New Roman"/>
          <w:b/>
          <w:bCs/>
        </w:rPr>
        <w:t xml:space="preserve">50 (postorbital, postfrontal):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 None of the four elements specified for relative length here (postorbital, postfrontal, supratemporal, parietal) are completely defined at both anterior and posterior ends (Warren &amp; Hutchinson, 1983:fig. 2).</w:t>
      </w:r>
    </w:p>
    <w:p w14:paraId="671F68E3" w14:textId="77777777" w:rsidR="00FA06B2" w:rsidRPr="00A155FA" w:rsidRDefault="00FA06B2" w:rsidP="005229E5">
      <w:pPr>
        <w:pStyle w:val="ListParagraph"/>
        <w:numPr>
          <w:ilvl w:val="0"/>
          <w:numId w:val="41"/>
        </w:numPr>
        <w:tabs>
          <w:tab w:val="left" w:pos="1260"/>
        </w:tabs>
        <w:rPr>
          <w:rFonts w:ascii="Times New Roman" w:hAnsi="Times New Roman" w:cs="Times New Roman"/>
        </w:rPr>
      </w:pPr>
      <w:r w:rsidRPr="00A155FA">
        <w:rPr>
          <w:rFonts w:ascii="Times New Roman" w:hAnsi="Times New Roman" w:cs="Times New Roman"/>
          <w:b/>
          <w:bCs/>
        </w:rPr>
        <w:t>51 (otic notch):</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0. Warren &amp; Hutchinson (1983:7, 9, fig. 2) expressly reconstructed an otic notch (so coding off of the reconstruction, as would have to be done for other previously coded characters, would produce this coding change) and described features of the occiput that indicate support for a notch (when ignoring the reconstruction in coding).</w:t>
      </w:r>
    </w:p>
    <w:p w14:paraId="3B07C7B9" w14:textId="77777777" w:rsidR="00FA06B2" w:rsidRPr="00A155FA" w:rsidRDefault="00FA06B2" w:rsidP="005229E5">
      <w:pPr>
        <w:pStyle w:val="ListParagraph"/>
        <w:numPr>
          <w:ilvl w:val="0"/>
          <w:numId w:val="41"/>
        </w:numPr>
        <w:tabs>
          <w:tab w:val="left" w:pos="1260"/>
        </w:tabs>
        <w:rPr>
          <w:rFonts w:ascii="Times New Roman" w:hAnsi="Times New Roman" w:cs="Times New Roman"/>
        </w:rPr>
      </w:pPr>
      <w:r w:rsidRPr="00A155FA">
        <w:rPr>
          <w:rFonts w:ascii="Times New Roman" w:hAnsi="Times New Roman" w:cs="Times New Roman"/>
          <w:b/>
          <w:bCs/>
        </w:rPr>
        <w:t>53 (supratemporal):</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50. </w:t>
      </w:r>
    </w:p>
    <w:p w14:paraId="3485D654" w14:textId="77777777" w:rsidR="00FA06B2" w:rsidRPr="00A155FA" w:rsidRDefault="00FA06B2" w:rsidP="005229E5">
      <w:pPr>
        <w:pStyle w:val="ListParagraph"/>
        <w:numPr>
          <w:ilvl w:val="0"/>
          <w:numId w:val="41"/>
        </w:numPr>
        <w:tabs>
          <w:tab w:val="left" w:pos="1260"/>
        </w:tabs>
        <w:rPr>
          <w:rFonts w:ascii="Times New Roman" w:hAnsi="Times New Roman" w:cs="Times New Roman"/>
        </w:rPr>
      </w:pPr>
      <w:r w:rsidRPr="00A155FA">
        <w:rPr>
          <w:rFonts w:ascii="Times New Roman" w:hAnsi="Times New Roman" w:cs="Times New Roman"/>
          <w:b/>
          <w:bCs/>
        </w:rPr>
        <w:t xml:space="preserve">56 (semilunar flange):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It is not possible to discern whether the supratemporal reached the otic notch (Warren &amp; Hutchinson, 1983:fig. 2), so it cannot be determined that it had no ventral projection.  </w:t>
      </w:r>
    </w:p>
    <w:p w14:paraId="0D7C315B" w14:textId="77777777" w:rsidR="00FA06B2" w:rsidRPr="00A155FA" w:rsidRDefault="00FA06B2" w:rsidP="005229E5">
      <w:pPr>
        <w:pStyle w:val="ListParagraph"/>
        <w:numPr>
          <w:ilvl w:val="0"/>
          <w:numId w:val="41"/>
        </w:numPr>
        <w:tabs>
          <w:tab w:val="left" w:pos="1260"/>
        </w:tabs>
        <w:rPr>
          <w:rFonts w:ascii="Times New Roman" w:hAnsi="Times New Roman" w:cs="Times New Roman"/>
        </w:rPr>
      </w:pPr>
      <w:r w:rsidRPr="00A155FA">
        <w:rPr>
          <w:rFonts w:ascii="Times New Roman" w:hAnsi="Times New Roman" w:cs="Times New Roman"/>
          <w:b/>
          <w:bCs/>
        </w:rPr>
        <w:t>58 (jugal, anterior extension):</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The anterior extent of the jugal is unknown (Warren &amp; Hutchinson, 1983:fig. 2).</w:t>
      </w:r>
    </w:p>
    <w:p w14:paraId="707E258E" w14:textId="77777777" w:rsidR="00FA06B2" w:rsidRPr="00A155FA" w:rsidRDefault="00FA06B2" w:rsidP="005229E5">
      <w:pPr>
        <w:pStyle w:val="ListParagraph"/>
        <w:numPr>
          <w:ilvl w:val="0"/>
          <w:numId w:val="41"/>
        </w:numPr>
        <w:tabs>
          <w:tab w:val="left" w:pos="1260"/>
        </w:tabs>
        <w:rPr>
          <w:rFonts w:ascii="Times New Roman" w:hAnsi="Times New Roman" w:cs="Times New Roman"/>
        </w:rPr>
      </w:pPr>
      <w:r w:rsidRPr="00A155FA">
        <w:rPr>
          <w:rFonts w:ascii="Times New Roman" w:hAnsi="Times New Roman" w:cs="Times New Roman"/>
          <w:b/>
          <w:bCs/>
        </w:rPr>
        <w:lastRenderedPageBreak/>
        <w:t>61 (intertemporal and postorbital):</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Because character 60 (presence/absence of intertemporal) was originally uncoded, which we prefer to follow here, this character cannot be coded.</w:t>
      </w:r>
    </w:p>
    <w:p w14:paraId="3273ACF3" w14:textId="77777777" w:rsidR="00FA06B2" w:rsidRPr="00A155FA" w:rsidRDefault="00FA06B2" w:rsidP="005229E5">
      <w:pPr>
        <w:pStyle w:val="ListParagraph"/>
        <w:numPr>
          <w:ilvl w:val="0"/>
          <w:numId w:val="41"/>
        </w:numPr>
        <w:tabs>
          <w:tab w:val="left" w:pos="1260"/>
        </w:tabs>
        <w:rPr>
          <w:rFonts w:ascii="Times New Roman" w:hAnsi="Times New Roman" w:cs="Times New Roman"/>
        </w:rPr>
      </w:pPr>
      <w:r w:rsidRPr="00A155FA">
        <w:rPr>
          <w:rFonts w:ascii="Times New Roman" w:hAnsi="Times New Roman" w:cs="Times New Roman"/>
          <w:b/>
          <w:bCs/>
        </w:rPr>
        <w:t xml:space="preserve">62 (squamosal-tabular, dorsal):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 This sutural relationship is entirely conjectural (Warren &amp; Hutchinson, 1983:fig. 2).</w:t>
      </w:r>
    </w:p>
    <w:p w14:paraId="1ABEC391" w14:textId="77777777" w:rsidR="00FA06B2" w:rsidRPr="00A155FA" w:rsidRDefault="00FA06B2" w:rsidP="005229E5">
      <w:pPr>
        <w:pStyle w:val="ListParagraph"/>
        <w:numPr>
          <w:ilvl w:val="0"/>
          <w:numId w:val="41"/>
        </w:numPr>
        <w:tabs>
          <w:tab w:val="left" w:pos="1260"/>
        </w:tabs>
        <w:rPr>
          <w:rFonts w:ascii="Times New Roman" w:hAnsi="Times New Roman" w:cs="Times New Roman"/>
        </w:rPr>
      </w:pPr>
      <w:r w:rsidRPr="00A155FA">
        <w:rPr>
          <w:rFonts w:ascii="Times New Roman" w:hAnsi="Times New Roman" w:cs="Times New Roman"/>
          <w:b/>
          <w:bCs/>
        </w:rPr>
        <w:t>71 (posterior skull rim):</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 Although there is sufficient evidence for a tabular horn, its posterior extent is unknown, and thus this feature cannot be assessed (Warren &amp; Hutchinson, 1983:fig. 2).</w:t>
      </w:r>
    </w:p>
    <w:p w14:paraId="23614AA0" w14:textId="77777777" w:rsidR="00FA06B2" w:rsidRPr="00A155FA" w:rsidRDefault="00FA06B2" w:rsidP="005229E5">
      <w:pPr>
        <w:pStyle w:val="ListParagraph"/>
        <w:numPr>
          <w:ilvl w:val="0"/>
          <w:numId w:val="41"/>
        </w:numPr>
        <w:tabs>
          <w:tab w:val="left" w:pos="1260"/>
        </w:tabs>
        <w:rPr>
          <w:rFonts w:ascii="Times New Roman" w:hAnsi="Times New Roman" w:cs="Times New Roman"/>
        </w:rPr>
      </w:pPr>
      <w:r w:rsidRPr="00A155FA">
        <w:rPr>
          <w:rFonts w:ascii="Times New Roman" w:hAnsi="Times New Roman" w:cs="Times New Roman"/>
          <w:b/>
          <w:bCs/>
        </w:rPr>
        <w:t xml:space="preserve">85 (transverse tooth row, transvomerine):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Warren &amp; Hutchinson (1983:15, fig. 9) described and figured these teeth.</w:t>
      </w:r>
    </w:p>
    <w:p w14:paraId="66789166" w14:textId="77777777" w:rsidR="00FA06B2" w:rsidRPr="00A155FA" w:rsidRDefault="00FA06B2" w:rsidP="005229E5">
      <w:pPr>
        <w:pStyle w:val="ListParagraph"/>
        <w:numPr>
          <w:ilvl w:val="0"/>
          <w:numId w:val="41"/>
        </w:numPr>
        <w:tabs>
          <w:tab w:val="left" w:pos="1260"/>
        </w:tabs>
        <w:rPr>
          <w:rFonts w:ascii="Times New Roman" w:hAnsi="Times New Roman" w:cs="Times New Roman"/>
        </w:rPr>
      </w:pPr>
      <w:r w:rsidRPr="00A155FA">
        <w:rPr>
          <w:rFonts w:ascii="Times New Roman" w:hAnsi="Times New Roman" w:cs="Times New Roman"/>
          <w:b/>
          <w:bCs/>
        </w:rPr>
        <w:t>127 (LEP):</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The predicted region of the LEP is not resolved suturally (Warren &amp; Hutchinson, 1983:fig. 2).</w:t>
      </w:r>
    </w:p>
    <w:p w14:paraId="3A6ED584" w14:textId="77777777" w:rsidR="00FA06B2" w:rsidRPr="00A155FA" w:rsidRDefault="00FA06B2" w:rsidP="005229E5">
      <w:pPr>
        <w:pStyle w:val="ListParagraph"/>
        <w:numPr>
          <w:ilvl w:val="0"/>
          <w:numId w:val="41"/>
        </w:numPr>
        <w:tabs>
          <w:tab w:val="left" w:pos="1260"/>
        </w:tabs>
        <w:rPr>
          <w:rFonts w:ascii="Times New Roman" w:hAnsi="Times New Roman" w:cs="Times New Roman"/>
        </w:rPr>
      </w:pPr>
      <w:r w:rsidRPr="00A155FA">
        <w:rPr>
          <w:rFonts w:ascii="Times New Roman" w:hAnsi="Times New Roman" w:cs="Times New Roman"/>
          <w:b/>
          <w:bCs/>
        </w:rPr>
        <w:t>146 (symphyseal teeth):</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1. Warren &amp; Hutchinson (1983:25) stated that “posterior to the tusk there is a further short tooth row.”</w:t>
      </w:r>
    </w:p>
    <w:p w14:paraId="4901EC2A" w14:textId="77777777" w:rsidR="00FA06B2" w:rsidRPr="00A155FA" w:rsidRDefault="00FA06B2" w:rsidP="00A30351">
      <w:pPr>
        <w:pStyle w:val="ListParagraph"/>
        <w:numPr>
          <w:ilvl w:val="0"/>
          <w:numId w:val="41"/>
        </w:numPr>
        <w:tabs>
          <w:tab w:val="left" w:pos="1260"/>
        </w:tabs>
        <w:rPr>
          <w:rFonts w:ascii="Times New Roman" w:hAnsi="Times New Roman" w:cs="Times New Roman"/>
        </w:rPr>
      </w:pPr>
      <w:r w:rsidRPr="00A155FA">
        <w:rPr>
          <w:rFonts w:ascii="Times New Roman" w:hAnsi="Times New Roman" w:cs="Times New Roman"/>
          <w:b/>
          <w:bCs/>
        </w:rPr>
        <w:t>168 (pleurocentra):</w:t>
      </w:r>
      <w:r w:rsidRPr="00A155FA">
        <w:rPr>
          <w:rFonts w:ascii="Times New Roman" w:hAnsi="Times New Roman" w:cs="Times New Roman"/>
        </w:rPr>
        <w:t xml:space="preserve"> 0 </w:t>
      </w:r>
      <w:r w:rsidRPr="00A155FA">
        <w:rPr>
          <w:rFonts w:ascii="Times New Roman" w:hAnsi="Times New Roman" w:cs="Times New Roman"/>
        </w:rPr>
        <w:sym w:font="Wingdings" w:char="F0E0"/>
      </w:r>
      <w:r w:rsidRPr="00A155FA">
        <w:rPr>
          <w:rFonts w:ascii="Times New Roman" w:hAnsi="Times New Roman" w:cs="Times New Roman"/>
        </w:rPr>
        <w:t xml:space="preserve"> 1. Warren &amp; Hutchinson (1983:31) stated that there were no ossified pleurocentra in association with the skeleton. Considering that practically the entire axial skeleton was recovered, the absence of pleurocentra suggests a biological absence (as in </w:t>
      </w:r>
      <w:r w:rsidRPr="00A155FA">
        <w:rPr>
          <w:rFonts w:ascii="Times New Roman" w:hAnsi="Times New Roman" w:cs="Times New Roman"/>
          <w:i/>
          <w:iCs/>
        </w:rPr>
        <w:t>Pelorocephalus</w:t>
      </w:r>
      <w:r w:rsidRPr="00A155FA">
        <w:rPr>
          <w:rFonts w:ascii="Times New Roman" w:hAnsi="Times New Roman" w:cs="Times New Roman"/>
        </w:rPr>
        <w:t xml:space="preserve">, as noted by Warren &amp; Hutchinson); this may be more widespread in chigutisaurids or brachyopoids at large, but the paucity of postcranial remains for most taxa remains a hindrance. </w:t>
      </w:r>
    </w:p>
    <w:p w14:paraId="69CDDE79" w14:textId="77777777" w:rsidR="00FA06B2" w:rsidRPr="00A155FA" w:rsidRDefault="00FA06B2" w:rsidP="00A30351">
      <w:pPr>
        <w:pStyle w:val="ListParagraph"/>
        <w:numPr>
          <w:ilvl w:val="0"/>
          <w:numId w:val="41"/>
        </w:numPr>
        <w:tabs>
          <w:tab w:val="left" w:pos="1260"/>
        </w:tabs>
        <w:rPr>
          <w:rFonts w:ascii="Times New Roman" w:hAnsi="Times New Roman" w:cs="Times New Roman"/>
        </w:rPr>
      </w:pPr>
      <w:r w:rsidRPr="00A155FA">
        <w:rPr>
          <w:rFonts w:ascii="Times New Roman" w:hAnsi="Times New Roman" w:cs="Times New Roman"/>
          <w:b/>
          <w:bCs/>
        </w:rPr>
        <w:t>170 (pleurocentrum, ventral extension):</w:t>
      </w:r>
      <w:r w:rsidRPr="00A155FA">
        <w:rPr>
          <w:rFonts w:ascii="Times New Roman" w:hAnsi="Times New Roman" w:cs="Times New Roman"/>
        </w:rPr>
        <w:t xml:space="preserve"> 0 </w:t>
      </w:r>
      <w:r w:rsidRPr="00A155FA">
        <w:rPr>
          <w:rFonts w:ascii="Times New Roman" w:hAnsi="Times New Roman" w:cs="Times New Roman"/>
        </w:rPr>
        <w:sym w:font="Wingdings" w:char="F0E0"/>
      </w:r>
      <w:r w:rsidRPr="00A155FA">
        <w:rPr>
          <w:rFonts w:ascii="Times New Roman" w:hAnsi="Times New Roman" w:cs="Times New Roman"/>
        </w:rPr>
        <w:t xml:space="preserve"> -. As with character 168; note that character 169 (pleurocentrum, lateral surface) was originally uncoded.</w:t>
      </w:r>
    </w:p>
    <w:p w14:paraId="19DCB248" w14:textId="77777777" w:rsidR="00FA06B2" w:rsidRPr="00A155FA" w:rsidRDefault="00FA06B2" w:rsidP="005229E5">
      <w:pPr>
        <w:pStyle w:val="ListParagraph"/>
        <w:numPr>
          <w:ilvl w:val="0"/>
          <w:numId w:val="41"/>
        </w:numPr>
        <w:tabs>
          <w:tab w:val="left" w:pos="1260"/>
        </w:tabs>
        <w:rPr>
          <w:rFonts w:ascii="Times New Roman" w:hAnsi="Times New Roman" w:cs="Times New Roman"/>
        </w:rPr>
      </w:pPr>
      <w:r w:rsidRPr="00A155FA">
        <w:rPr>
          <w:rFonts w:ascii="Times New Roman" w:hAnsi="Times New Roman" w:cs="Times New Roman"/>
          <w:b/>
          <w:bCs/>
        </w:rPr>
        <w:t>207 (gastral squamation):</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1. There are no scales reported anywhere on the skeleton (Warren &amp; Hutchinson, 1983; Witzmann, 2007).</w:t>
      </w:r>
    </w:p>
    <w:p w14:paraId="42B04454" w14:textId="77777777" w:rsidR="00FA06B2" w:rsidRPr="00A155FA" w:rsidRDefault="00FA06B2" w:rsidP="005229E5">
      <w:pPr>
        <w:pStyle w:val="ListParagraph"/>
        <w:numPr>
          <w:ilvl w:val="0"/>
          <w:numId w:val="41"/>
        </w:numPr>
        <w:tabs>
          <w:tab w:val="left" w:pos="1260"/>
        </w:tabs>
        <w:rPr>
          <w:rFonts w:ascii="Times New Roman" w:hAnsi="Times New Roman" w:cs="Times New Roman"/>
        </w:rPr>
      </w:pPr>
      <w:r w:rsidRPr="00A155FA">
        <w:rPr>
          <w:rFonts w:ascii="Times New Roman" w:hAnsi="Times New Roman" w:cs="Times New Roman"/>
          <w:b/>
          <w:bCs/>
        </w:rPr>
        <w:t>214 (skull to trunk):</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1. The presacral column and skull are nearly complete in this taxon, sufficiently to estimate this ratio.</w:t>
      </w:r>
    </w:p>
    <w:p w14:paraId="7F3A31FD" w14:textId="77777777" w:rsidR="00FA06B2" w:rsidRPr="00A155FA" w:rsidRDefault="00FA06B2" w:rsidP="005229E5">
      <w:pPr>
        <w:pStyle w:val="ListParagraph"/>
        <w:numPr>
          <w:ilvl w:val="0"/>
          <w:numId w:val="41"/>
        </w:numPr>
        <w:tabs>
          <w:tab w:val="left" w:pos="1260"/>
        </w:tabs>
        <w:rPr>
          <w:rFonts w:ascii="Times New Roman" w:hAnsi="Times New Roman" w:cs="Times New Roman"/>
        </w:rPr>
      </w:pPr>
      <w:r w:rsidRPr="00A155FA">
        <w:rPr>
          <w:rFonts w:ascii="Times New Roman" w:hAnsi="Times New Roman" w:cs="Times New Roman"/>
          <w:b/>
          <w:bCs/>
        </w:rPr>
        <w:t>222 (quadratojugal):</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A quadratojugal is confidently identified (Warren &amp; Hutchinson, 1983:6, 11).</w:t>
      </w:r>
    </w:p>
    <w:p w14:paraId="769CB131" w14:textId="77777777" w:rsidR="00FA06B2" w:rsidRPr="00A155FA" w:rsidRDefault="00FA06B2" w:rsidP="005229E5">
      <w:pPr>
        <w:pStyle w:val="ListParagraph"/>
        <w:numPr>
          <w:ilvl w:val="0"/>
          <w:numId w:val="41"/>
        </w:numPr>
        <w:tabs>
          <w:tab w:val="left" w:pos="1260"/>
        </w:tabs>
        <w:rPr>
          <w:rFonts w:ascii="Times New Roman" w:hAnsi="Times New Roman" w:cs="Times New Roman"/>
        </w:rPr>
      </w:pPr>
      <w:r w:rsidRPr="00A155FA">
        <w:rPr>
          <w:rFonts w:ascii="Times New Roman" w:hAnsi="Times New Roman" w:cs="Times New Roman"/>
          <w:b/>
          <w:bCs/>
        </w:rPr>
        <w:t>226 (prefrontal-naris</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 As with character 38.</w:t>
      </w:r>
    </w:p>
    <w:p w14:paraId="74468F6C" w14:textId="77777777" w:rsidR="00FA06B2" w:rsidRPr="00A155FA" w:rsidRDefault="00FA06B2" w:rsidP="005229E5">
      <w:pPr>
        <w:pStyle w:val="ListParagraph"/>
        <w:numPr>
          <w:ilvl w:val="0"/>
          <w:numId w:val="41"/>
        </w:numPr>
        <w:tabs>
          <w:tab w:val="left" w:pos="1260"/>
        </w:tabs>
        <w:rPr>
          <w:rFonts w:ascii="Times New Roman" w:hAnsi="Times New Roman" w:cs="Times New Roman"/>
        </w:rPr>
      </w:pPr>
      <w:r w:rsidRPr="00A155FA">
        <w:rPr>
          <w:rFonts w:ascii="Times New Roman" w:hAnsi="Times New Roman" w:cs="Times New Roman"/>
          <w:b/>
          <w:bCs/>
        </w:rPr>
        <w:t xml:space="preserve">231 (shape of postorbital):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characters 47 and 48.</w:t>
      </w:r>
    </w:p>
    <w:p w14:paraId="51F90E5B" w14:textId="77777777" w:rsidR="00FA06B2" w:rsidRPr="00A155FA" w:rsidRDefault="00FA06B2" w:rsidP="005229E5">
      <w:pPr>
        <w:pStyle w:val="ListParagraph"/>
        <w:numPr>
          <w:ilvl w:val="0"/>
          <w:numId w:val="41"/>
        </w:numPr>
        <w:tabs>
          <w:tab w:val="left" w:pos="1260"/>
        </w:tabs>
        <w:rPr>
          <w:rFonts w:ascii="Times New Roman" w:hAnsi="Times New Roman" w:cs="Times New Roman"/>
        </w:rPr>
      </w:pPr>
      <w:r w:rsidRPr="00A155FA">
        <w:rPr>
          <w:rFonts w:ascii="Times New Roman" w:hAnsi="Times New Roman" w:cs="Times New Roman"/>
          <w:b/>
          <w:bCs/>
        </w:rPr>
        <w:t xml:space="preserve">237 (squamosal-jugal):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This sutural relationship is entirely conjectural (Warren &amp; Hutchinson, 1983:fig. 2).</w:t>
      </w:r>
    </w:p>
    <w:p w14:paraId="5AA89718" w14:textId="77777777" w:rsidR="00FA06B2" w:rsidRPr="00A155FA" w:rsidRDefault="00FA06B2" w:rsidP="005229E5">
      <w:pPr>
        <w:pStyle w:val="ListParagraph"/>
        <w:numPr>
          <w:ilvl w:val="0"/>
          <w:numId w:val="41"/>
        </w:numPr>
        <w:tabs>
          <w:tab w:val="left" w:pos="1260"/>
        </w:tabs>
        <w:rPr>
          <w:rFonts w:ascii="Times New Roman" w:hAnsi="Times New Roman" w:cs="Times New Roman"/>
        </w:rPr>
      </w:pPr>
      <w:r w:rsidRPr="00A155FA">
        <w:rPr>
          <w:rFonts w:ascii="Times New Roman" w:hAnsi="Times New Roman" w:cs="Times New Roman"/>
          <w:b/>
          <w:bCs/>
        </w:rPr>
        <w:t>239 (tabular):</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Warren &amp; Hutchinson’s (1983:7, 9) justification is considered sufficient for the inference of a tabular based on the occipital anatomy; other characters related to the tabular that were added by Pardo et al. (2017a) were coded by those workers (e.g., character 234, parietal-tabular contact).</w:t>
      </w:r>
    </w:p>
    <w:p w14:paraId="10B94BFD" w14:textId="77777777" w:rsidR="00FA06B2" w:rsidRPr="00A155FA" w:rsidRDefault="00FA06B2" w:rsidP="005229E5">
      <w:pPr>
        <w:pStyle w:val="ListParagraph"/>
        <w:numPr>
          <w:ilvl w:val="0"/>
          <w:numId w:val="41"/>
        </w:numPr>
        <w:tabs>
          <w:tab w:val="left" w:pos="1260"/>
        </w:tabs>
        <w:rPr>
          <w:rFonts w:ascii="Times New Roman" w:hAnsi="Times New Roman" w:cs="Times New Roman"/>
        </w:rPr>
      </w:pPr>
      <w:r w:rsidRPr="00A155FA">
        <w:rPr>
          <w:rFonts w:ascii="Times New Roman" w:hAnsi="Times New Roman" w:cs="Times New Roman"/>
          <w:b/>
          <w:bCs/>
        </w:rPr>
        <w:t>268 (retroarticular process):</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Warren &amp; Hutchinson (1983:21) stated that the process is lost in both lower jaws.</w:t>
      </w:r>
    </w:p>
    <w:p w14:paraId="2FA4DB57" w14:textId="77777777" w:rsidR="00FA06B2" w:rsidRPr="00A155FA" w:rsidRDefault="00FA06B2" w:rsidP="005229E5">
      <w:pPr>
        <w:pStyle w:val="ListParagraph"/>
        <w:numPr>
          <w:ilvl w:val="0"/>
          <w:numId w:val="41"/>
        </w:numPr>
        <w:tabs>
          <w:tab w:val="left" w:pos="1260"/>
        </w:tabs>
        <w:rPr>
          <w:rFonts w:ascii="Times New Roman" w:hAnsi="Times New Roman" w:cs="Times New Roman"/>
          <w:b/>
          <w:bCs/>
          <w:i/>
          <w:iCs/>
        </w:rPr>
      </w:pPr>
      <w:r w:rsidRPr="00A155FA">
        <w:rPr>
          <w:rFonts w:ascii="Times New Roman" w:hAnsi="Times New Roman" w:cs="Times New Roman"/>
          <w:b/>
          <w:bCs/>
        </w:rPr>
        <w:t>350 (premaxilla):</w:t>
      </w:r>
      <w:r w:rsidRPr="00A155FA">
        <w:rPr>
          <w:rFonts w:ascii="Times New Roman" w:hAnsi="Times New Roman" w:cs="Times New Roman"/>
          <w:b/>
          <w:bCs/>
          <w:i/>
          <w:iCs/>
        </w:rPr>
        <w:t xml:space="preserve">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10.</w:t>
      </w:r>
    </w:p>
    <w:p w14:paraId="627F5572"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r w:rsidRPr="00A155FA">
        <w:rPr>
          <w:rFonts w:ascii="Times New Roman" w:hAnsi="Times New Roman" w:cs="Times New Roman"/>
          <w:b/>
          <w:bCs/>
          <w:i/>
          <w:iCs/>
        </w:rPr>
        <w:t>Batrachosuchus browni</w:t>
      </w:r>
    </w:p>
    <w:p w14:paraId="49FDE322" w14:textId="77777777" w:rsidR="00FA06B2" w:rsidRPr="00A155FA" w:rsidRDefault="00FA06B2" w:rsidP="00B953AE">
      <w:pPr>
        <w:tabs>
          <w:tab w:val="left" w:pos="1260"/>
        </w:tabs>
      </w:pPr>
      <w:r w:rsidRPr="00A155FA">
        <w:t xml:space="preserve">* Note that corrections for characters 140–159, 174–175, 177–178, 208, 260–263, 269–272, 322, 326, 344, 347, 348, and 360 (all mandibular or postcranial) are considered to be applicable regardless of whether the more restrictive concept of </w:t>
      </w:r>
      <w:r w:rsidRPr="00A155FA">
        <w:rPr>
          <w:i/>
          <w:iCs/>
        </w:rPr>
        <w:t xml:space="preserve">Batrachosuchus browni </w:t>
      </w:r>
      <w:r w:rsidRPr="00A155FA">
        <w:t xml:space="preserve">or </w:t>
      </w:r>
      <w:r w:rsidRPr="00A155FA">
        <w:rPr>
          <w:i/>
          <w:iCs/>
        </w:rPr>
        <w:t xml:space="preserve">Bathignathus watsoni </w:t>
      </w:r>
      <w:r w:rsidRPr="00A155FA">
        <w:t xml:space="preserve">is employed; neither taxon is known from more than a partial skull. </w:t>
      </w:r>
    </w:p>
    <w:p w14:paraId="2BFF7EB2" w14:textId="77777777" w:rsidR="00FA06B2" w:rsidRPr="00A155FA" w:rsidRDefault="00FA06B2" w:rsidP="005229E5">
      <w:pPr>
        <w:pStyle w:val="ListParagraph"/>
        <w:numPr>
          <w:ilvl w:val="0"/>
          <w:numId w:val="42"/>
        </w:numPr>
        <w:tabs>
          <w:tab w:val="left" w:pos="1260"/>
        </w:tabs>
        <w:rPr>
          <w:rFonts w:ascii="Times New Roman" w:hAnsi="Times New Roman" w:cs="Times New Roman"/>
        </w:rPr>
      </w:pPr>
      <w:r w:rsidRPr="00A155FA">
        <w:rPr>
          <w:rFonts w:ascii="Times New Roman" w:hAnsi="Times New Roman" w:cs="Times New Roman"/>
          <w:b/>
          <w:bCs/>
        </w:rPr>
        <w:lastRenderedPageBreak/>
        <w:t xml:space="preserve">10 (premaxilla, alary process):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 Chernin (1977:102) stated that “no premaxillary or maxillary sutures are discernible and only the posterior half of the right narial border is preserved as an impression.” The reconstruction of the premaxilla is expressly based on other species of </w:t>
      </w:r>
      <w:r w:rsidRPr="00A155FA">
        <w:rPr>
          <w:rFonts w:ascii="Times New Roman" w:hAnsi="Times New Roman" w:cs="Times New Roman"/>
          <w:i/>
          <w:iCs/>
        </w:rPr>
        <w:t>Batrachosuchus</w:t>
      </w:r>
      <w:r w:rsidRPr="00A155FA">
        <w:rPr>
          <w:rFonts w:ascii="Times New Roman" w:hAnsi="Times New Roman" w:cs="Times New Roman"/>
        </w:rPr>
        <w:t xml:space="preserve"> (p. 99–100 therein).</w:t>
      </w:r>
    </w:p>
    <w:p w14:paraId="03AC495C" w14:textId="77777777" w:rsidR="00FA06B2" w:rsidRPr="00A155FA" w:rsidRDefault="00FA06B2" w:rsidP="005229E5">
      <w:pPr>
        <w:pStyle w:val="ListParagraph"/>
        <w:numPr>
          <w:ilvl w:val="0"/>
          <w:numId w:val="42"/>
        </w:numPr>
        <w:tabs>
          <w:tab w:val="left" w:pos="1260"/>
        </w:tabs>
        <w:rPr>
          <w:rFonts w:ascii="Times New Roman" w:hAnsi="Times New Roman" w:cs="Times New Roman"/>
        </w:rPr>
      </w:pPr>
      <w:r w:rsidRPr="00A155FA">
        <w:rPr>
          <w:rFonts w:ascii="Times New Roman" w:hAnsi="Times New Roman" w:cs="Times New Roman"/>
          <w:b/>
          <w:bCs/>
        </w:rPr>
        <w:t xml:space="preserve">11 (premaxilla, </w:t>
      </w:r>
      <w:proofErr w:type="spellStart"/>
      <w:r w:rsidRPr="00A155FA">
        <w:rPr>
          <w:rFonts w:ascii="Times New Roman" w:hAnsi="Times New Roman" w:cs="Times New Roman"/>
          <w:b/>
          <w:bCs/>
        </w:rPr>
        <w:t>prenarial</w:t>
      </w:r>
      <w:proofErr w:type="spellEnd"/>
      <w:r w:rsidRPr="00A155FA">
        <w:rPr>
          <w:rFonts w:ascii="Times New Roman" w:hAnsi="Times New Roman" w:cs="Times New Roman"/>
          <w:b/>
          <w:bCs/>
        </w:rPr>
        <w:t xml:space="preserve"> portion):</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10.</w:t>
      </w:r>
    </w:p>
    <w:p w14:paraId="038707F9" w14:textId="77777777" w:rsidR="00FA06B2" w:rsidRPr="00A155FA" w:rsidRDefault="00FA06B2" w:rsidP="005229E5">
      <w:pPr>
        <w:pStyle w:val="ListParagraph"/>
        <w:numPr>
          <w:ilvl w:val="0"/>
          <w:numId w:val="42"/>
        </w:numPr>
        <w:tabs>
          <w:tab w:val="left" w:pos="1260"/>
        </w:tabs>
        <w:rPr>
          <w:rFonts w:ascii="Times New Roman" w:hAnsi="Times New Roman" w:cs="Times New Roman"/>
        </w:rPr>
      </w:pPr>
      <w:r w:rsidRPr="00A155FA">
        <w:rPr>
          <w:rFonts w:ascii="Times New Roman" w:hAnsi="Times New Roman" w:cs="Times New Roman"/>
          <w:b/>
          <w:bCs/>
        </w:rPr>
        <w:t>12 (premaxilla, outline):</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10.</w:t>
      </w:r>
    </w:p>
    <w:p w14:paraId="6E497BC0" w14:textId="77777777" w:rsidR="00FA06B2" w:rsidRPr="00A155FA" w:rsidRDefault="00FA06B2" w:rsidP="005229E5">
      <w:pPr>
        <w:pStyle w:val="ListParagraph"/>
        <w:numPr>
          <w:ilvl w:val="0"/>
          <w:numId w:val="42"/>
        </w:numPr>
        <w:tabs>
          <w:tab w:val="left" w:pos="1260"/>
        </w:tabs>
        <w:rPr>
          <w:rFonts w:ascii="Times New Roman" w:hAnsi="Times New Roman" w:cs="Times New Roman"/>
        </w:rPr>
      </w:pPr>
      <w:r w:rsidRPr="00A155FA">
        <w:rPr>
          <w:rFonts w:ascii="Times New Roman" w:hAnsi="Times New Roman" w:cs="Times New Roman"/>
          <w:b/>
          <w:bCs/>
        </w:rPr>
        <w:t>13 (premaxillary foramen):</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10.</w:t>
      </w:r>
    </w:p>
    <w:p w14:paraId="450355AB" w14:textId="77777777" w:rsidR="00FA06B2" w:rsidRPr="00A155FA" w:rsidRDefault="00FA06B2" w:rsidP="005229E5">
      <w:pPr>
        <w:pStyle w:val="ListParagraph"/>
        <w:numPr>
          <w:ilvl w:val="0"/>
          <w:numId w:val="42"/>
        </w:numPr>
        <w:tabs>
          <w:tab w:val="left" w:pos="1260"/>
        </w:tabs>
        <w:rPr>
          <w:rFonts w:ascii="Times New Roman" w:hAnsi="Times New Roman" w:cs="Times New Roman"/>
        </w:rPr>
      </w:pPr>
      <w:r w:rsidRPr="00A155FA">
        <w:rPr>
          <w:rFonts w:ascii="Times New Roman" w:hAnsi="Times New Roman" w:cs="Times New Roman"/>
          <w:b/>
          <w:bCs/>
        </w:rPr>
        <w:t>19 (naris, flange):</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10 regarding the narial preservation.</w:t>
      </w:r>
    </w:p>
    <w:p w14:paraId="2BFA4A1A" w14:textId="77777777" w:rsidR="00FA06B2" w:rsidRPr="00A155FA" w:rsidRDefault="00FA06B2" w:rsidP="005229E5">
      <w:pPr>
        <w:pStyle w:val="ListParagraph"/>
        <w:numPr>
          <w:ilvl w:val="0"/>
          <w:numId w:val="42"/>
        </w:numPr>
        <w:tabs>
          <w:tab w:val="left" w:pos="1260"/>
        </w:tabs>
        <w:rPr>
          <w:rFonts w:ascii="Times New Roman" w:hAnsi="Times New Roman" w:cs="Times New Roman"/>
        </w:rPr>
      </w:pPr>
      <w:r w:rsidRPr="00A155FA">
        <w:rPr>
          <w:rFonts w:ascii="Times New Roman" w:hAnsi="Times New Roman" w:cs="Times New Roman"/>
          <w:b/>
          <w:bCs/>
        </w:rPr>
        <w:t xml:space="preserve">35 (infraorbital sulcus):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The only specimen lacks the anterolateral margins where this sulcus typically occurs, and there was no discussion of the groove in the text (Chernin, 1977).</w:t>
      </w:r>
    </w:p>
    <w:p w14:paraId="7234849F" w14:textId="77777777" w:rsidR="00FA06B2" w:rsidRPr="00A155FA" w:rsidRDefault="00FA06B2" w:rsidP="005229E5">
      <w:pPr>
        <w:pStyle w:val="ListParagraph"/>
        <w:numPr>
          <w:ilvl w:val="0"/>
          <w:numId w:val="42"/>
        </w:numPr>
        <w:tabs>
          <w:tab w:val="left" w:pos="1260"/>
        </w:tabs>
        <w:rPr>
          <w:rFonts w:ascii="Times New Roman" w:hAnsi="Times New Roman" w:cs="Times New Roman"/>
        </w:rPr>
      </w:pPr>
      <w:r w:rsidRPr="00A155FA">
        <w:rPr>
          <w:rFonts w:ascii="Times New Roman" w:hAnsi="Times New Roman" w:cs="Times New Roman"/>
          <w:b/>
          <w:bCs/>
        </w:rPr>
        <w:t>57 (jugal, ventral exposure):</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 There was no comment or figuring of a ventral exposure by Chernin (1977). Neither was this reconstructed or reported in </w:t>
      </w:r>
      <w:r w:rsidRPr="00A155FA">
        <w:rPr>
          <w:rFonts w:ascii="Times New Roman" w:hAnsi="Times New Roman" w:cs="Times New Roman"/>
          <w:i/>
          <w:iCs/>
        </w:rPr>
        <w:t xml:space="preserve">Bathignathus watsoni </w:t>
      </w:r>
      <w:r w:rsidRPr="00A155FA">
        <w:rPr>
          <w:rFonts w:ascii="Times New Roman" w:hAnsi="Times New Roman" w:cs="Times New Roman"/>
        </w:rPr>
        <w:t>(Watson, 1956:fig. 6; Schoch &amp; Milner, 2014:fig. 47B).</w:t>
      </w:r>
    </w:p>
    <w:p w14:paraId="63D0B4C8" w14:textId="77777777" w:rsidR="00FA06B2" w:rsidRPr="00A155FA" w:rsidRDefault="00FA06B2" w:rsidP="005229E5">
      <w:pPr>
        <w:pStyle w:val="ListParagraph"/>
        <w:numPr>
          <w:ilvl w:val="0"/>
          <w:numId w:val="42"/>
        </w:numPr>
        <w:tabs>
          <w:tab w:val="left" w:pos="1260"/>
        </w:tabs>
        <w:rPr>
          <w:rFonts w:ascii="Times New Roman" w:hAnsi="Times New Roman" w:cs="Times New Roman"/>
        </w:rPr>
      </w:pPr>
      <w:r w:rsidRPr="00A155FA">
        <w:rPr>
          <w:rFonts w:ascii="Times New Roman" w:hAnsi="Times New Roman" w:cs="Times New Roman"/>
          <w:b/>
          <w:bCs/>
        </w:rPr>
        <w:t>58 (jugal, anterior extent):</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The anterolateral margins of the orbits are not preserved, there is no comment on the anterior extent of the jugal, and the maxillary sutures are not identifiable. Schoch &amp; Milner (2014:fig. 46E) reconstructed this taxon (and </w:t>
      </w:r>
      <w:r w:rsidRPr="00A155FA">
        <w:rPr>
          <w:rFonts w:ascii="Times New Roman" w:hAnsi="Times New Roman" w:cs="Times New Roman"/>
          <w:i/>
          <w:iCs/>
        </w:rPr>
        <w:t>Bathignathus watsoni</w:t>
      </w:r>
      <w:r w:rsidRPr="00A155FA">
        <w:rPr>
          <w:rFonts w:ascii="Times New Roman" w:hAnsi="Times New Roman" w:cs="Times New Roman"/>
        </w:rPr>
        <w:t>) as having jugals extending anterior to the orbit (58–1), but we prefer to leave this uncoded to be conservative.</w:t>
      </w:r>
    </w:p>
    <w:p w14:paraId="58B44195" w14:textId="77777777" w:rsidR="00FA06B2" w:rsidRPr="00A155FA" w:rsidRDefault="00FA06B2" w:rsidP="005229E5">
      <w:pPr>
        <w:pStyle w:val="ListParagraph"/>
        <w:numPr>
          <w:ilvl w:val="0"/>
          <w:numId w:val="42"/>
        </w:numPr>
        <w:tabs>
          <w:tab w:val="left" w:pos="1260"/>
        </w:tabs>
        <w:rPr>
          <w:rFonts w:ascii="Times New Roman" w:hAnsi="Times New Roman" w:cs="Times New Roman"/>
        </w:rPr>
      </w:pPr>
      <w:r w:rsidRPr="00A155FA">
        <w:rPr>
          <w:rFonts w:ascii="Times New Roman" w:hAnsi="Times New Roman" w:cs="Times New Roman"/>
          <w:b/>
          <w:bCs/>
        </w:rPr>
        <w:t>91 (anterior palatal opening(s)):</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 As with character 10 regarding the absence of premaxillae. The preserved anteriormost edge of the vomers is straight and without indicate of a pair of fossae or foramina in this position. The foramen situated entirely within the vomers (Chernin, 1977:fig. 5b) is not homologous with the paired anterior perforations for symphyseal fangs that are found in other temnospondyls and based on the specific inclusion of language regarding the fangs in this character, the median vomerine foramen is best regarded as being irrelevant to this character. Chernin (1977:104) also suggested that this foramen might be the same as a poorly ossified region in </w:t>
      </w:r>
      <w:proofErr w:type="spellStart"/>
      <w:r w:rsidRPr="00A155FA">
        <w:rPr>
          <w:rFonts w:ascii="Times New Roman" w:hAnsi="Times New Roman" w:cs="Times New Roman"/>
          <w:i/>
          <w:iCs/>
        </w:rPr>
        <w:t>Hadrokkosaurus</w:t>
      </w:r>
      <w:proofErr w:type="spellEnd"/>
      <w:r w:rsidRPr="00A155FA">
        <w:rPr>
          <w:rFonts w:ascii="Times New Roman" w:hAnsi="Times New Roman" w:cs="Times New Roman"/>
          <w:i/>
          <w:iCs/>
        </w:rPr>
        <w:t xml:space="preserve"> </w:t>
      </w:r>
      <w:proofErr w:type="spellStart"/>
      <w:r w:rsidRPr="00A155FA">
        <w:rPr>
          <w:rFonts w:ascii="Times New Roman" w:hAnsi="Times New Roman" w:cs="Times New Roman"/>
          <w:i/>
          <w:iCs/>
        </w:rPr>
        <w:t>bradyi</w:t>
      </w:r>
      <w:proofErr w:type="spellEnd"/>
      <w:r w:rsidRPr="00A155FA">
        <w:rPr>
          <w:rFonts w:ascii="Times New Roman" w:hAnsi="Times New Roman" w:cs="Times New Roman"/>
          <w:i/>
          <w:iCs/>
        </w:rPr>
        <w:t xml:space="preserve"> </w:t>
      </w:r>
      <w:r w:rsidRPr="00A155FA">
        <w:rPr>
          <w:rFonts w:ascii="Times New Roman" w:hAnsi="Times New Roman" w:cs="Times New Roman"/>
        </w:rPr>
        <w:t>(Welles &amp; Estes, 1969:fig. 26b), which is well posterior to the vomer-premaxilla suture and the anterior palatal opening.</w:t>
      </w:r>
    </w:p>
    <w:p w14:paraId="1644E4AC" w14:textId="77777777" w:rsidR="00FA06B2" w:rsidRPr="00A155FA" w:rsidRDefault="00FA06B2" w:rsidP="005229E5">
      <w:pPr>
        <w:pStyle w:val="ListParagraph"/>
        <w:numPr>
          <w:ilvl w:val="0"/>
          <w:numId w:val="42"/>
        </w:numPr>
        <w:tabs>
          <w:tab w:val="left" w:pos="1260"/>
        </w:tabs>
        <w:rPr>
          <w:rFonts w:ascii="Times New Roman" w:hAnsi="Times New Roman" w:cs="Times New Roman"/>
        </w:rPr>
      </w:pPr>
      <w:r w:rsidRPr="00A155FA">
        <w:rPr>
          <w:rFonts w:ascii="Times New Roman" w:hAnsi="Times New Roman" w:cs="Times New Roman"/>
          <w:b/>
          <w:bCs/>
        </w:rPr>
        <w:t>92 (anterior palatal opening(s)</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91.</w:t>
      </w:r>
    </w:p>
    <w:p w14:paraId="6C055168" w14:textId="77777777" w:rsidR="00FA06B2" w:rsidRPr="00A155FA" w:rsidRDefault="00FA06B2" w:rsidP="005229E5">
      <w:pPr>
        <w:pStyle w:val="ListParagraph"/>
        <w:numPr>
          <w:ilvl w:val="0"/>
          <w:numId w:val="42"/>
        </w:numPr>
        <w:tabs>
          <w:tab w:val="left" w:pos="1260"/>
        </w:tabs>
        <w:rPr>
          <w:rFonts w:ascii="Times New Roman" w:hAnsi="Times New Roman" w:cs="Times New Roman"/>
        </w:rPr>
      </w:pPr>
      <w:r w:rsidRPr="00A155FA">
        <w:rPr>
          <w:rFonts w:ascii="Times New Roman" w:hAnsi="Times New Roman" w:cs="Times New Roman"/>
          <w:b/>
          <w:bCs/>
        </w:rPr>
        <w:t xml:space="preserve">140 (postglenoid area):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 There is no lower jaw material for this taxon (Chernin, 1977:102; Warren &amp; Marsicano, 2000:465; Schoch &amp; Milner, 2014:98).</w:t>
      </w:r>
    </w:p>
    <w:p w14:paraId="2310E218" w14:textId="77777777" w:rsidR="00FA06B2" w:rsidRPr="00A155FA" w:rsidRDefault="00FA06B2" w:rsidP="005229E5">
      <w:pPr>
        <w:pStyle w:val="ListParagraph"/>
        <w:numPr>
          <w:ilvl w:val="0"/>
          <w:numId w:val="42"/>
        </w:numPr>
        <w:tabs>
          <w:tab w:val="left" w:pos="1260"/>
        </w:tabs>
        <w:rPr>
          <w:rFonts w:ascii="Times New Roman" w:hAnsi="Times New Roman" w:cs="Times New Roman"/>
        </w:rPr>
      </w:pPr>
      <w:r w:rsidRPr="00A155FA">
        <w:rPr>
          <w:rFonts w:ascii="Times New Roman" w:hAnsi="Times New Roman" w:cs="Times New Roman"/>
          <w:b/>
          <w:bCs/>
        </w:rPr>
        <w:t>141 (postglenoid area (types):</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140.</w:t>
      </w:r>
    </w:p>
    <w:p w14:paraId="59BE67FE" w14:textId="77777777" w:rsidR="00FA06B2" w:rsidRPr="00A155FA" w:rsidRDefault="00FA06B2" w:rsidP="005229E5">
      <w:pPr>
        <w:pStyle w:val="ListParagraph"/>
        <w:numPr>
          <w:ilvl w:val="0"/>
          <w:numId w:val="42"/>
        </w:numPr>
        <w:tabs>
          <w:tab w:val="left" w:pos="1260"/>
        </w:tabs>
        <w:rPr>
          <w:rFonts w:ascii="Times New Roman" w:hAnsi="Times New Roman" w:cs="Times New Roman"/>
        </w:rPr>
      </w:pPr>
      <w:r w:rsidRPr="00A155FA">
        <w:rPr>
          <w:rFonts w:ascii="Times New Roman" w:hAnsi="Times New Roman" w:cs="Times New Roman"/>
          <w:b/>
          <w:bCs/>
        </w:rPr>
        <w:t>142 (postglenoid area (dorsal):</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140.</w:t>
      </w:r>
    </w:p>
    <w:p w14:paraId="78A85ABB" w14:textId="77777777" w:rsidR="00FA06B2" w:rsidRPr="00A155FA" w:rsidRDefault="00FA06B2" w:rsidP="005229E5">
      <w:pPr>
        <w:pStyle w:val="ListParagraph"/>
        <w:numPr>
          <w:ilvl w:val="0"/>
          <w:numId w:val="42"/>
        </w:numPr>
        <w:tabs>
          <w:tab w:val="left" w:pos="1260"/>
        </w:tabs>
        <w:rPr>
          <w:rFonts w:ascii="Times New Roman" w:hAnsi="Times New Roman" w:cs="Times New Roman"/>
        </w:rPr>
      </w:pPr>
      <w:r w:rsidRPr="00A155FA">
        <w:rPr>
          <w:rFonts w:ascii="Times New Roman" w:hAnsi="Times New Roman" w:cs="Times New Roman"/>
          <w:b/>
          <w:bCs/>
        </w:rPr>
        <w:t>143 (hamate process):</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140.</w:t>
      </w:r>
    </w:p>
    <w:p w14:paraId="6DADA181" w14:textId="77777777" w:rsidR="00FA06B2" w:rsidRPr="00A155FA" w:rsidRDefault="00FA06B2" w:rsidP="005229E5">
      <w:pPr>
        <w:pStyle w:val="ListParagraph"/>
        <w:numPr>
          <w:ilvl w:val="0"/>
          <w:numId w:val="42"/>
        </w:numPr>
        <w:tabs>
          <w:tab w:val="left" w:pos="1260"/>
        </w:tabs>
        <w:rPr>
          <w:rFonts w:ascii="Times New Roman" w:hAnsi="Times New Roman" w:cs="Times New Roman"/>
        </w:rPr>
      </w:pPr>
      <w:r w:rsidRPr="00A155FA">
        <w:rPr>
          <w:rFonts w:ascii="Times New Roman" w:hAnsi="Times New Roman" w:cs="Times New Roman"/>
          <w:b/>
          <w:bCs/>
        </w:rPr>
        <w:t>144 (preglenoid process):</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140.</w:t>
      </w:r>
    </w:p>
    <w:p w14:paraId="3919CF85" w14:textId="77777777" w:rsidR="00FA06B2" w:rsidRPr="00A155FA" w:rsidRDefault="00FA06B2" w:rsidP="005229E5">
      <w:pPr>
        <w:pStyle w:val="ListParagraph"/>
        <w:numPr>
          <w:ilvl w:val="0"/>
          <w:numId w:val="42"/>
        </w:numPr>
        <w:tabs>
          <w:tab w:val="left" w:pos="1260"/>
        </w:tabs>
        <w:rPr>
          <w:rFonts w:ascii="Times New Roman" w:hAnsi="Times New Roman" w:cs="Times New Roman"/>
        </w:rPr>
      </w:pPr>
      <w:r w:rsidRPr="00A155FA">
        <w:rPr>
          <w:rFonts w:ascii="Times New Roman" w:hAnsi="Times New Roman" w:cs="Times New Roman"/>
          <w:b/>
          <w:bCs/>
        </w:rPr>
        <w:t xml:space="preserve">145 (Meckelian window):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140.</w:t>
      </w:r>
    </w:p>
    <w:p w14:paraId="2E3AEC52" w14:textId="77777777" w:rsidR="00FA06B2" w:rsidRPr="00A155FA" w:rsidRDefault="00FA06B2" w:rsidP="005229E5">
      <w:pPr>
        <w:pStyle w:val="ListParagraph"/>
        <w:numPr>
          <w:ilvl w:val="0"/>
          <w:numId w:val="42"/>
        </w:numPr>
        <w:tabs>
          <w:tab w:val="left" w:pos="1260"/>
        </w:tabs>
        <w:rPr>
          <w:rFonts w:ascii="Times New Roman" w:hAnsi="Times New Roman" w:cs="Times New Roman"/>
        </w:rPr>
      </w:pPr>
      <w:r w:rsidRPr="00A155FA">
        <w:rPr>
          <w:rFonts w:ascii="Times New Roman" w:hAnsi="Times New Roman" w:cs="Times New Roman"/>
          <w:b/>
          <w:bCs/>
        </w:rPr>
        <w:t>146 (symphyseal teeth):</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140.</w:t>
      </w:r>
    </w:p>
    <w:p w14:paraId="2588D8D0" w14:textId="77777777" w:rsidR="00FA06B2" w:rsidRPr="00A155FA" w:rsidRDefault="00FA06B2" w:rsidP="005229E5">
      <w:pPr>
        <w:pStyle w:val="ListParagraph"/>
        <w:numPr>
          <w:ilvl w:val="0"/>
          <w:numId w:val="42"/>
        </w:numPr>
        <w:tabs>
          <w:tab w:val="left" w:pos="1260"/>
        </w:tabs>
        <w:rPr>
          <w:rFonts w:ascii="Times New Roman" w:hAnsi="Times New Roman" w:cs="Times New Roman"/>
        </w:rPr>
      </w:pPr>
      <w:r w:rsidRPr="00A155FA">
        <w:rPr>
          <w:rFonts w:ascii="Times New Roman" w:hAnsi="Times New Roman" w:cs="Times New Roman"/>
          <w:b/>
          <w:bCs/>
        </w:rPr>
        <w:t>147 (posterior coronoid teeth):</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140.</w:t>
      </w:r>
    </w:p>
    <w:p w14:paraId="0DF260EF" w14:textId="77777777" w:rsidR="00FA06B2" w:rsidRPr="00A155FA" w:rsidRDefault="00FA06B2" w:rsidP="005229E5">
      <w:pPr>
        <w:pStyle w:val="ListParagraph"/>
        <w:numPr>
          <w:ilvl w:val="0"/>
          <w:numId w:val="42"/>
        </w:numPr>
        <w:tabs>
          <w:tab w:val="left" w:pos="1260"/>
        </w:tabs>
        <w:rPr>
          <w:rFonts w:ascii="Times New Roman" w:hAnsi="Times New Roman" w:cs="Times New Roman"/>
        </w:rPr>
      </w:pPr>
      <w:r w:rsidRPr="00A155FA">
        <w:rPr>
          <w:rFonts w:ascii="Times New Roman" w:hAnsi="Times New Roman" w:cs="Times New Roman"/>
          <w:b/>
          <w:bCs/>
        </w:rPr>
        <w:t>148 (anterior, middle coronoid teeth):</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140.</w:t>
      </w:r>
    </w:p>
    <w:p w14:paraId="267D5B3C" w14:textId="77777777" w:rsidR="00FA06B2" w:rsidRPr="00A155FA" w:rsidRDefault="00FA06B2" w:rsidP="005229E5">
      <w:pPr>
        <w:pStyle w:val="ListParagraph"/>
        <w:numPr>
          <w:ilvl w:val="0"/>
          <w:numId w:val="42"/>
        </w:numPr>
        <w:tabs>
          <w:tab w:val="left" w:pos="1260"/>
        </w:tabs>
        <w:rPr>
          <w:rFonts w:ascii="Times New Roman" w:hAnsi="Times New Roman" w:cs="Times New Roman"/>
        </w:rPr>
      </w:pPr>
      <w:r w:rsidRPr="00A155FA">
        <w:rPr>
          <w:rFonts w:ascii="Times New Roman" w:hAnsi="Times New Roman" w:cs="Times New Roman"/>
          <w:b/>
          <w:bCs/>
        </w:rPr>
        <w:lastRenderedPageBreak/>
        <w:t>149 (mandibular osteoderms):</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Based on the definition of state 1 (between mandible and dermal pectoral girdle), this character cannot be assessed in the absence of both a mandible and the pectoral girdle.</w:t>
      </w:r>
    </w:p>
    <w:p w14:paraId="3221DF4B" w14:textId="77777777" w:rsidR="00FA06B2" w:rsidRPr="00A155FA" w:rsidRDefault="00FA06B2" w:rsidP="005229E5">
      <w:pPr>
        <w:pStyle w:val="ListParagraph"/>
        <w:numPr>
          <w:ilvl w:val="0"/>
          <w:numId w:val="42"/>
        </w:numPr>
        <w:tabs>
          <w:tab w:val="left" w:pos="1260"/>
        </w:tabs>
        <w:rPr>
          <w:rFonts w:ascii="Times New Roman" w:hAnsi="Times New Roman" w:cs="Times New Roman"/>
        </w:rPr>
      </w:pPr>
      <w:r w:rsidRPr="00A155FA">
        <w:rPr>
          <w:rFonts w:ascii="Times New Roman" w:hAnsi="Times New Roman" w:cs="Times New Roman"/>
          <w:b/>
          <w:bCs/>
        </w:rPr>
        <w:t xml:space="preserve">174 (ribs, uncinate spines):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No postcrania are known for this taxon (Chernin, 1977:102; Warren &amp; Marsicano, 2000:465; Schoch &amp; Milner, 2014:98), as reflected in the absence of codes for most other postcranial characters.</w:t>
      </w:r>
    </w:p>
    <w:p w14:paraId="5880198F" w14:textId="77777777" w:rsidR="00FA06B2" w:rsidRPr="00A155FA" w:rsidRDefault="00FA06B2" w:rsidP="005229E5">
      <w:pPr>
        <w:pStyle w:val="ListParagraph"/>
        <w:numPr>
          <w:ilvl w:val="0"/>
          <w:numId w:val="42"/>
        </w:numPr>
        <w:tabs>
          <w:tab w:val="left" w:pos="1260"/>
        </w:tabs>
        <w:rPr>
          <w:rFonts w:ascii="Times New Roman" w:hAnsi="Times New Roman" w:cs="Times New Roman"/>
        </w:rPr>
      </w:pPr>
      <w:r w:rsidRPr="00A155FA">
        <w:rPr>
          <w:rFonts w:ascii="Times New Roman" w:hAnsi="Times New Roman" w:cs="Times New Roman"/>
          <w:b/>
          <w:bCs/>
        </w:rPr>
        <w:t>175 (cleithrum):</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174.</w:t>
      </w:r>
    </w:p>
    <w:p w14:paraId="45617092" w14:textId="77777777" w:rsidR="00FA06B2" w:rsidRPr="00A155FA" w:rsidRDefault="00FA06B2" w:rsidP="005229E5">
      <w:pPr>
        <w:pStyle w:val="ListParagraph"/>
        <w:numPr>
          <w:ilvl w:val="0"/>
          <w:numId w:val="42"/>
        </w:numPr>
        <w:tabs>
          <w:tab w:val="left" w:pos="1260"/>
        </w:tabs>
        <w:rPr>
          <w:rFonts w:ascii="Times New Roman" w:hAnsi="Times New Roman" w:cs="Times New Roman"/>
        </w:rPr>
      </w:pPr>
      <w:r w:rsidRPr="00A155FA">
        <w:rPr>
          <w:rFonts w:ascii="Times New Roman" w:hAnsi="Times New Roman" w:cs="Times New Roman"/>
          <w:b/>
          <w:bCs/>
        </w:rPr>
        <w:t>177 (cleithrum):</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174.</w:t>
      </w:r>
    </w:p>
    <w:p w14:paraId="462860EA" w14:textId="77777777" w:rsidR="00FA06B2" w:rsidRPr="00A155FA" w:rsidRDefault="00FA06B2" w:rsidP="005229E5">
      <w:pPr>
        <w:pStyle w:val="ListParagraph"/>
        <w:numPr>
          <w:ilvl w:val="0"/>
          <w:numId w:val="42"/>
        </w:numPr>
        <w:tabs>
          <w:tab w:val="left" w:pos="1260"/>
        </w:tabs>
        <w:rPr>
          <w:rFonts w:ascii="Times New Roman" w:hAnsi="Times New Roman" w:cs="Times New Roman"/>
          <w:b/>
          <w:bCs/>
          <w:i/>
          <w:iCs/>
        </w:rPr>
      </w:pPr>
      <w:r w:rsidRPr="00A155FA">
        <w:rPr>
          <w:rFonts w:ascii="Times New Roman" w:hAnsi="Times New Roman" w:cs="Times New Roman"/>
          <w:b/>
          <w:bCs/>
        </w:rPr>
        <w:t>178 (clavicle, ventral blade):</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174.</w:t>
      </w:r>
    </w:p>
    <w:p w14:paraId="161ABC9D" w14:textId="77777777" w:rsidR="00FA06B2" w:rsidRPr="007A0A6B" w:rsidRDefault="00FA06B2" w:rsidP="005229E5">
      <w:pPr>
        <w:pStyle w:val="ListParagraph"/>
        <w:numPr>
          <w:ilvl w:val="0"/>
          <w:numId w:val="42"/>
        </w:numPr>
        <w:tabs>
          <w:tab w:val="left" w:pos="1260"/>
        </w:tabs>
        <w:rPr>
          <w:rFonts w:ascii="Times New Roman" w:hAnsi="Times New Roman" w:cs="Times New Roman"/>
          <w:b/>
          <w:bCs/>
          <w:i/>
          <w:iCs/>
        </w:rPr>
      </w:pPr>
      <w:r w:rsidRPr="00A155FA">
        <w:rPr>
          <w:rFonts w:ascii="Times New Roman" w:hAnsi="Times New Roman" w:cs="Times New Roman"/>
          <w:b/>
          <w:bCs/>
        </w:rPr>
        <w:t>208 (gastral scales):</w:t>
      </w:r>
      <w:r w:rsidRPr="00A155FA">
        <w:rPr>
          <w:rFonts w:ascii="Times New Roman" w:hAnsi="Times New Roman" w:cs="Times New Roman"/>
          <w:b/>
          <w:bCs/>
          <w:i/>
          <w:iCs/>
        </w:rPr>
        <w:t xml:space="preserve">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174.</w:t>
      </w:r>
    </w:p>
    <w:p w14:paraId="1AC29114" w14:textId="77777777" w:rsidR="00FA06B2" w:rsidRPr="00A155FA" w:rsidRDefault="00FA06B2" w:rsidP="005229E5">
      <w:pPr>
        <w:pStyle w:val="ListParagraph"/>
        <w:numPr>
          <w:ilvl w:val="0"/>
          <w:numId w:val="42"/>
        </w:numPr>
        <w:tabs>
          <w:tab w:val="left" w:pos="1260"/>
        </w:tabs>
        <w:rPr>
          <w:rFonts w:ascii="Times New Roman" w:hAnsi="Times New Roman" w:cs="Times New Roman"/>
          <w:b/>
          <w:bCs/>
          <w:i/>
          <w:iCs/>
        </w:rPr>
      </w:pPr>
      <w:r w:rsidRPr="00A155FA">
        <w:rPr>
          <w:rFonts w:ascii="Times New Roman" w:hAnsi="Times New Roman" w:cs="Times New Roman"/>
          <w:b/>
          <w:bCs/>
        </w:rPr>
        <w:t>209 (osteoderms):</w:t>
      </w:r>
      <w:r w:rsidRPr="00A155FA">
        <w:rPr>
          <w:rFonts w:ascii="Times New Roman" w:hAnsi="Times New Roman" w:cs="Times New Roman"/>
          <w:b/>
          <w:bCs/>
          <w:i/>
          <w:iCs/>
        </w:rPr>
        <w:t xml:space="preserve">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 As with character 174.</w:t>
      </w:r>
    </w:p>
    <w:p w14:paraId="35446F07" w14:textId="77777777" w:rsidR="00FA06B2" w:rsidRPr="00A155FA" w:rsidRDefault="00FA06B2" w:rsidP="005229E5">
      <w:pPr>
        <w:pStyle w:val="ListParagraph"/>
        <w:numPr>
          <w:ilvl w:val="0"/>
          <w:numId w:val="42"/>
        </w:numPr>
        <w:tabs>
          <w:tab w:val="left" w:pos="1260"/>
        </w:tabs>
        <w:rPr>
          <w:rFonts w:ascii="Times New Roman" w:hAnsi="Times New Roman" w:cs="Times New Roman"/>
          <w:b/>
          <w:bCs/>
          <w:i/>
          <w:iCs/>
        </w:rPr>
      </w:pPr>
      <w:r w:rsidRPr="00A155FA">
        <w:rPr>
          <w:rFonts w:ascii="Times New Roman" w:hAnsi="Times New Roman" w:cs="Times New Roman"/>
          <w:b/>
          <w:bCs/>
        </w:rPr>
        <w:t>222 (quadratojugal):</w:t>
      </w:r>
      <w:r w:rsidRPr="00A155FA">
        <w:rPr>
          <w:rFonts w:ascii="Times New Roman" w:hAnsi="Times New Roman" w:cs="Times New Roman"/>
          <w:b/>
          <w:bCs/>
          <w:i/>
          <w:iCs/>
        </w:rPr>
        <w:t xml:space="preserve">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The element is not exposed dorsally but is exposed in occipital view (Chernin, 1977:fig. 5C).</w:t>
      </w:r>
    </w:p>
    <w:p w14:paraId="1D643351" w14:textId="77777777" w:rsidR="00FA06B2" w:rsidRPr="00A155FA" w:rsidRDefault="00FA06B2" w:rsidP="005229E5">
      <w:pPr>
        <w:pStyle w:val="ListParagraph"/>
        <w:numPr>
          <w:ilvl w:val="0"/>
          <w:numId w:val="42"/>
        </w:numPr>
        <w:tabs>
          <w:tab w:val="left" w:pos="1260"/>
        </w:tabs>
        <w:rPr>
          <w:rFonts w:ascii="Times New Roman" w:hAnsi="Times New Roman" w:cs="Times New Roman"/>
          <w:b/>
          <w:bCs/>
          <w:i/>
          <w:iCs/>
        </w:rPr>
      </w:pPr>
      <w:r w:rsidRPr="00A155FA">
        <w:rPr>
          <w:rFonts w:ascii="Times New Roman" w:hAnsi="Times New Roman" w:cs="Times New Roman"/>
          <w:b/>
          <w:bCs/>
        </w:rPr>
        <w:t>260 (dentary):</w:t>
      </w:r>
      <w:r w:rsidRPr="00A155FA">
        <w:rPr>
          <w:rFonts w:ascii="Times New Roman" w:hAnsi="Times New Roman" w:cs="Times New Roman"/>
          <w:b/>
          <w:bCs/>
          <w:i/>
          <w:iCs/>
        </w:rPr>
        <w:t xml:space="preserve">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140.</w:t>
      </w:r>
    </w:p>
    <w:p w14:paraId="281160C0" w14:textId="77777777" w:rsidR="00FA06B2" w:rsidRPr="00A155FA" w:rsidRDefault="00FA06B2" w:rsidP="005229E5">
      <w:pPr>
        <w:pStyle w:val="ListParagraph"/>
        <w:numPr>
          <w:ilvl w:val="0"/>
          <w:numId w:val="42"/>
        </w:numPr>
        <w:tabs>
          <w:tab w:val="left" w:pos="1260"/>
        </w:tabs>
        <w:rPr>
          <w:rFonts w:ascii="Times New Roman" w:hAnsi="Times New Roman" w:cs="Times New Roman"/>
          <w:b/>
          <w:bCs/>
          <w:i/>
          <w:iCs/>
        </w:rPr>
      </w:pPr>
      <w:r w:rsidRPr="00A155FA">
        <w:rPr>
          <w:rFonts w:ascii="Times New Roman" w:hAnsi="Times New Roman" w:cs="Times New Roman"/>
          <w:b/>
          <w:bCs/>
        </w:rPr>
        <w:t>261 (dentary, coronoid process):</w:t>
      </w:r>
      <w:r w:rsidRPr="00A155FA">
        <w:rPr>
          <w:rFonts w:ascii="Times New Roman" w:hAnsi="Times New Roman" w:cs="Times New Roman"/>
          <w:b/>
          <w:bCs/>
          <w:i/>
          <w:iCs/>
        </w:rPr>
        <w:t xml:space="preserve">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140.</w:t>
      </w:r>
    </w:p>
    <w:p w14:paraId="3DB973AD" w14:textId="77777777" w:rsidR="00FA06B2" w:rsidRPr="00A155FA" w:rsidRDefault="00FA06B2" w:rsidP="005229E5">
      <w:pPr>
        <w:pStyle w:val="ListParagraph"/>
        <w:numPr>
          <w:ilvl w:val="0"/>
          <w:numId w:val="42"/>
        </w:numPr>
        <w:tabs>
          <w:tab w:val="left" w:pos="1260"/>
        </w:tabs>
        <w:rPr>
          <w:rFonts w:ascii="Times New Roman" w:hAnsi="Times New Roman" w:cs="Times New Roman"/>
          <w:b/>
          <w:bCs/>
          <w:i/>
          <w:iCs/>
        </w:rPr>
      </w:pPr>
      <w:r w:rsidRPr="00A155FA">
        <w:rPr>
          <w:rFonts w:ascii="Times New Roman" w:hAnsi="Times New Roman" w:cs="Times New Roman"/>
          <w:b/>
          <w:bCs/>
        </w:rPr>
        <w:t>262 (surangular):</w:t>
      </w:r>
      <w:r w:rsidRPr="00A155FA">
        <w:rPr>
          <w:rFonts w:ascii="Times New Roman" w:hAnsi="Times New Roman" w:cs="Times New Roman"/>
          <w:b/>
          <w:bCs/>
          <w:i/>
          <w:iCs/>
        </w:rPr>
        <w:t xml:space="preserve">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140.</w:t>
      </w:r>
    </w:p>
    <w:p w14:paraId="0E978A18" w14:textId="77777777" w:rsidR="00FA06B2" w:rsidRPr="00A155FA" w:rsidRDefault="00FA06B2" w:rsidP="005229E5">
      <w:pPr>
        <w:pStyle w:val="ListParagraph"/>
        <w:numPr>
          <w:ilvl w:val="0"/>
          <w:numId w:val="42"/>
        </w:numPr>
        <w:tabs>
          <w:tab w:val="left" w:pos="1260"/>
        </w:tabs>
        <w:rPr>
          <w:rFonts w:ascii="Times New Roman" w:hAnsi="Times New Roman" w:cs="Times New Roman"/>
          <w:b/>
          <w:bCs/>
          <w:i/>
          <w:iCs/>
        </w:rPr>
      </w:pPr>
      <w:r w:rsidRPr="00A155FA">
        <w:rPr>
          <w:rFonts w:ascii="Times New Roman" w:hAnsi="Times New Roman" w:cs="Times New Roman"/>
          <w:b/>
          <w:bCs/>
        </w:rPr>
        <w:t>263 (angular):</w:t>
      </w:r>
      <w:r w:rsidRPr="00A155FA">
        <w:rPr>
          <w:rFonts w:ascii="Times New Roman" w:hAnsi="Times New Roman" w:cs="Times New Roman"/>
          <w:b/>
          <w:bCs/>
          <w:i/>
          <w:iCs/>
        </w:rPr>
        <w:t xml:space="preserve">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140.</w:t>
      </w:r>
    </w:p>
    <w:p w14:paraId="669970D1" w14:textId="77777777" w:rsidR="00FA06B2" w:rsidRPr="00A155FA" w:rsidRDefault="00FA06B2" w:rsidP="005229E5">
      <w:pPr>
        <w:pStyle w:val="ListParagraph"/>
        <w:numPr>
          <w:ilvl w:val="0"/>
          <w:numId w:val="42"/>
        </w:numPr>
        <w:tabs>
          <w:tab w:val="left" w:pos="1260"/>
        </w:tabs>
        <w:rPr>
          <w:rFonts w:ascii="Times New Roman" w:hAnsi="Times New Roman" w:cs="Times New Roman"/>
          <w:b/>
          <w:bCs/>
          <w:i/>
          <w:iCs/>
        </w:rPr>
      </w:pPr>
      <w:r w:rsidRPr="00A155FA">
        <w:rPr>
          <w:rFonts w:ascii="Times New Roman" w:hAnsi="Times New Roman" w:cs="Times New Roman"/>
          <w:b/>
          <w:bCs/>
        </w:rPr>
        <w:t>268 (retroarticular process):</w:t>
      </w:r>
      <w:r w:rsidRPr="00A155FA">
        <w:rPr>
          <w:rFonts w:ascii="Times New Roman" w:hAnsi="Times New Roman" w:cs="Times New Roman"/>
          <w:b/>
          <w:bCs/>
          <w:i/>
          <w:iCs/>
        </w:rPr>
        <w:t xml:space="preserve">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140.</w:t>
      </w:r>
    </w:p>
    <w:p w14:paraId="2789E150" w14:textId="77777777" w:rsidR="00FA06B2" w:rsidRPr="00A155FA" w:rsidRDefault="00FA06B2" w:rsidP="005229E5">
      <w:pPr>
        <w:pStyle w:val="ListParagraph"/>
        <w:numPr>
          <w:ilvl w:val="0"/>
          <w:numId w:val="42"/>
        </w:numPr>
        <w:tabs>
          <w:tab w:val="left" w:pos="1260"/>
        </w:tabs>
        <w:rPr>
          <w:rFonts w:ascii="Times New Roman" w:hAnsi="Times New Roman" w:cs="Times New Roman"/>
          <w:b/>
          <w:bCs/>
          <w:i/>
          <w:iCs/>
        </w:rPr>
      </w:pPr>
      <w:r w:rsidRPr="00A155FA">
        <w:rPr>
          <w:rFonts w:ascii="Times New Roman" w:hAnsi="Times New Roman" w:cs="Times New Roman"/>
          <w:b/>
          <w:bCs/>
        </w:rPr>
        <w:t>269 (articulation to tooth row):</w:t>
      </w:r>
      <w:r w:rsidRPr="00A155FA">
        <w:rPr>
          <w:rFonts w:ascii="Times New Roman" w:hAnsi="Times New Roman" w:cs="Times New Roman"/>
          <w:b/>
          <w:bCs/>
          <w:i/>
          <w:iCs/>
        </w:rPr>
        <w:t xml:space="preserve">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 As with character 140.</w:t>
      </w:r>
    </w:p>
    <w:p w14:paraId="6F95764D" w14:textId="77777777" w:rsidR="00FA06B2" w:rsidRPr="00A155FA" w:rsidRDefault="00FA06B2" w:rsidP="005229E5">
      <w:pPr>
        <w:pStyle w:val="ListParagraph"/>
        <w:numPr>
          <w:ilvl w:val="0"/>
          <w:numId w:val="42"/>
        </w:numPr>
        <w:tabs>
          <w:tab w:val="left" w:pos="1260"/>
        </w:tabs>
        <w:rPr>
          <w:rFonts w:ascii="Times New Roman" w:hAnsi="Times New Roman" w:cs="Times New Roman"/>
          <w:b/>
          <w:bCs/>
          <w:i/>
          <w:iCs/>
        </w:rPr>
      </w:pPr>
      <w:r w:rsidRPr="00A155FA">
        <w:rPr>
          <w:rFonts w:ascii="Times New Roman" w:hAnsi="Times New Roman" w:cs="Times New Roman"/>
          <w:b/>
          <w:bCs/>
        </w:rPr>
        <w:t>270 (angular):</w:t>
      </w:r>
      <w:r w:rsidRPr="00A155FA">
        <w:rPr>
          <w:rFonts w:ascii="Times New Roman" w:hAnsi="Times New Roman" w:cs="Times New Roman"/>
          <w:b/>
          <w:bCs/>
          <w:i/>
          <w:iCs/>
        </w:rPr>
        <w:t xml:space="preserve">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140.</w:t>
      </w:r>
    </w:p>
    <w:p w14:paraId="53E869AC" w14:textId="77777777" w:rsidR="00FA06B2" w:rsidRPr="00A155FA" w:rsidRDefault="00FA06B2" w:rsidP="005229E5">
      <w:pPr>
        <w:pStyle w:val="ListParagraph"/>
        <w:numPr>
          <w:ilvl w:val="0"/>
          <w:numId w:val="42"/>
        </w:numPr>
        <w:tabs>
          <w:tab w:val="left" w:pos="1260"/>
        </w:tabs>
        <w:rPr>
          <w:rFonts w:ascii="Times New Roman" w:hAnsi="Times New Roman" w:cs="Times New Roman"/>
          <w:b/>
          <w:bCs/>
          <w:i/>
          <w:iCs/>
        </w:rPr>
      </w:pPr>
      <w:r w:rsidRPr="00A155FA">
        <w:rPr>
          <w:rFonts w:ascii="Times New Roman" w:hAnsi="Times New Roman" w:cs="Times New Roman"/>
          <w:b/>
          <w:bCs/>
        </w:rPr>
        <w:t>271 (number of coronoids):</w:t>
      </w:r>
      <w:r w:rsidRPr="00A155FA">
        <w:rPr>
          <w:rFonts w:ascii="Times New Roman" w:hAnsi="Times New Roman" w:cs="Times New Roman"/>
          <w:b/>
          <w:bCs/>
          <w:i/>
          <w:iCs/>
        </w:rPr>
        <w:t xml:space="preserve"> </w:t>
      </w:r>
      <w:r w:rsidRPr="00A155FA">
        <w:rPr>
          <w:rFonts w:ascii="Times New Roman" w:hAnsi="Times New Roman" w:cs="Times New Roman"/>
        </w:rPr>
        <w:t xml:space="preserve">2 </w:t>
      </w:r>
      <w:r w:rsidRPr="00A155FA">
        <w:rPr>
          <w:rFonts w:ascii="Times New Roman" w:eastAsia="Wingdings" w:hAnsi="Times New Roman" w:cs="Times New Roman"/>
        </w:rPr>
        <w:t>→</w:t>
      </w:r>
      <w:r w:rsidRPr="00A155FA">
        <w:rPr>
          <w:rFonts w:ascii="Times New Roman" w:hAnsi="Times New Roman" w:cs="Times New Roman"/>
        </w:rPr>
        <w:t xml:space="preserve"> ?. As with character 140.</w:t>
      </w:r>
    </w:p>
    <w:p w14:paraId="162AD583" w14:textId="77777777" w:rsidR="00FA06B2" w:rsidRPr="00A155FA" w:rsidRDefault="00FA06B2" w:rsidP="005229E5">
      <w:pPr>
        <w:pStyle w:val="ListParagraph"/>
        <w:numPr>
          <w:ilvl w:val="0"/>
          <w:numId w:val="42"/>
        </w:numPr>
        <w:tabs>
          <w:tab w:val="left" w:pos="1260"/>
        </w:tabs>
        <w:rPr>
          <w:rFonts w:ascii="Times New Roman" w:hAnsi="Times New Roman" w:cs="Times New Roman"/>
          <w:b/>
          <w:bCs/>
          <w:i/>
          <w:iCs/>
        </w:rPr>
      </w:pPr>
      <w:r w:rsidRPr="00A155FA">
        <w:rPr>
          <w:rFonts w:ascii="Times New Roman" w:hAnsi="Times New Roman" w:cs="Times New Roman"/>
          <w:b/>
          <w:bCs/>
        </w:rPr>
        <w:t>272 (coronoid teeth):</w:t>
      </w:r>
      <w:r w:rsidRPr="00A155FA">
        <w:rPr>
          <w:rFonts w:ascii="Times New Roman" w:hAnsi="Times New Roman" w:cs="Times New Roman"/>
          <w:b/>
          <w:bCs/>
          <w:i/>
          <w:iCs/>
        </w:rPr>
        <w:t xml:space="preserve">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 As with character 140.</w:t>
      </w:r>
    </w:p>
    <w:p w14:paraId="044DB6E5" w14:textId="77777777" w:rsidR="00FA06B2" w:rsidRPr="00A155FA" w:rsidRDefault="00FA06B2" w:rsidP="005229E5">
      <w:pPr>
        <w:pStyle w:val="ListParagraph"/>
        <w:numPr>
          <w:ilvl w:val="0"/>
          <w:numId w:val="42"/>
        </w:numPr>
        <w:tabs>
          <w:tab w:val="left" w:pos="1260"/>
        </w:tabs>
        <w:rPr>
          <w:rFonts w:ascii="Times New Roman" w:hAnsi="Times New Roman" w:cs="Times New Roman"/>
          <w:b/>
          <w:bCs/>
          <w:i/>
          <w:iCs/>
        </w:rPr>
      </w:pPr>
      <w:r w:rsidRPr="00A155FA">
        <w:rPr>
          <w:rFonts w:ascii="Times New Roman" w:hAnsi="Times New Roman" w:cs="Times New Roman"/>
          <w:b/>
          <w:bCs/>
        </w:rPr>
        <w:t>322 (splenial teeth):</w:t>
      </w:r>
      <w:r w:rsidRPr="00A155FA">
        <w:rPr>
          <w:rFonts w:ascii="Times New Roman" w:hAnsi="Times New Roman" w:cs="Times New Roman"/>
          <w:b/>
          <w:bCs/>
          <w:i/>
          <w:iCs/>
        </w:rPr>
        <w:t xml:space="preserve">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 As with character 140.</w:t>
      </w:r>
    </w:p>
    <w:p w14:paraId="346E1A6D" w14:textId="77777777" w:rsidR="00FA06B2" w:rsidRPr="00A155FA" w:rsidRDefault="00FA06B2" w:rsidP="005229E5">
      <w:pPr>
        <w:pStyle w:val="ListParagraph"/>
        <w:numPr>
          <w:ilvl w:val="0"/>
          <w:numId w:val="42"/>
        </w:numPr>
        <w:tabs>
          <w:tab w:val="left" w:pos="1260"/>
        </w:tabs>
        <w:rPr>
          <w:rFonts w:ascii="Times New Roman" w:hAnsi="Times New Roman" w:cs="Times New Roman"/>
          <w:b/>
          <w:bCs/>
          <w:i/>
          <w:iCs/>
        </w:rPr>
      </w:pPr>
      <w:r w:rsidRPr="00A155FA">
        <w:rPr>
          <w:rFonts w:ascii="Times New Roman" w:hAnsi="Times New Roman" w:cs="Times New Roman"/>
          <w:b/>
          <w:bCs/>
        </w:rPr>
        <w:t>326 (anterior dentary teeth):</w:t>
      </w:r>
      <w:r w:rsidRPr="00A155FA">
        <w:rPr>
          <w:rFonts w:ascii="Times New Roman" w:hAnsi="Times New Roman" w:cs="Times New Roman"/>
          <w:b/>
          <w:bCs/>
          <w:i/>
          <w:iCs/>
        </w:rPr>
        <w:t xml:space="preserve">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 As with character 140.</w:t>
      </w:r>
    </w:p>
    <w:p w14:paraId="7EF89A04" w14:textId="77777777" w:rsidR="00FA06B2" w:rsidRPr="00A155FA" w:rsidRDefault="00FA06B2" w:rsidP="005229E5">
      <w:pPr>
        <w:pStyle w:val="ListParagraph"/>
        <w:numPr>
          <w:ilvl w:val="0"/>
          <w:numId w:val="42"/>
        </w:numPr>
        <w:tabs>
          <w:tab w:val="left" w:pos="1260"/>
        </w:tabs>
        <w:rPr>
          <w:rFonts w:ascii="Times New Roman" w:hAnsi="Times New Roman" w:cs="Times New Roman"/>
          <w:b/>
          <w:bCs/>
          <w:i/>
          <w:iCs/>
        </w:rPr>
      </w:pPr>
      <w:r w:rsidRPr="00A155FA">
        <w:rPr>
          <w:rFonts w:ascii="Times New Roman" w:hAnsi="Times New Roman" w:cs="Times New Roman"/>
          <w:b/>
          <w:bCs/>
        </w:rPr>
        <w:t>344 (dentary marginal dentition):</w:t>
      </w:r>
      <w:r w:rsidRPr="00A155FA">
        <w:rPr>
          <w:rFonts w:ascii="Times New Roman" w:hAnsi="Times New Roman" w:cs="Times New Roman"/>
          <w:b/>
          <w:bCs/>
          <w:i/>
          <w:iCs/>
        </w:rPr>
        <w:t xml:space="preserve">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140.</w:t>
      </w:r>
    </w:p>
    <w:p w14:paraId="2239842A" w14:textId="77777777" w:rsidR="00FA06B2" w:rsidRPr="00A155FA" w:rsidRDefault="00FA06B2" w:rsidP="005229E5">
      <w:pPr>
        <w:pStyle w:val="ListParagraph"/>
        <w:numPr>
          <w:ilvl w:val="0"/>
          <w:numId w:val="42"/>
        </w:numPr>
        <w:tabs>
          <w:tab w:val="left" w:pos="1260"/>
        </w:tabs>
        <w:rPr>
          <w:rFonts w:ascii="Times New Roman" w:hAnsi="Times New Roman" w:cs="Times New Roman"/>
          <w:b/>
          <w:bCs/>
          <w:i/>
          <w:iCs/>
        </w:rPr>
      </w:pPr>
      <w:r w:rsidRPr="00A155FA">
        <w:rPr>
          <w:rFonts w:ascii="Times New Roman" w:hAnsi="Times New Roman" w:cs="Times New Roman"/>
          <w:b/>
          <w:bCs/>
        </w:rPr>
        <w:t>347 (interclavicle):</w:t>
      </w:r>
      <w:r w:rsidRPr="00A155FA">
        <w:rPr>
          <w:rFonts w:ascii="Times New Roman" w:hAnsi="Times New Roman" w:cs="Times New Roman"/>
          <w:b/>
          <w:bCs/>
          <w:i/>
          <w:iCs/>
        </w:rPr>
        <w:t xml:space="preserve">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174.</w:t>
      </w:r>
    </w:p>
    <w:p w14:paraId="13900AB7" w14:textId="77777777" w:rsidR="00FA06B2" w:rsidRPr="00A155FA" w:rsidRDefault="00FA06B2" w:rsidP="005229E5">
      <w:pPr>
        <w:pStyle w:val="ListParagraph"/>
        <w:numPr>
          <w:ilvl w:val="0"/>
          <w:numId w:val="42"/>
        </w:numPr>
        <w:tabs>
          <w:tab w:val="left" w:pos="1260"/>
        </w:tabs>
        <w:rPr>
          <w:rFonts w:ascii="Times New Roman" w:hAnsi="Times New Roman" w:cs="Times New Roman"/>
          <w:b/>
          <w:bCs/>
          <w:i/>
          <w:iCs/>
        </w:rPr>
      </w:pPr>
      <w:r w:rsidRPr="00A155FA">
        <w:rPr>
          <w:rFonts w:ascii="Times New Roman" w:hAnsi="Times New Roman" w:cs="Times New Roman"/>
          <w:b/>
          <w:bCs/>
        </w:rPr>
        <w:t>348 (cleithrum):</w:t>
      </w:r>
      <w:r w:rsidRPr="00A155FA">
        <w:rPr>
          <w:rFonts w:ascii="Times New Roman" w:hAnsi="Times New Roman" w:cs="Times New Roman"/>
          <w:b/>
          <w:bCs/>
          <w:i/>
          <w:iCs/>
        </w:rPr>
        <w:t xml:space="preserve">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174.</w:t>
      </w:r>
    </w:p>
    <w:p w14:paraId="17F7BE96" w14:textId="77777777" w:rsidR="00FA06B2" w:rsidRPr="00A155FA" w:rsidRDefault="00FA06B2" w:rsidP="005229E5">
      <w:pPr>
        <w:pStyle w:val="ListParagraph"/>
        <w:numPr>
          <w:ilvl w:val="0"/>
          <w:numId w:val="42"/>
        </w:numPr>
        <w:tabs>
          <w:tab w:val="left" w:pos="1260"/>
        </w:tabs>
        <w:rPr>
          <w:rFonts w:ascii="Times New Roman" w:hAnsi="Times New Roman" w:cs="Times New Roman"/>
          <w:b/>
          <w:bCs/>
          <w:i/>
          <w:iCs/>
        </w:rPr>
      </w:pPr>
      <w:r w:rsidRPr="00A155FA">
        <w:rPr>
          <w:rFonts w:ascii="Times New Roman" w:hAnsi="Times New Roman" w:cs="Times New Roman"/>
          <w:b/>
          <w:bCs/>
        </w:rPr>
        <w:t>350 (premaxilla):</w:t>
      </w:r>
      <w:r w:rsidRPr="00A155FA">
        <w:rPr>
          <w:rFonts w:ascii="Times New Roman" w:hAnsi="Times New Roman" w:cs="Times New Roman"/>
          <w:b/>
          <w:bCs/>
          <w:i/>
          <w:iCs/>
        </w:rPr>
        <w:t xml:space="preserve">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10.</w:t>
      </w:r>
    </w:p>
    <w:p w14:paraId="16574B80"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r w:rsidRPr="00A155FA">
        <w:rPr>
          <w:rFonts w:ascii="Times New Roman" w:hAnsi="Times New Roman" w:cs="Times New Roman"/>
          <w:b/>
          <w:bCs/>
          <w:i/>
          <w:iCs/>
        </w:rPr>
        <w:t>Plagiosuchus pustuliferus</w:t>
      </w:r>
      <w:r w:rsidRPr="00A155FA">
        <w:rPr>
          <w:rFonts w:ascii="Times New Roman" w:hAnsi="Times New Roman" w:cs="Times New Roman"/>
          <w:b/>
          <w:bCs/>
          <w:i/>
          <w:iCs/>
        </w:rPr>
        <w:tab/>
      </w:r>
    </w:p>
    <w:p w14:paraId="2DF81A29" w14:textId="77777777" w:rsidR="00FA06B2" w:rsidRPr="00A155FA" w:rsidRDefault="00FA06B2" w:rsidP="005229E5">
      <w:pPr>
        <w:pStyle w:val="ListParagraph"/>
        <w:numPr>
          <w:ilvl w:val="0"/>
          <w:numId w:val="43"/>
        </w:numPr>
        <w:tabs>
          <w:tab w:val="left" w:pos="1260"/>
        </w:tabs>
        <w:rPr>
          <w:rFonts w:ascii="Times New Roman" w:hAnsi="Times New Roman" w:cs="Times New Roman"/>
        </w:rPr>
      </w:pPr>
      <w:r w:rsidRPr="00A155FA">
        <w:rPr>
          <w:rFonts w:ascii="Times New Roman" w:hAnsi="Times New Roman" w:cs="Times New Roman"/>
          <w:b/>
          <w:bCs/>
        </w:rPr>
        <w:t xml:space="preserve">88 (ectopterygoid fangs):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0. Damiani et al. (2009:359) identified two large tooth sockets at the anterior end of the ectopterygoid that they interpreted as fangs; these are substantially larger than either teeth posterior or marginal teeth. </w:t>
      </w:r>
    </w:p>
    <w:p w14:paraId="22105443" w14:textId="77777777" w:rsidR="00FA06B2" w:rsidRPr="00A155FA" w:rsidRDefault="00FA06B2" w:rsidP="005229E5">
      <w:pPr>
        <w:pStyle w:val="ListParagraph"/>
        <w:numPr>
          <w:ilvl w:val="0"/>
          <w:numId w:val="43"/>
        </w:numPr>
        <w:tabs>
          <w:tab w:val="left" w:pos="1260"/>
        </w:tabs>
        <w:rPr>
          <w:rFonts w:ascii="Times New Roman" w:hAnsi="Times New Roman" w:cs="Times New Roman"/>
        </w:rPr>
      </w:pPr>
      <w:r w:rsidRPr="00A155FA">
        <w:rPr>
          <w:rFonts w:ascii="Times New Roman" w:hAnsi="Times New Roman" w:cs="Times New Roman"/>
          <w:b/>
          <w:bCs/>
        </w:rPr>
        <w:t xml:space="preserve">147 (posterior coronoid teeth):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There is no mention of any coronoid teeth, nor do any appear on figures or reconstructions by Damiani et al. (2009:figs. 6–7).</w:t>
      </w:r>
    </w:p>
    <w:p w14:paraId="677D5F1C" w14:textId="77777777" w:rsidR="00FA06B2" w:rsidRPr="00A155FA" w:rsidRDefault="00FA06B2" w:rsidP="005229E5">
      <w:pPr>
        <w:pStyle w:val="ListParagraph"/>
        <w:numPr>
          <w:ilvl w:val="0"/>
          <w:numId w:val="43"/>
        </w:numPr>
        <w:tabs>
          <w:tab w:val="left" w:pos="1260"/>
        </w:tabs>
        <w:rPr>
          <w:rFonts w:ascii="Times New Roman" w:hAnsi="Times New Roman" w:cs="Times New Roman"/>
        </w:rPr>
      </w:pPr>
      <w:r w:rsidRPr="00A155FA">
        <w:rPr>
          <w:rFonts w:ascii="Times New Roman" w:hAnsi="Times New Roman" w:cs="Times New Roman"/>
          <w:b/>
          <w:bCs/>
        </w:rPr>
        <w:t xml:space="preserve">148 (anterior, middle coronoid teeth):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 There is only one coronoid, which Damiani et al. (2009:351,364) interpreted as the posterior coronoid. Therefore, this character is inapplicable.</w:t>
      </w:r>
    </w:p>
    <w:p w14:paraId="4FB6AE08" w14:textId="77777777" w:rsidR="00FA06B2" w:rsidRPr="00A155FA" w:rsidRDefault="00FA06B2" w:rsidP="005229E5">
      <w:pPr>
        <w:pStyle w:val="ListParagraph"/>
        <w:numPr>
          <w:ilvl w:val="0"/>
          <w:numId w:val="43"/>
        </w:numPr>
        <w:tabs>
          <w:tab w:val="left" w:pos="1260"/>
        </w:tabs>
        <w:rPr>
          <w:rFonts w:ascii="Times New Roman" w:hAnsi="Times New Roman" w:cs="Times New Roman"/>
        </w:rPr>
      </w:pPr>
      <w:r w:rsidRPr="00A155FA">
        <w:rPr>
          <w:rFonts w:ascii="Times New Roman" w:hAnsi="Times New Roman" w:cs="Times New Roman"/>
          <w:b/>
          <w:bCs/>
        </w:rPr>
        <w:t>209 (osteoderms):</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2. The osteoderms cover the entire body (Hellrung, 2003; Witzmann &amp; Soler-Gijón, 2010).</w:t>
      </w:r>
    </w:p>
    <w:p w14:paraId="2E3F4239" w14:textId="77777777" w:rsidR="00FA06B2" w:rsidRPr="00A155FA" w:rsidRDefault="00FA06B2" w:rsidP="005229E5">
      <w:pPr>
        <w:pStyle w:val="ListParagraph"/>
        <w:numPr>
          <w:ilvl w:val="0"/>
          <w:numId w:val="43"/>
        </w:numPr>
        <w:tabs>
          <w:tab w:val="left" w:pos="1260"/>
        </w:tabs>
        <w:rPr>
          <w:rFonts w:ascii="Times New Roman" w:hAnsi="Times New Roman" w:cs="Times New Roman"/>
        </w:rPr>
      </w:pPr>
      <w:r w:rsidRPr="00A155FA">
        <w:rPr>
          <w:rFonts w:ascii="Times New Roman" w:hAnsi="Times New Roman" w:cs="Times New Roman"/>
          <w:b/>
          <w:bCs/>
        </w:rPr>
        <w:t xml:space="preserve">219 (lacrimal-naris):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The lacrimal is well-separated from the naris (Damiani et al., 2009:fig. 7).</w:t>
      </w:r>
    </w:p>
    <w:p w14:paraId="4BDC4BF7"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r w:rsidRPr="00A155FA">
        <w:rPr>
          <w:rFonts w:ascii="Times New Roman" w:hAnsi="Times New Roman" w:cs="Times New Roman"/>
          <w:b/>
          <w:bCs/>
          <w:i/>
          <w:iCs/>
        </w:rPr>
        <w:t>Sangaia lavina</w:t>
      </w:r>
    </w:p>
    <w:p w14:paraId="5D5B129A" w14:textId="77777777" w:rsidR="00FA06B2" w:rsidRPr="00A155FA" w:rsidRDefault="00FA06B2" w:rsidP="005229E5">
      <w:pPr>
        <w:pStyle w:val="ListParagraph"/>
        <w:numPr>
          <w:ilvl w:val="0"/>
          <w:numId w:val="44"/>
        </w:numPr>
        <w:tabs>
          <w:tab w:val="left" w:pos="1260"/>
        </w:tabs>
        <w:rPr>
          <w:rFonts w:ascii="Times New Roman" w:hAnsi="Times New Roman" w:cs="Times New Roman"/>
        </w:rPr>
      </w:pPr>
      <w:r w:rsidRPr="00A155FA">
        <w:rPr>
          <w:rFonts w:ascii="Times New Roman" w:hAnsi="Times New Roman" w:cs="Times New Roman"/>
          <w:b/>
          <w:bCs/>
        </w:rPr>
        <w:lastRenderedPageBreak/>
        <w:t xml:space="preserve">10 (premaxilla, alary process):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 The premaxillae are not preserved in either the holotype of referred specimen (Dias-da-Silva et al., 2006:383, fig. 3), and the reconstruction of this element is entirely conjectural.</w:t>
      </w:r>
    </w:p>
    <w:p w14:paraId="09E58FEA" w14:textId="77777777" w:rsidR="00FA06B2" w:rsidRPr="00A155FA" w:rsidRDefault="00FA06B2" w:rsidP="005229E5">
      <w:pPr>
        <w:pStyle w:val="ListParagraph"/>
        <w:numPr>
          <w:ilvl w:val="0"/>
          <w:numId w:val="44"/>
        </w:numPr>
        <w:tabs>
          <w:tab w:val="left" w:pos="1260"/>
        </w:tabs>
        <w:rPr>
          <w:rFonts w:ascii="Times New Roman" w:hAnsi="Times New Roman" w:cs="Times New Roman"/>
        </w:rPr>
      </w:pPr>
      <w:r w:rsidRPr="00A155FA">
        <w:rPr>
          <w:rFonts w:ascii="Times New Roman" w:hAnsi="Times New Roman" w:cs="Times New Roman"/>
          <w:b/>
          <w:bCs/>
        </w:rPr>
        <w:t xml:space="preserve">11 (premaxilla, </w:t>
      </w:r>
      <w:proofErr w:type="spellStart"/>
      <w:r w:rsidRPr="00A155FA">
        <w:rPr>
          <w:rFonts w:ascii="Times New Roman" w:hAnsi="Times New Roman" w:cs="Times New Roman"/>
          <w:b/>
          <w:bCs/>
        </w:rPr>
        <w:t>prenarial</w:t>
      </w:r>
      <w:proofErr w:type="spellEnd"/>
      <w:r w:rsidRPr="00A155FA">
        <w:rPr>
          <w:rFonts w:ascii="Times New Roman" w:hAnsi="Times New Roman" w:cs="Times New Roman"/>
          <w:b/>
          <w:bCs/>
        </w:rPr>
        <w:t xml:space="preserve"> portion):</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10.</w:t>
      </w:r>
    </w:p>
    <w:p w14:paraId="46CEC20C" w14:textId="77777777" w:rsidR="00FA06B2" w:rsidRPr="00A155FA" w:rsidRDefault="00FA06B2" w:rsidP="005229E5">
      <w:pPr>
        <w:pStyle w:val="ListParagraph"/>
        <w:numPr>
          <w:ilvl w:val="0"/>
          <w:numId w:val="44"/>
        </w:numPr>
        <w:tabs>
          <w:tab w:val="left" w:pos="1260"/>
        </w:tabs>
        <w:rPr>
          <w:rFonts w:ascii="Times New Roman" w:hAnsi="Times New Roman" w:cs="Times New Roman"/>
        </w:rPr>
      </w:pPr>
      <w:r w:rsidRPr="00A155FA">
        <w:rPr>
          <w:rFonts w:ascii="Times New Roman" w:hAnsi="Times New Roman" w:cs="Times New Roman"/>
          <w:b/>
          <w:bCs/>
        </w:rPr>
        <w:t>12 (premaxilla, outline):</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10.</w:t>
      </w:r>
    </w:p>
    <w:p w14:paraId="04F72F7D" w14:textId="77777777" w:rsidR="00FA06B2" w:rsidRPr="00A155FA" w:rsidRDefault="00FA06B2" w:rsidP="005229E5">
      <w:pPr>
        <w:pStyle w:val="ListParagraph"/>
        <w:numPr>
          <w:ilvl w:val="0"/>
          <w:numId w:val="44"/>
        </w:numPr>
        <w:tabs>
          <w:tab w:val="left" w:pos="1260"/>
        </w:tabs>
        <w:rPr>
          <w:rFonts w:ascii="Times New Roman" w:hAnsi="Times New Roman" w:cs="Times New Roman"/>
        </w:rPr>
      </w:pPr>
      <w:r w:rsidRPr="00A155FA">
        <w:rPr>
          <w:rFonts w:ascii="Times New Roman" w:hAnsi="Times New Roman" w:cs="Times New Roman"/>
          <w:b/>
          <w:bCs/>
        </w:rPr>
        <w:t>13 (premaxillary foramen):</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10.</w:t>
      </w:r>
    </w:p>
    <w:p w14:paraId="13CBDD9D" w14:textId="77777777" w:rsidR="00FA06B2" w:rsidRPr="00A155FA" w:rsidRDefault="00FA06B2" w:rsidP="005229E5">
      <w:pPr>
        <w:pStyle w:val="ListParagraph"/>
        <w:numPr>
          <w:ilvl w:val="0"/>
          <w:numId w:val="44"/>
        </w:numPr>
        <w:tabs>
          <w:tab w:val="left" w:pos="1260"/>
        </w:tabs>
        <w:rPr>
          <w:rFonts w:ascii="Times New Roman" w:hAnsi="Times New Roman" w:cs="Times New Roman"/>
        </w:rPr>
      </w:pPr>
      <w:r w:rsidRPr="00A155FA">
        <w:rPr>
          <w:rFonts w:ascii="Times New Roman" w:hAnsi="Times New Roman" w:cs="Times New Roman"/>
          <w:b/>
          <w:bCs/>
        </w:rPr>
        <w:t xml:space="preserve">58 (jugal, anterior extent):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The jugal extends anterior to the orbit (Dias-da-Silva et al., 2006:384, figs. 3, 6).</w:t>
      </w:r>
    </w:p>
    <w:p w14:paraId="0F019DF7" w14:textId="77777777" w:rsidR="00FA06B2" w:rsidRPr="00A155FA" w:rsidRDefault="00FA06B2" w:rsidP="005229E5">
      <w:pPr>
        <w:pStyle w:val="ListParagraph"/>
        <w:numPr>
          <w:ilvl w:val="0"/>
          <w:numId w:val="44"/>
        </w:numPr>
        <w:tabs>
          <w:tab w:val="left" w:pos="1260"/>
        </w:tabs>
        <w:rPr>
          <w:rFonts w:ascii="Times New Roman" w:hAnsi="Times New Roman" w:cs="Times New Roman"/>
        </w:rPr>
      </w:pPr>
      <w:r w:rsidRPr="00A155FA">
        <w:rPr>
          <w:rFonts w:ascii="Times New Roman" w:hAnsi="Times New Roman" w:cs="Times New Roman"/>
          <w:b/>
          <w:bCs/>
        </w:rPr>
        <w:t>65 (tabular horn):</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0. Dias-da-Silva et al. (2006:385) described a tabular horn, noting that it is partially formed by the squamosal. Because the tabular turn sharply posterolaterally as in a “free” tabular horn, we consider it applicable here (as with Dias-da-Silva &amp; Marsicano, 2011).</w:t>
      </w:r>
    </w:p>
    <w:p w14:paraId="78F18921" w14:textId="77777777" w:rsidR="00FA06B2" w:rsidRPr="00A155FA" w:rsidRDefault="00FA06B2" w:rsidP="005229E5">
      <w:pPr>
        <w:pStyle w:val="ListParagraph"/>
        <w:numPr>
          <w:ilvl w:val="0"/>
          <w:numId w:val="44"/>
        </w:numPr>
        <w:tabs>
          <w:tab w:val="left" w:pos="1260"/>
        </w:tabs>
        <w:rPr>
          <w:rFonts w:ascii="Times New Roman" w:hAnsi="Times New Roman" w:cs="Times New Roman"/>
        </w:rPr>
      </w:pPr>
      <w:r w:rsidRPr="00A155FA">
        <w:rPr>
          <w:rFonts w:ascii="Times New Roman" w:hAnsi="Times New Roman" w:cs="Times New Roman"/>
          <w:b/>
          <w:bCs/>
        </w:rPr>
        <w:t>89 (interpterygoid vacuities):</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 Partial preservation of the parasphenoid and pterygoid (Dias-da-Silva et al., 2006:fig. 4) is insufficient to discern the shape of these openings.</w:t>
      </w:r>
    </w:p>
    <w:p w14:paraId="6526BCBC" w14:textId="5AE35697" w:rsidR="00FA06B2" w:rsidRPr="00A155FA" w:rsidRDefault="00FA06B2" w:rsidP="005229E5">
      <w:pPr>
        <w:pStyle w:val="ListParagraph"/>
        <w:numPr>
          <w:ilvl w:val="0"/>
          <w:numId w:val="44"/>
        </w:numPr>
        <w:tabs>
          <w:tab w:val="left" w:pos="1260"/>
        </w:tabs>
        <w:rPr>
          <w:rFonts w:ascii="Times New Roman" w:hAnsi="Times New Roman" w:cs="Times New Roman"/>
        </w:rPr>
      </w:pPr>
      <w:r w:rsidRPr="00A155FA">
        <w:rPr>
          <w:rFonts w:ascii="Times New Roman" w:hAnsi="Times New Roman" w:cs="Times New Roman"/>
          <w:b/>
          <w:bCs/>
        </w:rPr>
        <w:t xml:space="preserve">91 (anterior palatal opening(s)):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 The vomer is not preserved in either specimen (Dias-da-Silva et al., 2006:385). Character 85 (transvomerine teeth) was originally left uncoded. </w:t>
      </w:r>
    </w:p>
    <w:p w14:paraId="1A235AFB" w14:textId="7E27B079" w:rsidR="00FA06B2" w:rsidRPr="00A155FA" w:rsidRDefault="00FA06B2" w:rsidP="005229E5">
      <w:pPr>
        <w:pStyle w:val="ListParagraph"/>
        <w:numPr>
          <w:ilvl w:val="0"/>
          <w:numId w:val="44"/>
        </w:numPr>
        <w:tabs>
          <w:tab w:val="left" w:pos="1260"/>
        </w:tabs>
        <w:rPr>
          <w:rFonts w:ascii="Times New Roman" w:hAnsi="Times New Roman" w:cs="Times New Roman"/>
        </w:rPr>
      </w:pPr>
      <w:r w:rsidRPr="00A155FA">
        <w:rPr>
          <w:rFonts w:ascii="Times New Roman" w:hAnsi="Times New Roman" w:cs="Times New Roman"/>
          <w:b/>
          <w:bCs/>
        </w:rPr>
        <w:t>92 (anterior palatal opening(s)):</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85.</w:t>
      </w:r>
    </w:p>
    <w:p w14:paraId="59660B20" w14:textId="770C0B9B" w:rsidR="00FA06B2" w:rsidRPr="00A155FA" w:rsidRDefault="00FA06B2" w:rsidP="005229E5">
      <w:pPr>
        <w:pStyle w:val="ListParagraph"/>
        <w:numPr>
          <w:ilvl w:val="0"/>
          <w:numId w:val="44"/>
        </w:numPr>
        <w:tabs>
          <w:tab w:val="left" w:pos="1260"/>
        </w:tabs>
        <w:rPr>
          <w:rFonts w:ascii="Times New Roman" w:hAnsi="Times New Roman" w:cs="Times New Roman"/>
        </w:rPr>
      </w:pPr>
      <w:r w:rsidRPr="00A155FA">
        <w:rPr>
          <w:rFonts w:ascii="Times New Roman" w:hAnsi="Times New Roman" w:cs="Times New Roman"/>
          <w:b/>
          <w:bCs/>
        </w:rPr>
        <w:t>93 (vomer):</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 As with character 85.</w:t>
      </w:r>
    </w:p>
    <w:p w14:paraId="3AC5B074" w14:textId="72E2C15B" w:rsidR="00FA06B2" w:rsidRPr="00A155FA" w:rsidRDefault="00FA06B2" w:rsidP="005229E5">
      <w:pPr>
        <w:pStyle w:val="ListParagraph"/>
        <w:numPr>
          <w:ilvl w:val="0"/>
          <w:numId w:val="44"/>
        </w:numPr>
        <w:tabs>
          <w:tab w:val="left" w:pos="1260"/>
        </w:tabs>
        <w:rPr>
          <w:rFonts w:ascii="Times New Roman" w:hAnsi="Times New Roman" w:cs="Times New Roman"/>
        </w:rPr>
      </w:pPr>
      <w:r w:rsidRPr="00A155FA">
        <w:rPr>
          <w:rFonts w:ascii="Times New Roman" w:hAnsi="Times New Roman" w:cs="Times New Roman"/>
          <w:b/>
          <w:bCs/>
        </w:rPr>
        <w:t>94 (vomer, paired anterior depressions):</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85.</w:t>
      </w:r>
    </w:p>
    <w:p w14:paraId="4D0F2636" w14:textId="3C6FB450" w:rsidR="00FA06B2" w:rsidRPr="00A155FA" w:rsidRDefault="00FA06B2" w:rsidP="005229E5">
      <w:pPr>
        <w:pStyle w:val="ListParagraph"/>
        <w:numPr>
          <w:ilvl w:val="0"/>
          <w:numId w:val="44"/>
        </w:numPr>
        <w:tabs>
          <w:tab w:val="left" w:pos="1260"/>
        </w:tabs>
        <w:rPr>
          <w:rFonts w:ascii="Times New Roman" w:hAnsi="Times New Roman" w:cs="Times New Roman"/>
        </w:rPr>
      </w:pPr>
      <w:r w:rsidRPr="00A155FA">
        <w:rPr>
          <w:rFonts w:ascii="Times New Roman" w:hAnsi="Times New Roman" w:cs="Times New Roman"/>
          <w:b/>
          <w:bCs/>
        </w:rPr>
        <w:t>95 (anterior palatal depression):</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85.</w:t>
      </w:r>
    </w:p>
    <w:p w14:paraId="5939B7D0" w14:textId="5FED197C" w:rsidR="00FA06B2" w:rsidRPr="00A155FA" w:rsidRDefault="00FA06B2" w:rsidP="005229E5">
      <w:pPr>
        <w:pStyle w:val="ListParagraph"/>
        <w:numPr>
          <w:ilvl w:val="0"/>
          <w:numId w:val="44"/>
        </w:numPr>
        <w:tabs>
          <w:tab w:val="left" w:pos="1260"/>
        </w:tabs>
        <w:rPr>
          <w:rFonts w:ascii="Times New Roman" w:hAnsi="Times New Roman" w:cs="Times New Roman"/>
        </w:rPr>
      </w:pPr>
      <w:r w:rsidRPr="00A155FA">
        <w:rPr>
          <w:rFonts w:ascii="Times New Roman" w:hAnsi="Times New Roman" w:cs="Times New Roman"/>
          <w:b/>
          <w:bCs/>
        </w:rPr>
        <w:t xml:space="preserve">96 (vomerine ridges):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85.</w:t>
      </w:r>
    </w:p>
    <w:p w14:paraId="164D8A5F" w14:textId="00301B8D" w:rsidR="00FA06B2" w:rsidRPr="00A155FA" w:rsidRDefault="00FA06B2" w:rsidP="005229E5">
      <w:pPr>
        <w:pStyle w:val="ListParagraph"/>
        <w:numPr>
          <w:ilvl w:val="0"/>
          <w:numId w:val="44"/>
        </w:numPr>
        <w:tabs>
          <w:tab w:val="left" w:pos="1260"/>
        </w:tabs>
        <w:rPr>
          <w:rFonts w:ascii="Times New Roman" w:hAnsi="Times New Roman" w:cs="Times New Roman"/>
        </w:rPr>
      </w:pPr>
      <w:r w:rsidRPr="00A155FA">
        <w:rPr>
          <w:rFonts w:ascii="Times New Roman" w:hAnsi="Times New Roman" w:cs="Times New Roman"/>
          <w:b/>
          <w:bCs/>
        </w:rPr>
        <w:t xml:space="preserve">97 (vomerine pit and fontanelle):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85.</w:t>
      </w:r>
    </w:p>
    <w:p w14:paraId="37C20FE4" w14:textId="0EB347F0" w:rsidR="00FA06B2" w:rsidRPr="00A155FA" w:rsidRDefault="00FA06B2" w:rsidP="005229E5">
      <w:pPr>
        <w:pStyle w:val="ListParagraph"/>
        <w:numPr>
          <w:ilvl w:val="0"/>
          <w:numId w:val="44"/>
        </w:numPr>
        <w:tabs>
          <w:tab w:val="left" w:pos="1260"/>
        </w:tabs>
        <w:rPr>
          <w:rFonts w:ascii="Times New Roman" w:hAnsi="Times New Roman" w:cs="Times New Roman"/>
        </w:rPr>
      </w:pPr>
      <w:r w:rsidRPr="00A155FA">
        <w:rPr>
          <w:rFonts w:ascii="Times New Roman" w:hAnsi="Times New Roman" w:cs="Times New Roman"/>
          <w:b/>
          <w:bCs/>
        </w:rPr>
        <w:t xml:space="preserve">98 (vomerine septum):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85.</w:t>
      </w:r>
    </w:p>
    <w:p w14:paraId="2AE86C34" w14:textId="77777777" w:rsidR="00FA06B2" w:rsidRPr="00A155FA" w:rsidRDefault="00FA06B2" w:rsidP="005229E5">
      <w:pPr>
        <w:pStyle w:val="ListParagraph"/>
        <w:numPr>
          <w:ilvl w:val="0"/>
          <w:numId w:val="44"/>
        </w:numPr>
        <w:tabs>
          <w:tab w:val="left" w:pos="1260"/>
        </w:tabs>
        <w:rPr>
          <w:rFonts w:ascii="Times New Roman" w:hAnsi="Times New Roman" w:cs="Times New Roman"/>
        </w:rPr>
      </w:pPr>
      <w:r w:rsidRPr="00A155FA">
        <w:rPr>
          <w:rFonts w:ascii="Times New Roman" w:hAnsi="Times New Roman" w:cs="Times New Roman"/>
          <w:b/>
          <w:bCs/>
        </w:rPr>
        <w:t>99 (choana, lateral):</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The choana is not preserved.</w:t>
      </w:r>
    </w:p>
    <w:p w14:paraId="318BE095" w14:textId="77777777" w:rsidR="00FA06B2" w:rsidRPr="00A155FA" w:rsidRDefault="00FA06B2" w:rsidP="005229E5">
      <w:pPr>
        <w:pStyle w:val="ListParagraph"/>
        <w:numPr>
          <w:ilvl w:val="0"/>
          <w:numId w:val="44"/>
        </w:numPr>
        <w:tabs>
          <w:tab w:val="left" w:pos="1260"/>
        </w:tabs>
        <w:rPr>
          <w:rFonts w:ascii="Times New Roman" w:hAnsi="Times New Roman" w:cs="Times New Roman"/>
        </w:rPr>
      </w:pPr>
      <w:r w:rsidRPr="00A155FA">
        <w:rPr>
          <w:rFonts w:ascii="Times New Roman" w:hAnsi="Times New Roman" w:cs="Times New Roman"/>
          <w:b/>
          <w:bCs/>
        </w:rPr>
        <w:t xml:space="preserve">100 (choana, medial):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99.</w:t>
      </w:r>
    </w:p>
    <w:p w14:paraId="5E3377DD" w14:textId="77777777" w:rsidR="00FA06B2" w:rsidRPr="00A155FA" w:rsidRDefault="00FA06B2" w:rsidP="005229E5">
      <w:pPr>
        <w:pStyle w:val="ListParagraph"/>
        <w:numPr>
          <w:ilvl w:val="0"/>
          <w:numId w:val="44"/>
        </w:numPr>
        <w:tabs>
          <w:tab w:val="left" w:pos="1260"/>
        </w:tabs>
        <w:rPr>
          <w:rFonts w:ascii="Times New Roman" w:hAnsi="Times New Roman" w:cs="Times New Roman"/>
        </w:rPr>
      </w:pPr>
      <w:r w:rsidRPr="00A155FA">
        <w:rPr>
          <w:rFonts w:ascii="Times New Roman" w:hAnsi="Times New Roman" w:cs="Times New Roman"/>
          <w:b/>
          <w:bCs/>
        </w:rPr>
        <w:t xml:space="preserve">101 (choana, width):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99.</w:t>
      </w:r>
    </w:p>
    <w:p w14:paraId="778A3AEA" w14:textId="565C4D18" w:rsidR="00FA06B2" w:rsidRPr="00A155FA" w:rsidRDefault="00FA06B2" w:rsidP="005229E5">
      <w:pPr>
        <w:pStyle w:val="ListParagraph"/>
        <w:numPr>
          <w:ilvl w:val="0"/>
          <w:numId w:val="44"/>
        </w:numPr>
        <w:tabs>
          <w:tab w:val="left" w:pos="1260"/>
        </w:tabs>
        <w:rPr>
          <w:rFonts w:ascii="Times New Roman" w:hAnsi="Times New Roman" w:cs="Times New Roman"/>
        </w:rPr>
      </w:pPr>
      <w:r w:rsidRPr="00A155FA">
        <w:rPr>
          <w:rFonts w:ascii="Times New Roman" w:hAnsi="Times New Roman" w:cs="Times New Roman"/>
          <w:b/>
          <w:bCs/>
        </w:rPr>
        <w:t xml:space="preserve">102 (vomer-pterygoid):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 As with character 85.</w:t>
      </w:r>
    </w:p>
    <w:p w14:paraId="0D0316DA" w14:textId="66F0147F" w:rsidR="00FA06B2" w:rsidRPr="00A155FA" w:rsidRDefault="00FA06B2" w:rsidP="005229E5">
      <w:pPr>
        <w:pStyle w:val="ListParagraph"/>
        <w:numPr>
          <w:ilvl w:val="0"/>
          <w:numId w:val="44"/>
        </w:numPr>
        <w:tabs>
          <w:tab w:val="left" w:pos="1260"/>
        </w:tabs>
        <w:rPr>
          <w:rFonts w:ascii="Times New Roman" w:hAnsi="Times New Roman" w:cs="Times New Roman"/>
        </w:rPr>
      </w:pPr>
      <w:r w:rsidRPr="00A155FA">
        <w:rPr>
          <w:rFonts w:ascii="Times New Roman" w:hAnsi="Times New Roman" w:cs="Times New Roman"/>
          <w:b/>
          <w:bCs/>
        </w:rPr>
        <w:t>103 (vomer, anterior part):</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85.</w:t>
      </w:r>
    </w:p>
    <w:p w14:paraId="4A9055C7" w14:textId="4AC05FC2" w:rsidR="00FA06B2" w:rsidRPr="00A155FA" w:rsidRDefault="00FA06B2" w:rsidP="005229E5">
      <w:pPr>
        <w:pStyle w:val="ListParagraph"/>
        <w:numPr>
          <w:ilvl w:val="0"/>
          <w:numId w:val="44"/>
        </w:numPr>
        <w:tabs>
          <w:tab w:val="left" w:pos="1260"/>
        </w:tabs>
        <w:rPr>
          <w:rFonts w:ascii="Times New Roman" w:hAnsi="Times New Roman" w:cs="Times New Roman"/>
        </w:rPr>
      </w:pPr>
      <w:r w:rsidRPr="00A155FA">
        <w:rPr>
          <w:rFonts w:ascii="Times New Roman" w:hAnsi="Times New Roman" w:cs="Times New Roman"/>
          <w:b/>
          <w:bCs/>
        </w:rPr>
        <w:t>104 (vomer, extension):</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85.</w:t>
      </w:r>
    </w:p>
    <w:p w14:paraId="1E37900E" w14:textId="77777777" w:rsidR="00FA06B2" w:rsidRPr="00A155FA" w:rsidRDefault="00FA06B2" w:rsidP="005229E5">
      <w:pPr>
        <w:pStyle w:val="ListParagraph"/>
        <w:numPr>
          <w:ilvl w:val="0"/>
          <w:numId w:val="44"/>
        </w:numPr>
        <w:tabs>
          <w:tab w:val="left" w:pos="1260"/>
        </w:tabs>
        <w:rPr>
          <w:rFonts w:ascii="Times New Roman" w:hAnsi="Times New Roman" w:cs="Times New Roman"/>
        </w:rPr>
      </w:pPr>
      <w:r w:rsidRPr="00A155FA">
        <w:rPr>
          <w:rFonts w:ascii="Times New Roman" w:hAnsi="Times New Roman" w:cs="Times New Roman"/>
          <w:b/>
          <w:bCs/>
        </w:rPr>
        <w:t>109 (basicranium (carotids)):</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 There is no mention of the carotid foramina or any other foramina on the parasphenoid (Dias-da-Silva et al., 2006:385, fig. 4B).</w:t>
      </w:r>
    </w:p>
    <w:p w14:paraId="549E3DFB" w14:textId="77777777" w:rsidR="00FA06B2" w:rsidRPr="00A155FA" w:rsidRDefault="00FA06B2" w:rsidP="005229E5">
      <w:pPr>
        <w:pStyle w:val="ListParagraph"/>
        <w:numPr>
          <w:ilvl w:val="0"/>
          <w:numId w:val="44"/>
        </w:numPr>
        <w:tabs>
          <w:tab w:val="left" w:pos="1260"/>
        </w:tabs>
        <w:rPr>
          <w:rFonts w:ascii="Times New Roman" w:hAnsi="Times New Roman" w:cs="Times New Roman"/>
        </w:rPr>
      </w:pPr>
      <w:r w:rsidRPr="00A155FA">
        <w:rPr>
          <w:rFonts w:ascii="Times New Roman" w:hAnsi="Times New Roman" w:cs="Times New Roman"/>
          <w:b/>
          <w:bCs/>
        </w:rPr>
        <w:t>112 (cultriform process, width):</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 The cultriform process is not preserved (Dias-da-Silva et al., 2006:385, fig. 4B).</w:t>
      </w:r>
    </w:p>
    <w:p w14:paraId="55BC984E" w14:textId="77777777" w:rsidR="00FA06B2" w:rsidRPr="00A155FA" w:rsidRDefault="00FA06B2" w:rsidP="005229E5">
      <w:pPr>
        <w:pStyle w:val="ListParagraph"/>
        <w:numPr>
          <w:ilvl w:val="0"/>
          <w:numId w:val="44"/>
        </w:numPr>
        <w:tabs>
          <w:tab w:val="left" w:pos="1260"/>
        </w:tabs>
        <w:rPr>
          <w:rFonts w:ascii="Times New Roman" w:hAnsi="Times New Roman" w:cs="Times New Roman"/>
        </w:rPr>
      </w:pPr>
      <w:r w:rsidRPr="00A155FA">
        <w:rPr>
          <w:rFonts w:ascii="Times New Roman" w:hAnsi="Times New Roman" w:cs="Times New Roman"/>
          <w:b/>
          <w:bCs/>
        </w:rPr>
        <w:t>113 (cultriform process, structure):</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112.</w:t>
      </w:r>
    </w:p>
    <w:p w14:paraId="3F2BC52C" w14:textId="77777777" w:rsidR="00FA06B2" w:rsidRPr="00A155FA" w:rsidRDefault="00FA06B2" w:rsidP="005229E5">
      <w:pPr>
        <w:pStyle w:val="ListParagraph"/>
        <w:numPr>
          <w:ilvl w:val="0"/>
          <w:numId w:val="44"/>
        </w:numPr>
        <w:tabs>
          <w:tab w:val="left" w:pos="1260"/>
        </w:tabs>
        <w:rPr>
          <w:rFonts w:ascii="Times New Roman" w:hAnsi="Times New Roman" w:cs="Times New Roman"/>
        </w:rPr>
      </w:pPr>
      <w:r w:rsidRPr="00A155FA">
        <w:rPr>
          <w:rFonts w:ascii="Times New Roman" w:hAnsi="Times New Roman" w:cs="Times New Roman"/>
          <w:b/>
          <w:bCs/>
        </w:rPr>
        <w:t>114 (cultriform process, outline):</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112.</w:t>
      </w:r>
    </w:p>
    <w:p w14:paraId="0D3804DA" w14:textId="77777777" w:rsidR="00FA06B2" w:rsidRPr="00A155FA" w:rsidRDefault="00FA06B2" w:rsidP="005229E5">
      <w:pPr>
        <w:pStyle w:val="ListParagraph"/>
        <w:numPr>
          <w:ilvl w:val="0"/>
          <w:numId w:val="44"/>
        </w:numPr>
        <w:tabs>
          <w:tab w:val="left" w:pos="1260"/>
        </w:tabs>
        <w:rPr>
          <w:rFonts w:ascii="Times New Roman" w:hAnsi="Times New Roman" w:cs="Times New Roman"/>
        </w:rPr>
      </w:pPr>
      <w:r w:rsidRPr="00A155FA">
        <w:rPr>
          <w:rFonts w:ascii="Times New Roman" w:hAnsi="Times New Roman" w:cs="Times New Roman"/>
          <w:b/>
          <w:bCs/>
        </w:rPr>
        <w:t>124 (pterygoid-palatine-ectopterygoid</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Neither the ectopterygoid nor the palatine are exposed, if they are even preserved, so while Dias-da-Silva et al. (2006:385) conjectured that the pterygoid contacted the palatine, this is not documented in any specimen, and it is unclear whether the pterygoid is fully complete anteriorly.</w:t>
      </w:r>
    </w:p>
    <w:p w14:paraId="391EC6D5" w14:textId="77777777" w:rsidR="00FA06B2" w:rsidRPr="00A155FA" w:rsidRDefault="00FA06B2" w:rsidP="005229E5">
      <w:pPr>
        <w:pStyle w:val="ListParagraph"/>
        <w:numPr>
          <w:ilvl w:val="0"/>
          <w:numId w:val="44"/>
        </w:numPr>
        <w:tabs>
          <w:tab w:val="left" w:pos="1260"/>
        </w:tabs>
        <w:rPr>
          <w:rFonts w:ascii="Times New Roman" w:hAnsi="Times New Roman" w:cs="Times New Roman"/>
        </w:rPr>
      </w:pPr>
      <w:r w:rsidRPr="00A155FA">
        <w:rPr>
          <w:rFonts w:ascii="Times New Roman" w:hAnsi="Times New Roman" w:cs="Times New Roman"/>
          <w:b/>
          <w:bCs/>
        </w:rPr>
        <w:t>129 (palatine, ectopterygoid (width)):</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124.</w:t>
      </w:r>
    </w:p>
    <w:p w14:paraId="6CBEB696" w14:textId="77777777" w:rsidR="00FA06B2" w:rsidRPr="00A155FA" w:rsidRDefault="00FA06B2" w:rsidP="005229E5">
      <w:pPr>
        <w:pStyle w:val="ListParagraph"/>
        <w:numPr>
          <w:ilvl w:val="0"/>
          <w:numId w:val="44"/>
        </w:numPr>
        <w:tabs>
          <w:tab w:val="left" w:pos="1260"/>
        </w:tabs>
        <w:rPr>
          <w:rFonts w:ascii="Times New Roman" w:hAnsi="Times New Roman" w:cs="Times New Roman"/>
        </w:rPr>
      </w:pPr>
      <w:r w:rsidRPr="00A155FA">
        <w:rPr>
          <w:rFonts w:ascii="Times New Roman" w:hAnsi="Times New Roman" w:cs="Times New Roman"/>
          <w:b/>
          <w:bCs/>
        </w:rPr>
        <w:t>130 (palatine, ectopterygoid (continuous tooth row)):</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 As with character 124.</w:t>
      </w:r>
    </w:p>
    <w:p w14:paraId="6B6F9732" w14:textId="77777777" w:rsidR="00FA06B2" w:rsidRPr="00A155FA" w:rsidRDefault="00FA06B2" w:rsidP="005229E5">
      <w:pPr>
        <w:pStyle w:val="ListParagraph"/>
        <w:numPr>
          <w:ilvl w:val="0"/>
          <w:numId w:val="44"/>
        </w:numPr>
        <w:tabs>
          <w:tab w:val="left" w:pos="1260"/>
        </w:tabs>
        <w:rPr>
          <w:rFonts w:ascii="Times New Roman" w:hAnsi="Times New Roman" w:cs="Times New Roman"/>
        </w:rPr>
      </w:pPr>
      <w:r w:rsidRPr="00A155FA">
        <w:rPr>
          <w:rFonts w:ascii="Times New Roman" w:hAnsi="Times New Roman" w:cs="Times New Roman"/>
          <w:b/>
          <w:bCs/>
        </w:rPr>
        <w:lastRenderedPageBreak/>
        <w:t>131 (ectopterygoid (length):</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124.</w:t>
      </w:r>
    </w:p>
    <w:p w14:paraId="33083900" w14:textId="77777777" w:rsidR="00FA06B2" w:rsidRPr="00A155FA" w:rsidRDefault="00FA06B2" w:rsidP="005229E5">
      <w:pPr>
        <w:pStyle w:val="ListParagraph"/>
        <w:numPr>
          <w:ilvl w:val="0"/>
          <w:numId w:val="44"/>
        </w:numPr>
        <w:tabs>
          <w:tab w:val="left" w:pos="1260"/>
        </w:tabs>
        <w:rPr>
          <w:rFonts w:ascii="Times New Roman" w:hAnsi="Times New Roman" w:cs="Times New Roman"/>
        </w:rPr>
      </w:pPr>
      <w:r w:rsidRPr="00A155FA">
        <w:rPr>
          <w:rFonts w:ascii="Times New Roman" w:hAnsi="Times New Roman" w:cs="Times New Roman"/>
          <w:b/>
          <w:bCs/>
        </w:rPr>
        <w:t>133 (ectopterygoid (Y-shaped):</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124.</w:t>
      </w:r>
    </w:p>
    <w:p w14:paraId="5D7F74C3" w14:textId="77777777" w:rsidR="00FA06B2" w:rsidRPr="00A155FA" w:rsidRDefault="00FA06B2" w:rsidP="005229E5">
      <w:pPr>
        <w:pStyle w:val="ListParagraph"/>
        <w:numPr>
          <w:ilvl w:val="0"/>
          <w:numId w:val="44"/>
        </w:numPr>
        <w:rPr>
          <w:rFonts w:ascii="Times New Roman" w:hAnsi="Times New Roman" w:cs="Times New Roman"/>
        </w:rPr>
      </w:pPr>
      <w:r w:rsidRPr="00A155FA">
        <w:rPr>
          <w:rFonts w:ascii="Times New Roman" w:hAnsi="Times New Roman" w:cs="Times New Roman"/>
          <w:b/>
          <w:bCs/>
        </w:rPr>
        <w:t>141 (postglenoid area (types):</w:t>
      </w:r>
      <w:r w:rsidRPr="00A155FA">
        <w:rPr>
          <w:rFonts w:ascii="Times New Roman" w:hAnsi="Times New Roman" w:cs="Times New Roman"/>
        </w:rPr>
        <w:t xml:space="preserve"> 0 → ?. There is no lower jaw material, let alone a preserved PGA, as indicated by the lack of coding for character 140 (postglenoid area, presence/absence).</w:t>
      </w:r>
    </w:p>
    <w:p w14:paraId="7DAF4CC7" w14:textId="77777777" w:rsidR="00FA06B2" w:rsidRPr="00A155FA" w:rsidRDefault="00FA06B2" w:rsidP="005229E5">
      <w:pPr>
        <w:pStyle w:val="ListParagraph"/>
        <w:numPr>
          <w:ilvl w:val="0"/>
          <w:numId w:val="44"/>
        </w:numPr>
        <w:rPr>
          <w:rFonts w:ascii="Times New Roman" w:hAnsi="Times New Roman" w:cs="Times New Roman"/>
        </w:rPr>
      </w:pPr>
      <w:r w:rsidRPr="00A155FA">
        <w:rPr>
          <w:rFonts w:ascii="Times New Roman" w:hAnsi="Times New Roman" w:cs="Times New Roman"/>
          <w:b/>
          <w:bCs/>
        </w:rPr>
        <w:t>143 (hamate process):</w:t>
      </w:r>
      <w:r w:rsidRPr="00A155FA">
        <w:rPr>
          <w:rFonts w:ascii="Times New Roman" w:hAnsi="Times New Roman" w:cs="Times New Roman"/>
        </w:rPr>
        <w:t xml:space="preserve"> 0 → ?. As with character 141.</w:t>
      </w:r>
    </w:p>
    <w:p w14:paraId="49217CBB" w14:textId="77777777" w:rsidR="00FA06B2" w:rsidRPr="00A155FA" w:rsidRDefault="00FA06B2" w:rsidP="005229E5">
      <w:pPr>
        <w:pStyle w:val="ListParagraph"/>
        <w:numPr>
          <w:ilvl w:val="0"/>
          <w:numId w:val="44"/>
        </w:numPr>
        <w:rPr>
          <w:rFonts w:ascii="Times New Roman" w:hAnsi="Times New Roman" w:cs="Times New Roman"/>
        </w:rPr>
      </w:pPr>
      <w:r w:rsidRPr="00A155FA">
        <w:rPr>
          <w:rFonts w:ascii="Times New Roman" w:hAnsi="Times New Roman" w:cs="Times New Roman"/>
          <w:b/>
          <w:bCs/>
        </w:rPr>
        <w:t>144 (preglenoid process):</w:t>
      </w:r>
      <w:r w:rsidRPr="00A155FA">
        <w:rPr>
          <w:rFonts w:ascii="Times New Roman" w:hAnsi="Times New Roman" w:cs="Times New Roman"/>
        </w:rPr>
        <w:t xml:space="preserve"> 0 → ?. As with character 141.</w:t>
      </w:r>
    </w:p>
    <w:p w14:paraId="24BAF750" w14:textId="77777777" w:rsidR="00FA06B2" w:rsidRPr="00A155FA" w:rsidRDefault="00FA06B2" w:rsidP="005229E5">
      <w:pPr>
        <w:pStyle w:val="ListParagraph"/>
        <w:numPr>
          <w:ilvl w:val="0"/>
          <w:numId w:val="44"/>
        </w:numPr>
        <w:rPr>
          <w:rFonts w:ascii="Times New Roman" w:hAnsi="Times New Roman" w:cs="Times New Roman"/>
        </w:rPr>
      </w:pPr>
      <w:r w:rsidRPr="00A155FA">
        <w:rPr>
          <w:rFonts w:ascii="Times New Roman" w:hAnsi="Times New Roman" w:cs="Times New Roman"/>
          <w:b/>
          <w:bCs/>
        </w:rPr>
        <w:t xml:space="preserve">145 (Meckelian window): </w:t>
      </w:r>
      <w:r w:rsidRPr="00A155FA">
        <w:rPr>
          <w:rFonts w:ascii="Times New Roman" w:hAnsi="Times New Roman" w:cs="Times New Roman"/>
        </w:rPr>
        <w:t>0 → ?. As with character 141.</w:t>
      </w:r>
    </w:p>
    <w:p w14:paraId="33AE88B0" w14:textId="77777777" w:rsidR="00FA06B2" w:rsidRPr="00A155FA" w:rsidRDefault="00FA06B2" w:rsidP="005229E5">
      <w:pPr>
        <w:pStyle w:val="ListParagraph"/>
        <w:numPr>
          <w:ilvl w:val="0"/>
          <w:numId w:val="44"/>
        </w:numPr>
        <w:rPr>
          <w:rFonts w:ascii="Times New Roman" w:hAnsi="Times New Roman" w:cs="Times New Roman"/>
        </w:rPr>
      </w:pPr>
      <w:r w:rsidRPr="00A155FA">
        <w:rPr>
          <w:rFonts w:ascii="Times New Roman" w:hAnsi="Times New Roman" w:cs="Times New Roman"/>
          <w:b/>
          <w:bCs/>
        </w:rPr>
        <w:t>149 (mandibular osteoderms):</w:t>
      </w:r>
      <w:r w:rsidRPr="00A155FA">
        <w:rPr>
          <w:rFonts w:ascii="Times New Roman" w:hAnsi="Times New Roman" w:cs="Times New Roman"/>
        </w:rPr>
        <w:t xml:space="preserve"> 0 → ?. Based on the definition of 149–1 (between mandible and dermal pectoral girdle), this character cannot be assessed in the absence of both a mandible and the pectoral girdle.</w:t>
      </w:r>
    </w:p>
    <w:p w14:paraId="49BE8C7F" w14:textId="77777777" w:rsidR="00FA06B2" w:rsidRPr="00A155FA" w:rsidRDefault="00FA06B2" w:rsidP="005229E5">
      <w:pPr>
        <w:pStyle w:val="ListParagraph"/>
        <w:numPr>
          <w:ilvl w:val="1"/>
          <w:numId w:val="44"/>
        </w:numPr>
        <w:tabs>
          <w:tab w:val="left" w:pos="1260"/>
        </w:tabs>
        <w:rPr>
          <w:rFonts w:ascii="Times New Roman" w:hAnsi="Times New Roman" w:cs="Times New Roman"/>
        </w:rPr>
      </w:pPr>
      <w:r w:rsidRPr="00A155FA">
        <w:rPr>
          <w:rFonts w:ascii="Times New Roman" w:hAnsi="Times New Roman" w:cs="Times New Roman"/>
          <w:b/>
          <w:bCs/>
        </w:rPr>
        <w:t>167 (parapophysis):</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No postcrania are known for this taxon (Dias-da-Silva et al., 2006), and other postcranial characters were largely uncoded.</w:t>
      </w:r>
    </w:p>
    <w:p w14:paraId="2E20C5B2" w14:textId="77777777" w:rsidR="00FA06B2" w:rsidRPr="00A155FA" w:rsidRDefault="00FA06B2" w:rsidP="005229E5">
      <w:pPr>
        <w:pStyle w:val="ListParagraph"/>
        <w:numPr>
          <w:ilvl w:val="1"/>
          <w:numId w:val="44"/>
        </w:numPr>
        <w:tabs>
          <w:tab w:val="left" w:pos="1260"/>
        </w:tabs>
        <w:rPr>
          <w:rFonts w:ascii="Times New Roman" w:hAnsi="Times New Roman" w:cs="Times New Roman"/>
        </w:rPr>
      </w:pPr>
      <w:r w:rsidRPr="00A155FA">
        <w:rPr>
          <w:rFonts w:ascii="Times New Roman" w:hAnsi="Times New Roman" w:cs="Times New Roman"/>
          <w:b/>
          <w:bCs/>
        </w:rPr>
        <w:t>178 (clavicle, ventral blade):</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167.</w:t>
      </w:r>
    </w:p>
    <w:p w14:paraId="3A4D042C" w14:textId="77777777" w:rsidR="00FA06B2" w:rsidRPr="00A155FA" w:rsidRDefault="00FA06B2" w:rsidP="005229E5">
      <w:pPr>
        <w:pStyle w:val="ListParagraph"/>
        <w:numPr>
          <w:ilvl w:val="1"/>
          <w:numId w:val="44"/>
        </w:numPr>
        <w:tabs>
          <w:tab w:val="left" w:pos="1260"/>
        </w:tabs>
        <w:rPr>
          <w:rFonts w:ascii="Times New Roman" w:hAnsi="Times New Roman" w:cs="Times New Roman"/>
        </w:rPr>
      </w:pPr>
      <w:r w:rsidRPr="00A155FA">
        <w:rPr>
          <w:rFonts w:ascii="Times New Roman" w:hAnsi="Times New Roman" w:cs="Times New Roman"/>
          <w:b/>
          <w:bCs/>
        </w:rPr>
        <w:t xml:space="preserve">197 (manual digit count):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 As with character 167.</w:t>
      </w:r>
    </w:p>
    <w:p w14:paraId="37A5E2E7" w14:textId="77777777" w:rsidR="00FA06B2" w:rsidRPr="00A155FA" w:rsidRDefault="00FA06B2" w:rsidP="005229E5">
      <w:pPr>
        <w:pStyle w:val="ListParagraph"/>
        <w:numPr>
          <w:ilvl w:val="1"/>
          <w:numId w:val="44"/>
        </w:numPr>
        <w:tabs>
          <w:tab w:val="left" w:pos="1260"/>
        </w:tabs>
        <w:rPr>
          <w:rFonts w:ascii="Times New Roman" w:hAnsi="Times New Roman" w:cs="Times New Roman"/>
        </w:rPr>
      </w:pPr>
      <w:r w:rsidRPr="00A155FA">
        <w:rPr>
          <w:rFonts w:ascii="Times New Roman" w:hAnsi="Times New Roman" w:cs="Times New Roman"/>
          <w:b/>
          <w:bCs/>
        </w:rPr>
        <w:t>202 (ilium, tip)</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 As with character 167.</w:t>
      </w:r>
    </w:p>
    <w:p w14:paraId="71FE865D" w14:textId="77777777" w:rsidR="00FA06B2" w:rsidRPr="00A155FA" w:rsidRDefault="00FA06B2" w:rsidP="005229E5">
      <w:pPr>
        <w:pStyle w:val="ListParagraph"/>
        <w:numPr>
          <w:ilvl w:val="1"/>
          <w:numId w:val="44"/>
        </w:numPr>
        <w:tabs>
          <w:tab w:val="left" w:pos="1260"/>
        </w:tabs>
        <w:rPr>
          <w:rFonts w:ascii="Times New Roman" w:hAnsi="Times New Roman" w:cs="Times New Roman"/>
        </w:rPr>
      </w:pPr>
      <w:r w:rsidRPr="00A155FA">
        <w:rPr>
          <w:rFonts w:ascii="Times New Roman" w:hAnsi="Times New Roman" w:cs="Times New Roman"/>
          <w:b/>
          <w:bCs/>
        </w:rPr>
        <w:t xml:space="preserve">208 (squamation):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167.</w:t>
      </w:r>
    </w:p>
    <w:p w14:paraId="4C75A4CE" w14:textId="77777777" w:rsidR="00FA06B2" w:rsidRPr="00A155FA" w:rsidRDefault="00FA06B2" w:rsidP="005229E5">
      <w:pPr>
        <w:pStyle w:val="ListParagraph"/>
        <w:numPr>
          <w:ilvl w:val="1"/>
          <w:numId w:val="44"/>
        </w:numPr>
        <w:tabs>
          <w:tab w:val="left" w:pos="1260"/>
        </w:tabs>
        <w:rPr>
          <w:rFonts w:ascii="Times New Roman" w:hAnsi="Times New Roman" w:cs="Times New Roman"/>
        </w:rPr>
      </w:pPr>
      <w:r w:rsidRPr="00A155FA">
        <w:rPr>
          <w:rFonts w:ascii="Times New Roman" w:hAnsi="Times New Roman" w:cs="Times New Roman"/>
          <w:b/>
          <w:bCs/>
        </w:rPr>
        <w:t>209 (osteoderms)</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167.</w:t>
      </w:r>
    </w:p>
    <w:p w14:paraId="584058F6" w14:textId="77777777" w:rsidR="00FA06B2" w:rsidRPr="00A155FA" w:rsidRDefault="00FA06B2" w:rsidP="005229E5">
      <w:pPr>
        <w:pStyle w:val="ListParagraph"/>
        <w:numPr>
          <w:ilvl w:val="1"/>
          <w:numId w:val="44"/>
        </w:numPr>
        <w:tabs>
          <w:tab w:val="left" w:pos="1260"/>
        </w:tabs>
        <w:rPr>
          <w:rFonts w:ascii="Times New Roman" w:hAnsi="Times New Roman" w:cs="Times New Roman"/>
        </w:rPr>
      </w:pPr>
      <w:r w:rsidRPr="00A155FA">
        <w:rPr>
          <w:rFonts w:ascii="Times New Roman" w:hAnsi="Times New Roman" w:cs="Times New Roman"/>
          <w:b/>
          <w:bCs/>
        </w:rPr>
        <w:t>212 (rib cage)</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167.</w:t>
      </w:r>
    </w:p>
    <w:p w14:paraId="37A1C550" w14:textId="77777777" w:rsidR="00FA06B2" w:rsidRPr="00A155FA" w:rsidRDefault="00FA06B2" w:rsidP="005229E5">
      <w:pPr>
        <w:pStyle w:val="ListParagraph"/>
        <w:numPr>
          <w:ilvl w:val="1"/>
          <w:numId w:val="44"/>
        </w:numPr>
        <w:tabs>
          <w:tab w:val="left" w:pos="1260"/>
        </w:tabs>
        <w:rPr>
          <w:rFonts w:ascii="Times New Roman" w:hAnsi="Times New Roman" w:cs="Times New Roman"/>
        </w:rPr>
      </w:pPr>
      <w:r w:rsidRPr="00A155FA">
        <w:rPr>
          <w:rFonts w:ascii="Times New Roman" w:hAnsi="Times New Roman" w:cs="Times New Roman"/>
          <w:b/>
          <w:bCs/>
        </w:rPr>
        <w:t xml:space="preserve">258 (pterygoids contact anteriorly):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 As with character 124.</w:t>
      </w:r>
    </w:p>
    <w:p w14:paraId="541B4FC6" w14:textId="77777777" w:rsidR="00FA06B2" w:rsidRPr="00A155FA" w:rsidRDefault="00FA06B2" w:rsidP="005229E5">
      <w:pPr>
        <w:pStyle w:val="ListParagraph"/>
        <w:numPr>
          <w:ilvl w:val="1"/>
          <w:numId w:val="44"/>
        </w:numPr>
        <w:tabs>
          <w:tab w:val="left" w:pos="1260"/>
        </w:tabs>
        <w:rPr>
          <w:rFonts w:ascii="Times New Roman" w:hAnsi="Times New Roman" w:cs="Times New Roman"/>
        </w:rPr>
      </w:pPr>
      <w:r w:rsidRPr="00A155FA">
        <w:rPr>
          <w:rFonts w:ascii="Times New Roman" w:hAnsi="Times New Roman" w:cs="Times New Roman"/>
          <w:b/>
          <w:bCs/>
        </w:rPr>
        <w:t>346 (ectopterygoid)</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124.</w:t>
      </w:r>
    </w:p>
    <w:p w14:paraId="36D0443C" w14:textId="77777777" w:rsidR="00FA06B2" w:rsidRPr="00A155FA" w:rsidRDefault="00FA06B2" w:rsidP="005229E5">
      <w:pPr>
        <w:pStyle w:val="ListParagraph"/>
        <w:numPr>
          <w:ilvl w:val="1"/>
          <w:numId w:val="44"/>
        </w:numPr>
        <w:tabs>
          <w:tab w:val="left" w:pos="1260"/>
        </w:tabs>
        <w:rPr>
          <w:rFonts w:ascii="Times New Roman" w:hAnsi="Times New Roman" w:cs="Times New Roman"/>
        </w:rPr>
      </w:pPr>
      <w:r w:rsidRPr="00A155FA">
        <w:rPr>
          <w:rFonts w:ascii="Times New Roman" w:hAnsi="Times New Roman" w:cs="Times New Roman"/>
          <w:b/>
          <w:bCs/>
        </w:rPr>
        <w:t xml:space="preserve">347 (interclavicle):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167.</w:t>
      </w:r>
    </w:p>
    <w:p w14:paraId="6ED67B73" w14:textId="77777777" w:rsidR="00FA06B2" w:rsidRPr="00A155FA" w:rsidRDefault="00FA06B2" w:rsidP="005229E5">
      <w:pPr>
        <w:pStyle w:val="ListParagraph"/>
        <w:numPr>
          <w:ilvl w:val="1"/>
          <w:numId w:val="44"/>
        </w:numPr>
        <w:tabs>
          <w:tab w:val="left" w:pos="1260"/>
        </w:tabs>
        <w:rPr>
          <w:rFonts w:ascii="Times New Roman" w:hAnsi="Times New Roman" w:cs="Times New Roman"/>
        </w:rPr>
      </w:pPr>
      <w:r w:rsidRPr="00A155FA">
        <w:rPr>
          <w:rFonts w:ascii="Times New Roman" w:hAnsi="Times New Roman" w:cs="Times New Roman"/>
          <w:b/>
          <w:bCs/>
        </w:rPr>
        <w:t>348 (cleithrum):</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167.</w:t>
      </w:r>
    </w:p>
    <w:p w14:paraId="354AD9D2" w14:textId="5CEDB6E7" w:rsidR="00FA06B2" w:rsidRPr="00A155FA" w:rsidRDefault="00FA06B2" w:rsidP="005229E5">
      <w:pPr>
        <w:pStyle w:val="ListParagraph"/>
        <w:numPr>
          <w:ilvl w:val="1"/>
          <w:numId w:val="44"/>
        </w:numPr>
        <w:tabs>
          <w:tab w:val="left" w:pos="1260"/>
        </w:tabs>
        <w:rPr>
          <w:rFonts w:ascii="Times New Roman" w:hAnsi="Times New Roman" w:cs="Times New Roman"/>
        </w:rPr>
      </w:pPr>
      <w:r w:rsidRPr="00A155FA">
        <w:rPr>
          <w:rFonts w:ascii="Times New Roman" w:hAnsi="Times New Roman" w:cs="Times New Roman"/>
          <w:b/>
          <w:bCs/>
        </w:rPr>
        <w:t>349 (vomer)</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85.</w:t>
      </w:r>
    </w:p>
    <w:p w14:paraId="13932EA0" w14:textId="77777777" w:rsidR="00FA06B2" w:rsidRPr="00A155FA" w:rsidRDefault="00FA06B2" w:rsidP="005229E5">
      <w:pPr>
        <w:pStyle w:val="ListParagraph"/>
        <w:numPr>
          <w:ilvl w:val="1"/>
          <w:numId w:val="44"/>
        </w:numPr>
        <w:tabs>
          <w:tab w:val="left" w:pos="1260"/>
        </w:tabs>
        <w:rPr>
          <w:rFonts w:ascii="Times New Roman" w:hAnsi="Times New Roman" w:cs="Times New Roman"/>
        </w:rPr>
      </w:pPr>
      <w:r w:rsidRPr="00A155FA">
        <w:rPr>
          <w:rFonts w:ascii="Times New Roman" w:hAnsi="Times New Roman" w:cs="Times New Roman"/>
          <w:b/>
          <w:bCs/>
        </w:rPr>
        <w:t>350 (premaxilla)</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10.</w:t>
      </w:r>
    </w:p>
    <w:p w14:paraId="107061BB" w14:textId="77777777" w:rsidR="00FA06B2" w:rsidRPr="00A155FA" w:rsidRDefault="00FA06B2" w:rsidP="005229E5">
      <w:pPr>
        <w:pStyle w:val="ListParagraph"/>
        <w:numPr>
          <w:ilvl w:val="1"/>
          <w:numId w:val="44"/>
        </w:numPr>
        <w:tabs>
          <w:tab w:val="left" w:pos="1260"/>
        </w:tabs>
        <w:rPr>
          <w:rFonts w:ascii="Times New Roman" w:hAnsi="Times New Roman" w:cs="Times New Roman"/>
        </w:rPr>
      </w:pPr>
      <w:r w:rsidRPr="00A155FA">
        <w:rPr>
          <w:rFonts w:ascii="Times New Roman" w:hAnsi="Times New Roman" w:cs="Times New Roman"/>
          <w:b/>
          <w:bCs/>
        </w:rPr>
        <w:t xml:space="preserve">351 (choanal tooth row):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99.</w:t>
      </w:r>
    </w:p>
    <w:p w14:paraId="4261FFDA" w14:textId="77777777" w:rsidR="00FA06B2" w:rsidRPr="00A155FA" w:rsidRDefault="00FA06B2" w:rsidP="005229E5">
      <w:pPr>
        <w:pStyle w:val="ListParagraph"/>
        <w:numPr>
          <w:ilvl w:val="1"/>
          <w:numId w:val="44"/>
        </w:numPr>
        <w:tabs>
          <w:tab w:val="left" w:pos="1260"/>
        </w:tabs>
        <w:rPr>
          <w:rFonts w:ascii="Times New Roman" w:hAnsi="Times New Roman" w:cs="Times New Roman"/>
        </w:rPr>
      </w:pPr>
      <w:r w:rsidRPr="00A155FA">
        <w:rPr>
          <w:rFonts w:ascii="Times New Roman" w:hAnsi="Times New Roman" w:cs="Times New Roman"/>
          <w:b/>
          <w:bCs/>
        </w:rPr>
        <w:t>355 (palatine, dentition)</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124.</w:t>
      </w:r>
    </w:p>
    <w:p w14:paraId="44A11B85" w14:textId="77777777" w:rsidR="00FA06B2" w:rsidRPr="00A155FA" w:rsidRDefault="00FA06B2" w:rsidP="005229E5">
      <w:pPr>
        <w:pStyle w:val="ListParagraph"/>
        <w:numPr>
          <w:ilvl w:val="1"/>
          <w:numId w:val="44"/>
        </w:numPr>
        <w:tabs>
          <w:tab w:val="left" w:pos="1260"/>
        </w:tabs>
        <w:rPr>
          <w:rFonts w:ascii="Times New Roman" w:hAnsi="Times New Roman" w:cs="Times New Roman"/>
        </w:rPr>
      </w:pPr>
      <w:r w:rsidRPr="00A155FA">
        <w:rPr>
          <w:rFonts w:ascii="Times New Roman" w:hAnsi="Times New Roman" w:cs="Times New Roman"/>
          <w:b/>
          <w:bCs/>
        </w:rPr>
        <w:t>356 (palatine)</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124.</w:t>
      </w:r>
    </w:p>
    <w:p w14:paraId="73A9A889"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r w:rsidRPr="00A155FA">
        <w:rPr>
          <w:rFonts w:ascii="Times New Roman" w:hAnsi="Times New Roman" w:cs="Times New Roman"/>
          <w:b/>
          <w:bCs/>
          <w:i/>
          <w:iCs/>
        </w:rPr>
        <w:t>Gerrothorax pulcherrimus</w:t>
      </w:r>
    </w:p>
    <w:p w14:paraId="4EB38D33" w14:textId="77777777" w:rsidR="00FA06B2" w:rsidRPr="00A155FA" w:rsidRDefault="00FA06B2" w:rsidP="005229E5">
      <w:pPr>
        <w:pStyle w:val="ListParagraph"/>
        <w:numPr>
          <w:ilvl w:val="0"/>
          <w:numId w:val="45"/>
        </w:numPr>
        <w:tabs>
          <w:tab w:val="left" w:pos="1260"/>
        </w:tabs>
        <w:rPr>
          <w:rFonts w:ascii="Times New Roman" w:hAnsi="Times New Roman" w:cs="Times New Roman"/>
        </w:rPr>
      </w:pPr>
      <w:r w:rsidRPr="00A155FA">
        <w:rPr>
          <w:rFonts w:ascii="Times New Roman" w:hAnsi="Times New Roman" w:cs="Times New Roman"/>
          <w:b/>
          <w:bCs/>
        </w:rPr>
        <w:t xml:space="preserve">58 (jugal, anterior extent):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0&amp;1. Schoch &amp; Witzmann (2012:fig. 1) indicated that this condition is variable within a single specimen.</w:t>
      </w:r>
    </w:p>
    <w:p w14:paraId="593CBA10" w14:textId="77777777" w:rsidR="00FA06B2" w:rsidRPr="00A155FA" w:rsidRDefault="00FA06B2" w:rsidP="005229E5">
      <w:pPr>
        <w:pStyle w:val="ListParagraph"/>
        <w:numPr>
          <w:ilvl w:val="0"/>
          <w:numId w:val="45"/>
        </w:numPr>
        <w:tabs>
          <w:tab w:val="left" w:pos="1260"/>
        </w:tabs>
        <w:rPr>
          <w:rFonts w:ascii="Times New Roman" w:hAnsi="Times New Roman" w:cs="Times New Roman"/>
        </w:rPr>
      </w:pPr>
      <w:r w:rsidRPr="00A155FA">
        <w:rPr>
          <w:rFonts w:ascii="Times New Roman" w:hAnsi="Times New Roman" w:cs="Times New Roman"/>
          <w:b/>
          <w:bCs/>
        </w:rPr>
        <w:t xml:space="preserve">87 (parasphenoid, shagreen):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0&amp;1. Schoch &amp; Witzmann (2012:377–378, 382, fig. 4) indicated that this condition is variable.</w:t>
      </w:r>
    </w:p>
    <w:p w14:paraId="09BADE2B" w14:textId="77777777" w:rsidR="00FA06B2" w:rsidRPr="00A155FA" w:rsidRDefault="00FA06B2" w:rsidP="005229E5">
      <w:pPr>
        <w:pStyle w:val="ListParagraph"/>
        <w:numPr>
          <w:ilvl w:val="0"/>
          <w:numId w:val="45"/>
        </w:numPr>
        <w:tabs>
          <w:tab w:val="left" w:pos="1260"/>
        </w:tabs>
        <w:rPr>
          <w:rFonts w:ascii="Times New Roman" w:hAnsi="Times New Roman" w:cs="Times New Roman"/>
        </w:rPr>
      </w:pPr>
      <w:r w:rsidRPr="00A155FA">
        <w:rPr>
          <w:rFonts w:ascii="Times New Roman" w:hAnsi="Times New Roman" w:cs="Times New Roman"/>
          <w:b/>
          <w:bCs/>
        </w:rPr>
        <w:t>146 (symphyseal teeth):</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2. Schoch &amp; Witzmann (2012:378) stated that “the symphyseal region lacks fangs but bears 2–5 tiny teeth posterior to the dental arcade, which recall the situation in some capitosaurs.” They indicated that this tooth row is a continuation of the coronoid dentition, and therefore it is considered to be parallel to the dentary row (state 2).</w:t>
      </w:r>
    </w:p>
    <w:p w14:paraId="60E9CFBE"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r w:rsidRPr="00A155FA">
        <w:rPr>
          <w:rFonts w:ascii="Times New Roman" w:hAnsi="Times New Roman" w:cs="Times New Roman"/>
          <w:b/>
          <w:bCs/>
          <w:i/>
          <w:iCs/>
        </w:rPr>
        <w:t>Edingerella madagascariensis</w:t>
      </w:r>
    </w:p>
    <w:p w14:paraId="420B1DB9" w14:textId="77777777" w:rsidR="00FA06B2" w:rsidRPr="00A155FA" w:rsidRDefault="00FA06B2" w:rsidP="005229E5">
      <w:pPr>
        <w:pStyle w:val="ListParagraph"/>
        <w:numPr>
          <w:ilvl w:val="0"/>
          <w:numId w:val="46"/>
        </w:numPr>
        <w:tabs>
          <w:tab w:val="left" w:pos="1260"/>
        </w:tabs>
        <w:rPr>
          <w:rFonts w:ascii="Times New Roman" w:hAnsi="Times New Roman" w:cs="Times New Roman"/>
          <w:b/>
          <w:bCs/>
        </w:rPr>
      </w:pPr>
      <w:r w:rsidRPr="00A155FA">
        <w:rPr>
          <w:rFonts w:ascii="Times New Roman" w:hAnsi="Times New Roman" w:cs="Times New Roman"/>
          <w:b/>
          <w:bCs/>
        </w:rPr>
        <w:t xml:space="preserve">57 (jugal, ventral exposure):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0. There is no figuring or description of this exposure (Lehman, 1961:fig. 9; Steyer, 2003:fig. 2B; Maganuco et al., 2009:fig. 10).</w:t>
      </w:r>
    </w:p>
    <w:p w14:paraId="3F8027A9" w14:textId="77777777" w:rsidR="00FA06B2" w:rsidRPr="00A155FA" w:rsidRDefault="00FA06B2" w:rsidP="005229E5">
      <w:pPr>
        <w:pStyle w:val="ListParagraph"/>
        <w:numPr>
          <w:ilvl w:val="0"/>
          <w:numId w:val="46"/>
        </w:numPr>
        <w:tabs>
          <w:tab w:val="left" w:pos="1260"/>
        </w:tabs>
        <w:rPr>
          <w:rFonts w:ascii="Times New Roman" w:hAnsi="Times New Roman" w:cs="Times New Roman"/>
          <w:b/>
          <w:bCs/>
        </w:rPr>
      </w:pPr>
      <w:r w:rsidRPr="00A155FA">
        <w:rPr>
          <w:rFonts w:ascii="Times New Roman" w:hAnsi="Times New Roman" w:cs="Times New Roman"/>
          <w:b/>
          <w:bCs/>
        </w:rPr>
        <w:t xml:space="preserve">75 (quadrate and occipital condyles):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0. The occipital condyles terminate well before the posterior face of the quadrate condyles (e.g., Maganuco et al., 2009:figs. 9–10).</w:t>
      </w:r>
    </w:p>
    <w:p w14:paraId="327E55FD" w14:textId="77777777" w:rsidR="00FA06B2" w:rsidRPr="00A155FA" w:rsidRDefault="00FA06B2" w:rsidP="005229E5">
      <w:pPr>
        <w:pStyle w:val="ListParagraph"/>
        <w:numPr>
          <w:ilvl w:val="0"/>
          <w:numId w:val="46"/>
        </w:numPr>
        <w:tabs>
          <w:tab w:val="left" w:pos="1260"/>
        </w:tabs>
        <w:rPr>
          <w:rFonts w:ascii="Times New Roman" w:hAnsi="Times New Roman" w:cs="Times New Roman"/>
          <w:b/>
          <w:bCs/>
        </w:rPr>
      </w:pPr>
      <w:r w:rsidRPr="00A155FA">
        <w:rPr>
          <w:rFonts w:ascii="Times New Roman" w:hAnsi="Times New Roman" w:cs="Times New Roman"/>
          <w:b/>
          <w:bCs/>
        </w:rPr>
        <w:lastRenderedPageBreak/>
        <w:t xml:space="preserve">87 (parasphenoid, shagreen):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Steyer (2003) and Maganuco et al. (2009) both described the surface as “granular,” but the latter expressly noted the absence of denticles. The same feature appears work by in Lehman (1961:fig. 9), but all three of these studies referred to it as an “area aspera.”</w:t>
      </w:r>
    </w:p>
    <w:p w14:paraId="33B58B59" w14:textId="77777777" w:rsidR="00FA06B2" w:rsidRPr="00A155FA" w:rsidRDefault="00FA06B2" w:rsidP="005229E5">
      <w:pPr>
        <w:pStyle w:val="ListParagraph"/>
        <w:numPr>
          <w:ilvl w:val="0"/>
          <w:numId w:val="46"/>
        </w:numPr>
        <w:tabs>
          <w:tab w:val="left" w:pos="1260"/>
        </w:tabs>
        <w:rPr>
          <w:rFonts w:ascii="Times New Roman" w:hAnsi="Times New Roman" w:cs="Times New Roman"/>
          <w:b/>
          <w:bCs/>
        </w:rPr>
      </w:pPr>
      <w:r w:rsidRPr="00A155FA">
        <w:rPr>
          <w:rFonts w:ascii="Times New Roman" w:hAnsi="Times New Roman" w:cs="Times New Roman"/>
          <w:b/>
          <w:bCs/>
        </w:rPr>
        <w:t xml:space="preserve">125 (palatine, ectopterygoid):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0. As shown by Maganuco et al. (2009:fig. 10), the palatine-pterygoid contact is mediated by an anteriorly extensive pterygoid overlapping onto the palatine (which has a transverse suture with the ectopterygoid), not by a posteromedial process of the palatine (as in most other capitosaurs).</w:t>
      </w:r>
    </w:p>
    <w:p w14:paraId="56AFB743" w14:textId="77777777" w:rsidR="00FA06B2" w:rsidRPr="00A155FA" w:rsidRDefault="00FA06B2" w:rsidP="005229E5">
      <w:pPr>
        <w:pStyle w:val="ListParagraph"/>
        <w:numPr>
          <w:ilvl w:val="0"/>
          <w:numId w:val="46"/>
        </w:numPr>
        <w:tabs>
          <w:tab w:val="left" w:pos="1260"/>
        </w:tabs>
        <w:rPr>
          <w:rFonts w:ascii="Times New Roman" w:hAnsi="Times New Roman" w:cs="Times New Roman"/>
        </w:rPr>
      </w:pPr>
      <w:r w:rsidRPr="00A155FA">
        <w:rPr>
          <w:rFonts w:ascii="Times New Roman" w:hAnsi="Times New Roman" w:cs="Times New Roman"/>
          <w:b/>
          <w:bCs/>
        </w:rPr>
        <w:t>145 (Meckelian window):</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0. The size of this opening is proportionately in line with the plesiomorphic condition observed in most non-stereospondyls (e.g., Lehman, 1961:fig. 11) in which state 0 is coded (e.g., </w:t>
      </w:r>
      <w:r w:rsidRPr="00A155FA">
        <w:rPr>
          <w:rFonts w:ascii="Times New Roman" w:hAnsi="Times New Roman" w:cs="Times New Roman"/>
          <w:i/>
          <w:iCs/>
        </w:rPr>
        <w:t>Eryops, Sclerocephalus</w:t>
      </w:r>
      <w:r w:rsidRPr="00A155FA">
        <w:rPr>
          <w:rFonts w:ascii="Times New Roman" w:hAnsi="Times New Roman" w:cs="Times New Roman"/>
        </w:rPr>
        <w:t>).</w:t>
      </w:r>
    </w:p>
    <w:p w14:paraId="2E166EB1" w14:textId="77777777" w:rsidR="00FA06B2" w:rsidRPr="00A155FA" w:rsidRDefault="00FA06B2" w:rsidP="005229E5">
      <w:pPr>
        <w:pStyle w:val="ListParagraph"/>
        <w:numPr>
          <w:ilvl w:val="0"/>
          <w:numId w:val="46"/>
        </w:numPr>
        <w:tabs>
          <w:tab w:val="left" w:pos="1260"/>
        </w:tabs>
        <w:rPr>
          <w:rFonts w:ascii="Times New Roman" w:hAnsi="Times New Roman" w:cs="Times New Roman"/>
          <w:b/>
          <w:bCs/>
        </w:rPr>
      </w:pPr>
      <w:r w:rsidRPr="00A155FA">
        <w:rPr>
          <w:rFonts w:ascii="Times New Roman" w:hAnsi="Times New Roman" w:cs="Times New Roman"/>
          <w:b/>
          <w:bCs/>
        </w:rPr>
        <w:t xml:space="preserve">202 (ilium tip):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 No pelvic material is known for this taxon (Steyer, 2003:545; Maganuco et al., 2009:9), and the four other iliac characters were not coded originally.</w:t>
      </w:r>
    </w:p>
    <w:p w14:paraId="2DA13E9D" w14:textId="77777777" w:rsidR="00FA06B2" w:rsidRPr="007A0A6B" w:rsidRDefault="00FA06B2" w:rsidP="005229E5">
      <w:pPr>
        <w:pStyle w:val="ListParagraph"/>
        <w:numPr>
          <w:ilvl w:val="0"/>
          <w:numId w:val="46"/>
        </w:numPr>
        <w:tabs>
          <w:tab w:val="left" w:pos="1260"/>
        </w:tabs>
        <w:rPr>
          <w:rFonts w:ascii="Times New Roman" w:hAnsi="Times New Roman" w:cs="Times New Roman"/>
          <w:b/>
          <w:bCs/>
        </w:rPr>
      </w:pPr>
      <w:r w:rsidRPr="00A155FA">
        <w:rPr>
          <w:rFonts w:ascii="Times New Roman" w:hAnsi="Times New Roman" w:cs="Times New Roman"/>
          <w:b/>
          <w:bCs/>
        </w:rPr>
        <w:t xml:space="preserve">237 (postparietal, length):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0. The element is nearly a square and more anteriorly extensive than the tabular (Steyer, 2003:figs. 1–2, 6; Maganuco et al., 2009:fig. 6), as with most other stereospondyls. </w:t>
      </w:r>
    </w:p>
    <w:p w14:paraId="1DEBDD5C" w14:textId="77777777" w:rsidR="00FA06B2" w:rsidRPr="007A0A6B" w:rsidRDefault="00FA06B2" w:rsidP="00A30351">
      <w:pPr>
        <w:pStyle w:val="ListParagraph"/>
        <w:numPr>
          <w:ilvl w:val="0"/>
          <w:numId w:val="46"/>
        </w:numPr>
        <w:tabs>
          <w:tab w:val="left" w:pos="1260"/>
        </w:tabs>
        <w:rPr>
          <w:rFonts w:ascii="Times New Roman" w:hAnsi="Times New Roman" w:cs="Times New Roman"/>
          <w:b/>
          <w:bCs/>
        </w:rPr>
      </w:pPr>
      <w:r w:rsidRPr="00A155FA">
        <w:rPr>
          <w:rFonts w:ascii="Times New Roman" w:hAnsi="Times New Roman" w:cs="Times New Roman"/>
          <w:b/>
          <w:bCs/>
        </w:rPr>
        <w:t xml:space="preserve">251 (vomer, denticles):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1. There are no denticles in this taxon per the common usage of ‘denticle’; Maganuco et al. (2009:18) describe a single row of denticles that represent the transvomerine tooth row found in other stereospondyls; one of the other authors of that study (Steyer) has used the term ‘denticle’ for any tooth smaller than the marginal dentition in an earlier study of this taxon (Steyer, 2003).</w:t>
      </w:r>
    </w:p>
    <w:p w14:paraId="7C97E178"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r w:rsidRPr="00A155FA">
        <w:rPr>
          <w:rFonts w:ascii="Times New Roman" w:hAnsi="Times New Roman" w:cs="Times New Roman"/>
          <w:b/>
          <w:bCs/>
          <w:i/>
          <w:iCs/>
        </w:rPr>
        <w:t>Benthosuchus sushkini</w:t>
      </w:r>
    </w:p>
    <w:p w14:paraId="69B1AAA2" w14:textId="7C8AC533" w:rsidR="00FA06B2" w:rsidRPr="00A155FA" w:rsidRDefault="00FA06B2" w:rsidP="005229E5">
      <w:pPr>
        <w:pStyle w:val="ListParagraph"/>
        <w:numPr>
          <w:ilvl w:val="0"/>
          <w:numId w:val="47"/>
        </w:numPr>
        <w:tabs>
          <w:tab w:val="left" w:pos="1260"/>
        </w:tabs>
        <w:rPr>
          <w:rFonts w:ascii="Times New Roman" w:hAnsi="Times New Roman" w:cs="Times New Roman"/>
          <w:b/>
          <w:bCs/>
        </w:rPr>
      </w:pPr>
      <w:r w:rsidRPr="00A155FA">
        <w:rPr>
          <w:rFonts w:ascii="Times New Roman" w:hAnsi="Times New Roman" w:cs="Times New Roman"/>
          <w:b/>
          <w:bCs/>
        </w:rPr>
        <w:t xml:space="preserve">75 (quadrate and occipital condyles):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0. The occipital condyles terminate before the posterior face of the quadrate condyles (Bystrow &amp; Efremov, 1940:figs. 64, 66–67; Damiani, 2001:fig. 11; Schoch, 2008</w:t>
      </w:r>
      <w:r w:rsidR="002639C2">
        <w:rPr>
          <w:rFonts w:ascii="Times New Roman" w:hAnsi="Times New Roman" w:cs="Times New Roman"/>
        </w:rPr>
        <w:t>a</w:t>
      </w:r>
      <w:r w:rsidRPr="00A155FA">
        <w:rPr>
          <w:rFonts w:ascii="Times New Roman" w:hAnsi="Times New Roman" w:cs="Times New Roman"/>
        </w:rPr>
        <w:t>:fig. 5B).</w:t>
      </w:r>
    </w:p>
    <w:p w14:paraId="5FEBF45F" w14:textId="77777777" w:rsidR="00FA06B2" w:rsidRPr="00A155FA" w:rsidRDefault="00FA06B2" w:rsidP="005229E5">
      <w:pPr>
        <w:pStyle w:val="ListParagraph"/>
        <w:numPr>
          <w:ilvl w:val="0"/>
          <w:numId w:val="47"/>
        </w:numPr>
        <w:tabs>
          <w:tab w:val="left" w:pos="1260"/>
        </w:tabs>
        <w:rPr>
          <w:rFonts w:ascii="Times New Roman" w:hAnsi="Times New Roman" w:cs="Times New Roman"/>
        </w:rPr>
      </w:pPr>
      <w:r w:rsidRPr="00A155FA">
        <w:rPr>
          <w:rFonts w:ascii="Times New Roman" w:hAnsi="Times New Roman" w:cs="Times New Roman"/>
          <w:b/>
          <w:bCs/>
        </w:rPr>
        <w:t>145 (Meckelian window):</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0. The size of this opening is proportionately in line with the plesiomorphic condition observed in most non-stereospondyls (e.g., Bystrow &amp; Efremov, 1940:fig. 26; Schoch, 2000:fig. 7B; Damiani, 2001:fig. 12B) in which state 0 is coded (e.g., </w:t>
      </w:r>
      <w:r w:rsidRPr="00A155FA">
        <w:rPr>
          <w:rFonts w:ascii="Times New Roman" w:hAnsi="Times New Roman" w:cs="Times New Roman"/>
          <w:i/>
          <w:iCs/>
        </w:rPr>
        <w:t>Eryops, Sclerocephalus</w:t>
      </w:r>
      <w:r w:rsidRPr="00A155FA">
        <w:rPr>
          <w:rFonts w:ascii="Times New Roman" w:hAnsi="Times New Roman" w:cs="Times New Roman"/>
        </w:rPr>
        <w:t>).</w:t>
      </w:r>
    </w:p>
    <w:p w14:paraId="7A0AD373" w14:textId="77777777" w:rsidR="00FA06B2" w:rsidRPr="00A155FA" w:rsidRDefault="00FA06B2" w:rsidP="005229E5">
      <w:pPr>
        <w:pStyle w:val="ListParagraph"/>
        <w:numPr>
          <w:ilvl w:val="0"/>
          <w:numId w:val="47"/>
        </w:numPr>
        <w:tabs>
          <w:tab w:val="left" w:pos="1260"/>
        </w:tabs>
        <w:rPr>
          <w:rFonts w:ascii="Times New Roman" w:hAnsi="Times New Roman" w:cs="Times New Roman"/>
          <w:b/>
          <w:bCs/>
        </w:rPr>
      </w:pPr>
      <w:r w:rsidRPr="00A155FA">
        <w:rPr>
          <w:rFonts w:ascii="Times New Roman" w:hAnsi="Times New Roman" w:cs="Times New Roman"/>
          <w:b/>
          <w:bCs/>
        </w:rPr>
        <w:t xml:space="preserve">148 (anterior, middle coronoid teeth):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Figures by Bystrow &amp; Efremov (1940:fig. 26), Schoch (2000:fig. 7B), Schoch &amp; Milner (2000:fig. 71), and Damiani (2001:fig. 12) clearly show coronoid dentition is restricted to the posterior coronoid.</w:t>
      </w:r>
    </w:p>
    <w:p w14:paraId="0C5ED50C" w14:textId="77777777" w:rsidR="00FA06B2" w:rsidRPr="00A155FA" w:rsidRDefault="00FA06B2" w:rsidP="00A30351">
      <w:pPr>
        <w:pStyle w:val="ListParagraph"/>
        <w:numPr>
          <w:ilvl w:val="0"/>
          <w:numId w:val="47"/>
        </w:numPr>
        <w:tabs>
          <w:tab w:val="left" w:pos="1260"/>
        </w:tabs>
        <w:rPr>
          <w:rFonts w:ascii="Times New Roman" w:hAnsi="Times New Roman" w:cs="Times New Roman"/>
        </w:rPr>
      </w:pPr>
      <w:r w:rsidRPr="00A155FA">
        <w:rPr>
          <w:rFonts w:ascii="Times New Roman" w:hAnsi="Times New Roman" w:cs="Times New Roman"/>
          <w:b/>
          <w:bCs/>
        </w:rPr>
        <w:t>168 (pleurocentra):</w:t>
      </w:r>
      <w:r w:rsidRPr="00A155FA">
        <w:rPr>
          <w:rFonts w:ascii="Times New Roman" w:hAnsi="Times New Roman" w:cs="Times New Roman"/>
        </w:rPr>
        <w:t xml:space="preserve"> 0 </w:t>
      </w:r>
      <w:r w:rsidRPr="00A155FA">
        <w:rPr>
          <w:rFonts w:ascii="Times New Roman" w:hAnsi="Times New Roman" w:cs="Times New Roman"/>
        </w:rPr>
        <w:sym w:font="Wingdings" w:char="F0E0"/>
      </w:r>
      <w:r w:rsidRPr="00A155FA">
        <w:rPr>
          <w:rFonts w:ascii="Times New Roman" w:hAnsi="Times New Roman" w:cs="Times New Roman"/>
        </w:rPr>
        <w:t xml:space="preserve"> 1. Bystrow &amp; Efremov (1940) did not identify or describe any pleurocentra (contra Romer, 1947, and as with Howie, 1970). Given the large size range and large sample size, the lack of articulated skeletons is not considered prohibitive to recoding this taxon.</w:t>
      </w:r>
    </w:p>
    <w:p w14:paraId="2D1FE0FD" w14:textId="77777777" w:rsidR="00FA06B2" w:rsidRPr="00A155FA" w:rsidRDefault="00FA06B2" w:rsidP="00A30351">
      <w:pPr>
        <w:pStyle w:val="ListParagraph"/>
        <w:numPr>
          <w:ilvl w:val="0"/>
          <w:numId w:val="47"/>
        </w:numPr>
        <w:tabs>
          <w:tab w:val="left" w:pos="1260"/>
        </w:tabs>
        <w:rPr>
          <w:rFonts w:ascii="Times New Roman" w:hAnsi="Times New Roman" w:cs="Times New Roman"/>
        </w:rPr>
      </w:pPr>
      <w:r w:rsidRPr="00A155FA">
        <w:rPr>
          <w:rFonts w:ascii="Times New Roman" w:hAnsi="Times New Roman" w:cs="Times New Roman"/>
          <w:b/>
          <w:bCs/>
        </w:rPr>
        <w:t>169 (pleurocentrum, lateral surface):</w:t>
      </w:r>
      <w:r w:rsidRPr="00A155FA">
        <w:rPr>
          <w:rFonts w:ascii="Times New Roman" w:hAnsi="Times New Roman" w:cs="Times New Roman"/>
        </w:rPr>
        <w:t xml:space="preserve"> 0 </w:t>
      </w:r>
      <w:r w:rsidRPr="00A155FA">
        <w:rPr>
          <w:rFonts w:ascii="Times New Roman" w:hAnsi="Times New Roman" w:cs="Times New Roman"/>
        </w:rPr>
        <w:sym w:font="Wingdings" w:char="F0E0"/>
      </w:r>
      <w:r w:rsidRPr="00A155FA">
        <w:rPr>
          <w:rFonts w:ascii="Times New Roman" w:hAnsi="Times New Roman" w:cs="Times New Roman"/>
        </w:rPr>
        <w:t xml:space="preserve"> -. As with character 168.</w:t>
      </w:r>
    </w:p>
    <w:p w14:paraId="3B070328" w14:textId="77777777" w:rsidR="00FA06B2" w:rsidRPr="00A155FA" w:rsidRDefault="00FA06B2" w:rsidP="00A30351">
      <w:pPr>
        <w:pStyle w:val="ListParagraph"/>
        <w:numPr>
          <w:ilvl w:val="0"/>
          <w:numId w:val="47"/>
        </w:numPr>
        <w:tabs>
          <w:tab w:val="left" w:pos="1260"/>
        </w:tabs>
        <w:rPr>
          <w:rFonts w:ascii="Times New Roman" w:hAnsi="Times New Roman" w:cs="Times New Roman"/>
        </w:rPr>
      </w:pPr>
      <w:r w:rsidRPr="00A155FA">
        <w:rPr>
          <w:rFonts w:ascii="Times New Roman" w:hAnsi="Times New Roman" w:cs="Times New Roman"/>
          <w:b/>
          <w:bCs/>
        </w:rPr>
        <w:t>170 (pleurocentrum, ventral extension):</w:t>
      </w:r>
      <w:r w:rsidRPr="00A155FA">
        <w:rPr>
          <w:rFonts w:ascii="Times New Roman" w:hAnsi="Times New Roman" w:cs="Times New Roman"/>
        </w:rPr>
        <w:t xml:space="preserve"> 0 </w:t>
      </w:r>
      <w:r w:rsidRPr="00A155FA">
        <w:rPr>
          <w:rFonts w:ascii="Times New Roman" w:hAnsi="Times New Roman" w:cs="Times New Roman"/>
        </w:rPr>
        <w:sym w:font="Wingdings" w:char="F0E0"/>
      </w:r>
      <w:r w:rsidRPr="00A155FA">
        <w:rPr>
          <w:rFonts w:ascii="Times New Roman" w:hAnsi="Times New Roman" w:cs="Times New Roman"/>
        </w:rPr>
        <w:t xml:space="preserve"> -. As with character 168.</w:t>
      </w:r>
    </w:p>
    <w:p w14:paraId="1710E6AE" w14:textId="77777777" w:rsidR="00FA06B2" w:rsidRPr="00A155FA" w:rsidRDefault="00FA06B2" w:rsidP="005229E5">
      <w:pPr>
        <w:pStyle w:val="ListParagraph"/>
        <w:numPr>
          <w:ilvl w:val="0"/>
          <w:numId w:val="47"/>
        </w:numPr>
        <w:tabs>
          <w:tab w:val="left" w:pos="1260"/>
        </w:tabs>
        <w:rPr>
          <w:rFonts w:ascii="Times New Roman" w:hAnsi="Times New Roman" w:cs="Times New Roman"/>
          <w:b/>
          <w:bCs/>
        </w:rPr>
      </w:pPr>
      <w:r w:rsidRPr="00A155FA">
        <w:rPr>
          <w:rFonts w:ascii="Times New Roman" w:hAnsi="Times New Roman" w:cs="Times New Roman"/>
          <w:b/>
          <w:bCs/>
        </w:rPr>
        <w:lastRenderedPageBreak/>
        <w:t xml:space="preserve">203 (pubis):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Bystrow &amp; Efremov (1940:66) commented on the absence of an ossified pubis, which was reaffirmed by Romer (1947:209) and Warren &amp; Snell (1991:table 1).</w:t>
      </w:r>
    </w:p>
    <w:p w14:paraId="7E6E702F"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r w:rsidRPr="00A155FA">
        <w:rPr>
          <w:rFonts w:ascii="Times New Roman" w:hAnsi="Times New Roman" w:cs="Times New Roman"/>
          <w:b/>
          <w:bCs/>
          <w:i/>
          <w:iCs/>
        </w:rPr>
        <w:t>Trematosaurus brauni</w:t>
      </w:r>
    </w:p>
    <w:p w14:paraId="6DD2A625" w14:textId="51E76276" w:rsidR="00FA06B2" w:rsidRPr="00A155FA" w:rsidRDefault="00FA06B2" w:rsidP="005229E5">
      <w:pPr>
        <w:pStyle w:val="ListParagraph"/>
        <w:numPr>
          <w:ilvl w:val="0"/>
          <w:numId w:val="48"/>
        </w:numPr>
        <w:tabs>
          <w:tab w:val="left" w:pos="1260"/>
        </w:tabs>
        <w:rPr>
          <w:rFonts w:ascii="Times New Roman" w:hAnsi="Times New Roman" w:cs="Times New Roman"/>
          <w:b/>
          <w:bCs/>
        </w:rPr>
      </w:pPr>
      <w:r w:rsidRPr="00A155FA">
        <w:rPr>
          <w:rFonts w:ascii="Times New Roman" w:hAnsi="Times New Roman" w:cs="Times New Roman"/>
          <w:b/>
          <w:bCs/>
        </w:rPr>
        <w:t xml:space="preserve">31 (frontal, nasal):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0&amp;1. Schoch (2019</w:t>
      </w:r>
      <w:r w:rsidR="00997EF1">
        <w:rPr>
          <w:rFonts w:ascii="Times New Roman" w:hAnsi="Times New Roman" w:cs="Times New Roman"/>
        </w:rPr>
        <w:t>b</w:t>
      </w:r>
      <w:r w:rsidRPr="00A155FA">
        <w:rPr>
          <w:rFonts w:ascii="Times New Roman" w:hAnsi="Times New Roman" w:cs="Times New Roman"/>
        </w:rPr>
        <w:t>:53, fig. 6) noted variability in this feature.</w:t>
      </w:r>
    </w:p>
    <w:p w14:paraId="453CC902" w14:textId="77777777" w:rsidR="00FA06B2" w:rsidRPr="00A155FA" w:rsidRDefault="00FA06B2" w:rsidP="005229E5">
      <w:pPr>
        <w:pStyle w:val="ListParagraph"/>
        <w:numPr>
          <w:ilvl w:val="0"/>
          <w:numId w:val="48"/>
        </w:numPr>
        <w:tabs>
          <w:tab w:val="left" w:pos="1260"/>
        </w:tabs>
        <w:rPr>
          <w:rFonts w:ascii="Times New Roman" w:hAnsi="Times New Roman" w:cs="Times New Roman"/>
          <w:b/>
          <w:bCs/>
        </w:rPr>
      </w:pPr>
      <w:r w:rsidRPr="00A155FA">
        <w:rPr>
          <w:rFonts w:ascii="Times New Roman" w:hAnsi="Times New Roman" w:cs="Times New Roman"/>
          <w:b/>
          <w:bCs/>
        </w:rPr>
        <w:t xml:space="preserve">58 (jugal, anterior extent):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0&amp;1. This condition is clearly variable (Schoch, 2019b:figs. 4–5).</w:t>
      </w:r>
    </w:p>
    <w:p w14:paraId="47F83D66" w14:textId="2D98EAE0" w:rsidR="00FA06B2" w:rsidRPr="00A155FA" w:rsidRDefault="00FA06B2" w:rsidP="005229E5">
      <w:pPr>
        <w:pStyle w:val="ListParagraph"/>
        <w:numPr>
          <w:ilvl w:val="0"/>
          <w:numId w:val="48"/>
        </w:numPr>
        <w:tabs>
          <w:tab w:val="left" w:pos="1260"/>
        </w:tabs>
        <w:rPr>
          <w:rFonts w:ascii="Times New Roman" w:hAnsi="Times New Roman" w:cs="Times New Roman"/>
          <w:b/>
          <w:bCs/>
        </w:rPr>
      </w:pPr>
      <w:r w:rsidRPr="00A155FA">
        <w:rPr>
          <w:rFonts w:ascii="Times New Roman" w:hAnsi="Times New Roman" w:cs="Times New Roman"/>
          <w:b/>
          <w:bCs/>
        </w:rPr>
        <w:t xml:space="preserve">137 (exoccipital condyles):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0&amp;1. Schoch (2019</w:t>
      </w:r>
      <w:r w:rsidR="00997EF1">
        <w:rPr>
          <w:rFonts w:ascii="Times New Roman" w:hAnsi="Times New Roman" w:cs="Times New Roman"/>
        </w:rPr>
        <w:t>b</w:t>
      </w:r>
      <w:r w:rsidRPr="00A155FA">
        <w:rPr>
          <w:rFonts w:ascii="Times New Roman" w:hAnsi="Times New Roman" w:cs="Times New Roman"/>
        </w:rPr>
        <w:t>:53, fig. 6) noted variability in this feature.</w:t>
      </w:r>
    </w:p>
    <w:p w14:paraId="19584C92" w14:textId="2DC8F473" w:rsidR="00FA06B2" w:rsidRPr="00A155FA" w:rsidRDefault="00FA06B2" w:rsidP="005229E5">
      <w:pPr>
        <w:pStyle w:val="ListParagraph"/>
        <w:numPr>
          <w:ilvl w:val="0"/>
          <w:numId w:val="48"/>
        </w:numPr>
        <w:tabs>
          <w:tab w:val="left" w:pos="1260"/>
        </w:tabs>
        <w:rPr>
          <w:rFonts w:ascii="Times New Roman" w:hAnsi="Times New Roman" w:cs="Times New Roman"/>
          <w:b/>
          <w:bCs/>
        </w:rPr>
      </w:pPr>
      <w:r w:rsidRPr="00A155FA">
        <w:rPr>
          <w:rFonts w:ascii="Times New Roman" w:hAnsi="Times New Roman" w:cs="Times New Roman"/>
          <w:b/>
          <w:bCs/>
        </w:rPr>
        <w:t xml:space="preserve">147 (posterior coronoid teeth):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There is no mention of coronoid teeth (Schoch, 2019b), and the lingual surface is exceedingly poorly known in this taxon (“the coronoids are not preserved well enough in any specimen as to expose the sutures; Schoch, 2019</w:t>
      </w:r>
      <w:r w:rsidR="00997EF1">
        <w:rPr>
          <w:rFonts w:ascii="Times New Roman" w:hAnsi="Times New Roman" w:cs="Times New Roman"/>
        </w:rPr>
        <w:t>b</w:t>
      </w:r>
      <w:r w:rsidRPr="00A155FA">
        <w:rPr>
          <w:rFonts w:ascii="Times New Roman" w:hAnsi="Times New Roman" w:cs="Times New Roman"/>
        </w:rPr>
        <w:t>:53). Therefore, even if teeth were apparent on some of the inferred coronoid surface, it is unknown which coronoid they are on.</w:t>
      </w:r>
    </w:p>
    <w:p w14:paraId="6B7E40B2" w14:textId="77777777" w:rsidR="00FA06B2" w:rsidRPr="00A155FA" w:rsidRDefault="00FA06B2" w:rsidP="005229E5">
      <w:pPr>
        <w:pStyle w:val="ListParagraph"/>
        <w:numPr>
          <w:ilvl w:val="0"/>
          <w:numId w:val="48"/>
        </w:numPr>
        <w:tabs>
          <w:tab w:val="left" w:pos="1260"/>
        </w:tabs>
        <w:rPr>
          <w:rFonts w:ascii="Times New Roman" w:hAnsi="Times New Roman" w:cs="Times New Roman"/>
        </w:rPr>
      </w:pPr>
      <w:r w:rsidRPr="00A155FA">
        <w:rPr>
          <w:rFonts w:ascii="Times New Roman" w:hAnsi="Times New Roman" w:cs="Times New Roman"/>
          <w:b/>
          <w:bCs/>
        </w:rPr>
        <w:t xml:space="preserve">148 (anterior, middle coronoid teeth):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147.</w:t>
      </w:r>
    </w:p>
    <w:p w14:paraId="6584EDB0" w14:textId="188B5E2D" w:rsidR="00FA06B2" w:rsidRPr="00A155FA" w:rsidRDefault="00FA06B2" w:rsidP="005229E5">
      <w:pPr>
        <w:pStyle w:val="ListParagraph"/>
        <w:numPr>
          <w:ilvl w:val="0"/>
          <w:numId w:val="48"/>
        </w:numPr>
        <w:tabs>
          <w:tab w:val="left" w:pos="1260"/>
        </w:tabs>
        <w:rPr>
          <w:rFonts w:ascii="Times New Roman" w:hAnsi="Times New Roman" w:cs="Times New Roman"/>
        </w:rPr>
      </w:pPr>
      <w:r w:rsidRPr="00A155FA">
        <w:rPr>
          <w:rFonts w:ascii="Times New Roman" w:hAnsi="Times New Roman" w:cs="Times New Roman"/>
          <w:b/>
          <w:bCs/>
        </w:rPr>
        <w:t>348 (cleithrum):</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Schoch (2019b:53–54) noted that definitively referable postcranial material is very rare because multiple temnospondyls occur in the type locality (Merkel’s Quarry), where postcrania are isolated. He mentioned only the interclavicle, clavicle, and one lost scapulocoracoid from another site with respect to this taxon.</w:t>
      </w:r>
    </w:p>
    <w:p w14:paraId="379F710C"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r w:rsidRPr="00A155FA">
        <w:rPr>
          <w:rFonts w:ascii="Times New Roman" w:hAnsi="Times New Roman" w:cs="Times New Roman"/>
          <w:b/>
          <w:bCs/>
          <w:i/>
          <w:iCs/>
        </w:rPr>
        <w:t>Trematolestes hagdorni</w:t>
      </w:r>
    </w:p>
    <w:p w14:paraId="7AC0B9B7" w14:textId="77777777" w:rsidR="00FA06B2" w:rsidRPr="00A155FA" w:rsidRDefault="00FA06B2" w:rsidP="005229E5">
      <w:pPr>
        <w:pStyle w:val="ListParagraph"/>
        <w:numPr>
          <w:ilvl w:val="0"/>
          <w:numId w:val="49"/>
        </w:numPr>
        <w:tabs>
          <w:tab w:val="left" w:pos="1260"/>
        </w:tabs>
        <w:rPr>
          <w:rFonts w:ascii="Times New Roman" w:hAnsi="Times New Roman" w:cs="Times New Roman"/>
        </w:rPr>
      </w:pPr>
      <w:r w:rsidRPr="00A155FA">
        <w:rPr>
          <w:rFonts w:ascii="Times New Roman" w:hAnsi="Times New Roman" w:cs="Times New Roman"/>
          <w:b/>
          <w:bCs/>
        </w:rPr>
        <w:t xml:space="preserve">44 (prefrontal-jugal):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0&amp;1. This condition is clearly variable within a referred specimen (Schoch, 2006:fig. 3A).</w:t>
      </w:r>
    </w:p>
    <w:p w14:paraId="4EA191F3" w14:textId="77777777" w:rsidR="00FA06B2" w:rsidRPr="00A155FA" w:rsidRDefault="00FA06B2" w:rsidP="005229E5">
      <w:pPr>
        <w:pStyle w:val="ListParagraph"/>
        <w:numPr>
          <w:ilvl w:val="0"/>
          <w:numId w:val="49"/>
        </w:numPr>
        <w:tabs>
          <w:tab w:val="left" w:pos="1260"/>
        </w:tabs>
        <w:rPr>
          <w:rFonts w:ascii="Times New Roman" w:hAnsi="Times New Roman" w:cs="Times New Roman"/>
        </w:rPr>
      </w:pPr>
      <w:r w:rsidRPr="00A155FA">
        <w:rPr>
          <w:rFonts w:ascii="Times New Roman" w:hAnsi="Times New Roman" w:cs="Times New Roman"/>
          <w:b/>
          <w:bCs/>
        </w:rPr>
        <w:t>57 (jugal, ventral exposure):</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0. This exposure is not described or reconstructed by Schoch (2006:fig. 4B).</w:t>
      </w:r>
    </w:p>
    <w:p w14:paraId="2768E37B" w14:textId="77777777" w:rsidR="00FA06B2" w:rsidRPr="00A155FA" w:rsidRDefault="00FA06B2" w:rsidP="005229E5">
      <w:pPr>
        <w:pStyle w:val="ListParagraph"/>
        <w:numPr>
          <w:ilvl w:val="0"/>
          <w:numId w:val="49"/>
        </w:numPr>
        <w:tabs>
          <w:tab w:val="left" w:pos="1260"/>
        </w:tabs>
        <w:rPr>
          <w:rFonts w:ascii="Times New Roman" w:hAnsi="Times New Roman" w:cs="Times New Roman"/>
        </w:rPr>
      </w:pPr>
      <w:r w:rsidRPr="00A155FA">
        <w:rPr>
          <w:rFonts w:ascii="Times New Roman" w:hAnsi="Times New Roman" w:cs="Times New Roman"/>
          <w:b/>
          <w:bCs/>
        </w:rPr>
        <w:t>58 (jugal, anterior extent):</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0&amp;1. This variability is related to character 44; a more anteriorly extensive jugal contacts the prefrontal.</w:t>
      </w:r>
    </w:p>
    <w:p w14:paraId="7DEBB51B" w14:textId="77777777" w:rsidR="00FA06B2" w:rsidRPr="00A155FA" w:rsidRDefault="00FA06B2" w:rsidP="005229E5">
      <w:pPr>
        <w:pStyle w:val="ListParagraph"/>
        <w:numPr>
          <w:ilvl w:val="0"/>
          <w:numId w:val="49"/>
        </w:numPr>
        <w:tabs>
          <w:tab w:val="left" w:pos="1260"/>
        </w:tabs>
        <w:rPr>
          <w:rFonts w:ascii="Times New Roman" w:hAnsi="Times New Roman" w:cs="Times New Roman"/>
        </w:rPr>
      </w:pPr>
      <w:r w:rsidRPr="00A155FA">
        <w:rPr>
          <w:rFonts w:ascii="Times New Roman" w:hAnsi="Times New Roman" w:cs="Times New Roman"/>
          <w:b/>
          <w:bCs/>
        </w:rPr>
        <w:t xml:space="preserve">88 (ectopterygoid fangs):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0. Schoch (2006) made no definitive statements either way, but the reconstruction in that study (fig. 4B therein) depicted teeth at the anteriormost region of the ectopterygoid that are larger than the posteriormost teeth of the palatine. Based on other taxa with this condition that are coded for state 0 (e.g., </w:t>
      </w:r>
      <w:r w:rsidRPr="00A155FA">
        <w:rPr>
          <w:rFonts w:ascii="Times New Roman" w:hAnsi="Times New Roman" w:cs="Times New Roman"/>
          <w:i/>
          <w:iCs/>
        </w:rPr>
        <w:t>Glanochthon</w:t>
      </w:r>
      <w:r w:rsidRPr="00A155FA">
        <w:rPr>
          <w:rFonts w:ascii="Times New Roman" w:hAnsi="Times New Roman" w:cs="Times New Roman"/>
        </w:rPr>
        <w:t xml:space="preserve">, </w:t>
      </w:r>
      <w:r w:rsidRPr="00A155FA">
        <w:rPr>
          <w:rFonts w:ascii="Times New Roman" w:hAnsi="Times New Roman" w:cs="Times New Roman"/>
          <w:i/>
          <w:iCs/>
        </w:rPr>
        <w:t>Lyrocephaliscus</w:t>
      </w:r>
      <w:r w:rsidRPr="00A155FA">
        <w:rPr>
          <w:rFonts w:ascii="Times New Roman" w:hAnsi="Times New Roman" w:cs="Times New Roman"/>
        </w:rPr>
        <w:t>), the code is changed.</w:t>
      </w:r>
    </w:p>
    <w:p w14:paraId="568FBB54" w14:textId="77777777" w:rsidR="00FA06B2" w:rsidRPr="00A155FA" w:rsidRDefault="00FA06B2" w:rsidP="005229E5">
      <w:pPr>
        <w:pStyle w:val="ListParagraph"/>
        <w:numPr>
          <w:ilvl w:val="0"/>
          <w:numId w:val="49"/>
        </w:numPr>
        <w:tabs>
          <w:tab w:val="left" w:pos="1260"/>
        </w:tabs>
        <w:rPr>
          <w:rFonts w:ascii="Times New Roman" w:hAnsi="Times New Roman" w:cs="Times New Roman"/>
        </w:rPr>
      </w:pPr>
      <w:r w:rsidRPr="00A155FA">
        <w:rPr>
          <w:rFonts w:ascii="Times New Roman" w:hAnsi="Times New Roman" w:cs="Times New Roman"/>
          <w:b/>
          <w:bCs/>
        </w:rPr>
        <w:t>137 (exoccipitals):</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1. Figures and reconstruction based on the holotype (Schoch, 2006:figs. 1–2, 4) indicate well-exposed condyles in dorsal view.</w:t>
      </w:r>
    </w:p>
    <w:p w14:paraId="63125C5B" w14:textId="344EED00" w:rsidR="00FA06B2" w:rsidRPr="00A155FA" w:rsidRDefault="00FA06B2" w:rsidP="005229E5">
      <w:pPr>
        <w:pStyle w:val="ListParagraph"/>
        <w:numPr>
          <w:ilvl w:val="0"/>
          <w:numId w:val="49"/>
        </w:numPr>
        <w:tabs>
          <w:tab w:val="left" w:pos="1260"/>
        </w:tabs>
        <w:rPr>
          <w:rFonts w:ascii="Times New Roman" w:hAnsi="Times New Roman" w:cs="Times New Roman"/>
          <w:b/>
          <w:bCs/>
        </w:rPr>
      </w:pPr>
      <w:r w:rsidRPr="00A155FA">
        <w:rPr>
          <w:rFonts w:ascii="Times New Roman" w:hAnsi="Times New Roman" w:cs="Times New Roman"/>
          <w:b/>
          <w:bCs/>
        </w:rPr>
        <w:t xml:space="preserve">237 (postparietal, length):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0. The element is nearly square, more anteriorly extensive than the tabular (Schoch, 2006:figs. 2–4), and in stark contrast to the condition of zatracheids or highly nested amphibamiforms in which it is an </w:t>
      </w:r>
      <w:proofErr w:type="spellStart"/>
      <w:r w:rsidRPr="00A155FA">
        <w:rPr>
          <w:rFonts w:ascii="Times New Roman" w:hAnsi="Times New Roman" w:cs="Times New Roman"/>
        </w:rPr>
        <w:t>anteroposteriorly</w:t>
      </w:r>
      <w:proofErr w:type="spellEnd"/>
      <w:r w:rsidRPr="00A155FA">
        <w:rPr>
          <w:rFonts w:ascii="Times New Roman" w:hAnsi="Times New Roman" w:cs="Times New Roman"/>
        </w:rPr>
        <w:t xml:space="preserve"> short, </w:t>
      </w:r>
      <w:proofErr w:type="spellStart"/>
      <w:r w:rsidRPr="00A155FA">
        <w:rPr>
          <w:rFonts w:ascii="Times New Roman" w:hAnsi="Times New Roman" w:cs="Times New Roman"/>
        </w:rPr>
        <w:t>tranvsersely</w:t>
      </w:r>
      <w:proofErr w:type="spellEnd"/>
      <w:r w:rsidRPr="00A155FA">
        <w:rPr>
          <w:rFonts w:ascii="Times New Roman" w:hAnsi="Times New Roman" w:cs="Times New Roman"/>
        </w:rPr>
        <w:t xml:space="preserve"> elongate rectangle (e.g., Witzmann &amp; Schoch, 2006:fig. 3; Clack &amp; Milner, 2010:fig. 9a; Sigurdsen &amp; Bolt, 2010:fig. 3A).</w:t>
      </w:r>
    </w:p>
    <w:p w14:paraId="526DFCE7" w14:textId="77777777" w:rsidR="00FA06B2" w:rsidRPr="00A155FA" w:rsidRDefault="00FA06B2" w:rsidP="005229E5">
      <w:pPr>
        <w:pStyle w:val="ListParagraph"/>
        <w:numPr>
          <w:ilvl w:val="0"/>
          <w:numId w:val="49"/>
        </w:numPr>
        <w:tabs>
          <w:tab w:val="left" w:pos="1260"/>
        </w:tabs>
        <w:rPr>
          <w:rFonts w:ascii="Times New Roman" w:hAnsi="Times New Roman" w:cs="Times New Roman"/>
        </w:rPr>
      </w:pPr>
      <w:r w:rsidRPr="00A155FA">
        <w:rPr>
          <w:rFonts w:ascii="Times New Roman" w:hAnsi="Times New Roman" w:cs="Times New Roman"/>
          <w:b/>
          <w:bCs/>
        </w:rPr>
        <w:t>305 (olecranon process):</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Schoch (2006:37) stated that this is unossified.</w:t>
      </w:r>
    </w:p>
    <w:p w14:paraId="608C0EB2"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proofErr w:type="spellStart"/>
      <w:r w:rsidRPr="00A155FA">
        <w:rPr>
          <w:rFonts w:ascii="Times New Roman" w:hAnsi="Times New Roman" w:cs="Times New Roman"/>
          <w:b/>
          <w:bCs/>
          <w:i/>
          <w:iCs/>
        </w:rPr>
        <w:t>Lyrocephaliscus</w:t>
      </w:r>
      <w:proofErr w:type="spellEnd"/>
      <w:r w:rsidRPr="00A155FA">
        <w:rPr>
          <w:rFonts w:ascii="Times New Roman" w:hAnsi="Times New Roman" w:cs="Times New Roman"/>
          <w:b/>
          <w:bCs/>
          <w:i/>
          <w:iCs/>
        </w:rPr>
        <w:t xml:space="preserve"> </w:t>
      </w:r>
      <w:proofErr w:type="spellStart"/>
      <w:r w:rsidRPr="00A155FA">
        <w:rPr>
          <w:rFonts w:ascii="Times New Roman" w:hAnsi="Times New Roman" w:cs="Times New Roman"/>
          <w:b/>
          <w:bCs/>
          <w:i/>
          <w:iCs/>
        </w:rPr>
        <w:t>euri</w:t>
      </w:r>
      <w:proofErr w:type="spellEnd"/>
    </w:p>
    <w:p w14:paraId="781CA844" w14:textId="77777777" w:rsidR="00FA06B2" w:rsidRPr="00A155FA" w:rsidRDefault="00FA06B2" w:rsidP="005229E5">
      <w:pPr>
        <w:pStyle w:val="ListParagraph"/>
        <w:numPr>
          <w:ilvl w:val="0"/>
          <w:numId w:val="50"/>
        </w:numPr>
        <w:tabs>
          <w:tab w:val="left" w:pos="1260"/>
        </w:tabs>
        <w:rPr>
          <w:rFonts w:ascii="Times New Roman" w:hAnsi="Times New Roman" w:cs="Times New Roman"/>
        </w:rPr>
      </w:pPr>
      <w:r w:rsidRPr="00A155FA">
        <w:rPr>
          <w:rFonts w:ascii="Times New Roman" w:hAnsi="Times New Roman" w:cs="Times New Roman"/>
          <w:b/>
          <w:bCs/>
        </w:rPr>
        <w:lastRenderedPageBreak/>
        <w:t xml:space="preserve">85 (transverse tooth row, transvomerine): </w:t>
      </w:r>
      <w:r w:rsidRPr="00A155FA">
        <w:rPr>
          <w:rFonts w:ascii="Times New Roman" w:hAnsi="Times New Roman" w:cs="Times New Roman"/>
        </w:rPr>
        <w:t xml:space="preserve">2 </w:t>
      </w:r>
      <w:r w:rsidRPr="00A155FA">
        <w:rPr>
          <w:rFonts w:ascii="Times New Roman" w:eastAsia="Wingdings" w:hAnsi="Times New Roman" w:cs="Times New Roman"/>
        </w:rPr>
        <w:t>→</w:t>
      </w:r>
      <w:r w:rsidRPr="00A155FA">
        <w:rPr>
          <w:rFonts w:ascii="Times New Roman" w:hAnsi="Times New Roman" w:cs="Times New Roman"/>
        </w:rPr>
        <w:t xml:space="preserve"> 1. Save-Söderbergh (1935:fig. 5) and Schoch &amp; Milner (2000:fig. 83) depicted only two transvomerine teeth. These cannot form a ‘V-shaped’ row.</w:t>
      </w:r>
    </w:p>
    <w:p w14:paraId="2E449C12" w14:textId="77777777" w:rsidR="00FA06B2" w:rsidRPr="00A155FA" w:rsidRDefault="00FA06B2" w:rsidP="005229E5">
      <w:pPr>
        <w:pStyle w:val="ListParagraph"/>
        <w:numPr>
          <w:ilvl w:val="0"/>
          <w:numId w:val="50"/>
        </w:numPr>
        <w:tabs>
          <w:tab w:val="left" w:pos="1260"/>
        </w:tabs>
        <w:rPr>
          <w:rFonts w:ascii="Times New Roman" w:hAnsi="Times New Roman" w:cs="Times New Roman"/>
        </w:rPr>
      </w:pPr>
      <w:r w:rsidRPr="00A155FA">
        <w:rPr>
          <w:rFonts w:ascii="Times New Roman" w:hAnsi="Times New Roman" w:cs="Times New Roman"/>
          <w:b/>
          <w:bCs/>
        </w:rPr>
        <w:t xml:space="preserve">161 (transverse process, length):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This feature can be coded based on </w:t>
      </w:r>
      <w:proofErr w:type="spellStart"/>
      <w:r w:rsidRPr="00A155FA">
        <w:rPr>
          <w:rFonts w:ascii="Times New Roman" w:hAnsi="Times New Roman" w:cs="Times New Roman"/>
        </w:rPr>
        <w:t>Mazin</w:t>
      </w:r>
      <w:proofErr w:type="spellEnd"/>
      <w:r w:rsidRPr="00A155FA">
        <w:rPr>
          <w:rFonts w:ascii="Times New Roman" w:hAnsi="Times New Roman" w:cs="Times New Roman"/>
        </w:rPr>
        <w:t xml:space="preserve"> &amp; Janvier (1983:24–27, figs. 9–10).</w:t>
      </w:r>
    </w:p>
    <w:p w14:paraId="192421E7" w14:textId="77777777" w:rsidR="00FA06B2" w:rsidRPr="00A155FA" w:rsidRDefault="00FA06B2" w:rsidP="005229E5">
      <w:pPr>
        <w:pStyle w:val="ListParagraph"/>
        <w:numPr>
          <w:ilvl w:val="0"/>
          <w:numId w:val="50"/>
        </w:numPr>
        <w:tabs>
          <w:tab w:val="left" w:pos="1260"/>
        </w:tabs>
        <w:rPr>
          <w:rFonts w:ascii="Times New Roman" w:hAnsi="Times New Roman" w:cs="Times New Roman"/>
          <w:b/>
          <w:bCs/>
        </w:rPr>
      </w:pPr>
      <w:r w:rsidRPr="00A155FA">
        <w:rPr>
          <w:rFonts w:ascii="Times New Roman" w:hAnsi="Times New Roman" w:cs="Times New Roman"/>
          <w:b/>
          <w:bCs/>
        </w:rPr>
        <w:t xml:space="preserve">162 (neural spine, height):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1. As with character 161.</w:t>
      </w:r>
    </w:p>
    <w:p w14:paraId="1A3559B6" w14:textId="77777777" w:rsidR="00FA06B2" w:rsidRPr="00A155FA" w:rsidRDefault="00FA06B2" w:rsidP="005229E5">
      <w:pPr>
        <w:pStyle w:val="ListParagraph"/>
        <w:numPr>
          <w:ilvl w:val="0"/>
          <w:numId w:val="50"/>
        </w:numPr>
        <w:tabs>
          <w:tab w:val="left" w:pos="1260"/>
        </w:tabs>
        <w:rPr>
          <w:rFonts w:ascii="Times New Roman" w:hAnsi="Times New Roman" w:cs="Times New Roman"/>
          <w:b/>
          <w:bCs/>
        </w:rPr>
      </w:pPr>
      <w:r w:rsidRPr="00A155FA">
        <w:rPr>
          <w:rFonts w:ascii="Times New Roman" w:hAnsi="Times New Roman" w:cs="Times New Roman"/>
          <w:b/>
          <w:bCs/>
        </w:rPr>
        <w:t xml:space="preserve">163 (intercentrum, shape):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As with character 161.</w:t>
      </w:r>
    </w:p>
    <w:p w14:paraId="0BBF56D7" w14:textId="77777777" w:rsidR="00FA06B2" w:rsidRPr="00A155FA" w:rsidRDefault="00FA06B2" w:rsidP="005229E5">
      <w:pPr>
        <w:pStyle w:val="ListParagraph"/>
        <w:numPr>
          <w:ilvl w:val="0"/>
          <w:numId w:val="50"/>
        </w:numPr>
        <w:tabs>
          <w:tab w:val="left" w:pos="1260"/>
        </w:tabs>
        <w:rPr>
          <w:rFonts w:ascii="Times New Roman" w:hAnsi="Times New Roman" w:cs="Times New Roman"/>
          <w:b/>
          <w:bCs/>
        </w:rPr>
      </w:pPr>
      <w:r w:rsidRPr="00A155FA">
        <w:rPr>
          <w:rFonts w:ascii="Times New Roman" w:hAnsi="Times New Roman" w:cs="Times New Roman"/>
          <w:b/>
          <w:bCs/>
        </w:rPr>
        <w:t xml:space="preserve">164 (intercentrum, width):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1. As with character 161.</w:t>
      </w:r>
    </w:p>
    <w:p w14:paraId="467320AA" w14:textId="77777777" w:rsidR="00FA06B2" w:rsidRPr="00A155FA" w:rsidRDefault="00FA06B2" w:rsidP="005229E5">
      <w:pPr>
        <w:pStyle w:val="ListParagraph"/>
        <w:numPr>
          <w:ilvl w:val="0"/>
          <w:numId w:val="50"/>
        </w:numPr>
        <w:tabs>
          <w:tab w:val="left" w:pos="1260"/>
        </w:tabs>
        <w:rPr>
          <w:rFonts w:ascii="Times New Roman" w:hAnsi="Times New Roman" w:cs="Times New Roman"/>
          <w:b/>
          <w:bCs/>
        </w:rPr>
      </w:pPr>
      <w:r w:rsidRPr="00A155FA">
        <w:rPr>
          <w:rFonts w:ascii="Times New Roman" w:hAnsi="Times New Roman" w:cs="Times New Roman"/>
          <w:b/>
          <w:bCs/>
        </w:rPr>
        <w:t xml:space="preserve">168 (pleurocentrum, presence):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As with character 161.</w:t>
      </w:r>
    </w:p>
    <w:p w14:paraId="49B8FA31" w14:textId="77777777" w:rsidR="00FA06B2" w:rsidRPr="00A155FA" w:rsidRDefault="00FA06B2" w:rsidP="005229E5">
      <w:pPr>
        <w:pStyle w:val="ListParagraph"/>
        <w:numPr>
          <w:ilvl w:val="0"/>
          <w:numId w:val="50"/>
        </w:numPr>
        <w:tabs>
          <w:tab w:val="left" w:pos="1260"/>
        </w:tabs>
        <w:rPr>
          <w:rFonts w:ascii="Times New Roman" w:hAnsi="Times New Roman" w:cs="Times New Roman"/>
          <w:b/>
          <w:bCs/>
        </w:rPr>
      </w:pPr>
      <w:r w:rsidRPr="00A155FA">
        <w:rPr>
          <w:rFonts w:ascii="Times New Roman" w:hAnsi="Times New Roman" w:cs="Times New Roman"/>
          <w:b/>
          <w:bCs/>
        </w:rPr>
        <w:t xml:space="preserve">169 (pleurocentrum, lateral surface):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1. As with character 161.</w:t>
      </w:r>
    </w:p>
    <w:p w14:paraId="5862FADF" w14:textId="77777777" w:rsidR="00FA06B2" w:rsidRPr="00A155FA" w:rsidRDefault="00FA06B2" w:rsidP="005229E5">
      <w:pPr>
        <w:pStyle w:val="ListParagraph"/>
        <w:numPr>
          <w:ilvl w:val="0"/>
          <w:numId w:val="50"/>
        </w:numPr>
        <w:tabs>
          <w:tab w:val="left" w:pos="1260"/>
        </w:tabs>
        <w:rPr>
          <w:rFonts w:ascii="Times New Roman" w:hAnsi="Times New Roman" w:cs="Times New Roman"/>
          <w:b/>
          <w:bCs/>
        </w:rPr>
      </w:pPr>
      <w:r w:rsidRPr="00A155FA">
        <w:rPr>
          <w:rFonts w:ascii="Times New Roman" w:hAnsi="Times New Roman" w:cs="Times New Roman"/>
          <w:b/>
          <w:bCs/>
        </w:rPr>
        <w:t xml:space="preserve">170 (pleurocentrum, ventral extension):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As with character 161.</w:t>
      </w:r>
    </w:p>
    <w:p w14:paraId="683F2B61" w14:textId="77777777" w:rsidR="00FA06B2" w:rsidRPr="00A155FA" w:rsidRDefault="00FA06B2" w:rsidP="005229E5">
      <w:pPr>
        <w:pStyle w:val="ListParagraph"/>
        <w:numPr>
          <w:ilvl w:val="0"/>
          <w:numId w:val="50"/>
        </w:numPr>
        <w:tabs>
          <w:tab w:val="left" w:pos="1260"/>
        </w:tabs>
        <w:rPr>
          <w:rFonts w:ascii="Times New Roman" w:hAnsi="Times New Roman" w:cs="Times New Roman"/>
          <w:b/>
          <w:bCs/>
        </w:rPr>
      </w:pPr>
      <w:r w:rsidRPr="00A155FA">
        <w:rPr>
          <w:rFonts w:ascii="Times New Roman" w:hAnsi="Times New Roman" w:cs="Times New Roman"/>
          <w:b/>
          <w:bCs/>
        </w:rPr>
        <w:t xml:space="preserve">171 (ribs, length):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As with character 161.</w:t>
      </w:r>
    </w:p>
    <w:p w14:paraId="5A70176E" w14:textId="77777777" w:rsidR="00FA06B2" w:rsidRPr="00A155FA" w:rsidRDefault="00FA06B2" w:rsidP="005229E5">
      <w:pPr>
        <w:pStyle w:val="ListParagraph"/>
        <w:numPr>
          <w:ilvl w:val="0"/>
          <w:numId w:val="50"/>
        </w:numPr>
        <w:tabs>
          <w:tab w:val="left" w:pos="1260"/>
        </w:tabs>
        <w:rPr>
          <w:rFonts w:ascii="Times New Roman" w:hAnsi="Times New Roman" w:cs="Times New Roman"/>
          <w:b/>
          <w:bCs/>
        </w:rPr>
      </w:pPr>
      <w:r w:rsidRPr="00A155FA">
        <w:rPr>
          <w:rFonts w:ascii="Times New Roman" w:hAnsi="Times New Roman" w:cs="Times New Roman"/>
          <w:b/>
          <w:bCs/>
        </w:rPr>
        <w:t xml:space="preserve">172 (ribs, ventral extension):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1. As with character 161.</w:t>
      </w:r>
    </w:p>
    <w:p w14:paraId="193FC615" w14:textId="77777777" w:rsidR="00FA06B2" w:rsidRPr="00A155FA" w:rsidRDefault="00FA06B2" w:rsidP="005229E5">
      <w:pPr>
        <w:pStyle w:val="ListParagraph"/>
        <w:numPr>
          <w:ilvl w:val="0"/>
          <w:numId w:val="50"/>
        </w:numPr>
        <w:tabs>
          <w:tab w:val="left" w:pos="1260"/>
        </w:tabs>
        <w:rPr>
          <w:rFonts w:ascii="Times New Roman" w:hAnsi="Times New Roman" w:cs="Times New Roman"/>
          <w:b/>
          <w:bCs/>
        </w:rPr>
      </w:pPr>
      <w:r w:rsidRPr="00A155FA">
        <w:rPr>
          <w:rFonts w:ascii="Times New Roman" w:hAnsi="Times New Roman" w:cs="Times New Roman"/>
          <w:b/>
          <w:bCs/>
        </w:rPr>
        <w:t xml:space="preserve">173 (ribs, uncinate blades):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As with character 161.</w:t>
      </w:r>
    </w:p>
    <w:p w14:paraId="3E9ED56B" w14:textId="77777777" w:rsidR="00FA06B2" w:rsidRPr="00A155FA" w:rsidRDefault="00FA06B2" w:rsidP="005229E5">
      <w:pPr>
        <w:pStyle w:val="ListParagraph"/>
        <w:numPr>
          <w:ilvl w:val="0"/>
          <w:numId w:val="50"/>
        </w:numPr>
        <w:tabs>
          <w:tab w:val="left" w:pos="1260"/>
        </w:tabs>
        <w:rPr>
          <w:rFonts w:ascii="Times New Roman" w:hAnsi="Times New Roman" w:cs="Times New Roman"/>
          <w:b/>
          <w:bCs/>
        </w:rPr>
      </w:pPr>
      <w:r w:rsidRPr="00A155FA">
        <w:rPr>
          <w:rFonts w:ascii="Times New Roman" w:hAnsi="Times New Roman" w:cs="Times New Roman"/>
          <w:b/>
          <w:bCs/>
        </w:rPr>
        <w:t xml:space="preserve">174 (ribs, uncinate spines):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As with character 161.</w:t>
      </w:r>
    </w:p>
    <w:p w14:paraId="6E6E2FC7" w14:textId="77777777" w:rsidR="00FA06B2" w:rsidRPr="00A155FA" w:rsidRDefault="00FA06B2" w:rsidP="005229E5">
      <w:pPr>
        <w:pStyle w:val="ListParagraph"/>
        <w:numPr>
          <w:ilvl w:val="0"/>
          <w:numId w:val="50"/>
        </w:numPr>
        <w:tabs>
          <w:tab w:val="left" w:pos="1260"/>
        </w:tabs>
        <w:rPr>
          <w:rFonts w:ascii="Times New Roman" w:hAnsi="Times New Roman" w:cs="Times New Roman"/>
        </w:rPr>
      </w:pPr>
      <w:r w:rsidRPr="00A155FA">
        <w:rPr>
          <w:rFonts w:ascii="Times New Roman" w:hAnsi="Times New Roman" w:cs="Times New Roman"/>
          <w:b/>
          <w:bCs/>
        </w:rPr>
        <w:t xml:space="preserve">178 (clavicle, ventral blade):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This feature can be coded based on </w:t>
      </w:r>
      <w:proofErr w:type="spellStart"/>
      <w:r w:rsidRPr="00A155FA">
        <w:rPr>
          <w:rFonts w:ascii="Times New Roman" w:hAnsi="Times New Roman" w:cs="Times New Roman"/>
        </w:rPr>
        <w:t>Mazin</w:t>
      </w:r>
      <w:proofErr w:type="spellEnd"/>
      <w:r w:rsidRPr="00A155FA">
        <w:rPr>
          <w:rFonts w:ascii="Times New Roman" w:hAnsi="Times New Roman" w:cs="Times New Roman"/>
        </w:rPr>
        <w:t xml:space="preserve"> &amp; Janvier (1983:27, fig. 11).</w:t>
      </w:r>
    </w:p>
    <w:p w14:paraId="142BD131" w14:textId="77777777" w:rsidR="00FA06B2" w:rsidRPr="00A155FA" w:rsidRDefault="00FA06B2" w:rsidP="005229E5">
      <w:pPr>
        <w:pStyle w:val="ListParagraph"/>
        <w:numPr>
          <w:ilvl w:val="0"/>
          <w:numId w:val="50"/>
        </w:numPr>
        <w:tabs>
          <w:tab w:val="left" w:pos="1260"/>
        </w:tabs>
        <w:rPr>
          <w:rFonts w:ascii="Times New Roman" w:hAnsi="Times New Roman" w:cs="Times New Roman"/>
          <w:b/>
          <w:bCs/>
          <w:i/>
          <w:iCs/>
        </w:rPr>
      </w:pPr>
      <w:r w:rsidRPr="00A155FA">
        <w:rPr>
          <w:rFonts w:ascii="Times New Roman" w:hAnsi="Times New Roman" w:cs="Times New Roman"/>
          <w:b/>
          <w:bCs/>
        </w:rPr>
        <w:t>185 (interclavicle, anterior stylus):</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1. This feature can be coded based on </w:t>
      </w:r>
      <w:proofErr w:type="spellStart"/>
      <w:r w:rsidRPr="00A155FA">
        <w:rPr>
          <w:rFonts w:ascii="Times New Roman" w:hAnsi="Times New Roman" w:cs="Times New Roman"/>
        </w:rPr>
        <w:t>Mazin</w:t>
      </w:r>
      <w:proofErr w:type="spellEnd"/>
      <w:r w:rsidRPr="00A155FA">
        <w:rPr>
          <w:rFonts w:ascii="Times New Roman" w:hAnsi="Times New Roman" w:cs="Times New Roman"/>
        </w:rPr>
        <w:t xml:space="preserve"> &amp; Janvier (1983:27, fig. 12).</w:t>
      </w:r>
    </w:p>
    <w:p w14:paraId="70050DDA"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r w:rsidRPr="00A155FA">
        <w:rPr>
          <w:rFonts w:ascii="Times New Roman" w:hAnsi="Times New Roman" w:cs="Times New Roman"/>
          <w:b/>
          <w:bCs/>
          <w:i/>
          <w:iCs/>
        </w:rPr>
        <w:t>Callistomordax kugleri</w:t>
      </w:r>
    </w:p>
    <w:p w14:paraId="0CF16839" w14:textId="77777777" w:rsidR="00FA06B2" w:rsidRPr="00A155FA" w:rsidRDefault="00FA06B2" w:rsidP="005229E5">
      <w:pPr>
        <w:pStyle w:val="ListParagraph"/>
        <w:numPr>
          <w:ilvl w:val="0"/>
          <w:numId w:val="51"/>
        </w:numPr>
        <w:tabs>
          <w:tab w:val="left" w:pos="1260"/>
        </w:tabs>
        <w:rPr>
          <w:rFonts w:ascii="Times New Roman" w:hAnsi="Times New Roman" w:cs="Times New Roman"/>
        </w:rPr>
      </w:pPr>
      <w:r w:rsidRPr="00A155FA">
        <w:rPr>
          <w:rFonts w:ascii="Times New Roman" w:hAnsi="Times New Roman" w:cs="Times New Roman"/>
          <w:b/>
          <w:bCs/>
        </w:rPr>
        <w:t xml:space="preserve">24 (lacrimal, posterior extension):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The lacrimal is not confined to the anterior orbital margin or the preorbital region and extends for a similar extent to </w:t>
      </w:r>
      <w:r w:rsidRPr="00A155FA">
        <w:rPr>
          <w:rFonts w:ascii="Times New Roman" w:hAnsi="Times New Roman" w:cs="Times New Roman"/>
          <w:i/>
          <w:iCs/>
        </w:rPr>
        <w:t>Batropetes</w:t>
      </w:r>
      <w:r w:rsidRPr="00A155FA">
        <w:rPr>
          <w:rFonts w:ascii="Times New Roman" w:hAnsi="Times New Roman" w:cs="Times New Roman"/>
        </w:rPr>
        <w:t xml:space="preserve">, originally coded for 24–1. </w:t>
      </w:r>
    </w:p>
    <w:p w14:paraId="24380848" w14:textId="77777777" w:rsidR="00FA06B2" w:rsidRPr="00A155FA" w:rsidRDefault="00FA06B2" w:rsidP="005229E5">
      <w:pPr>
        <w:pStyle w:val="ListParagraph"/>
        <w:numPr>
          <w:ilvl w:val="0"/>
          <w:numId w:val="51"/>
        </w:numPr>
        <w:tabs>
          <w:tab w:val="left" w:pos="1260"/>
        </w:tabs>
        <w:rPr>
          <w:rFonts w:ascii="Times New Roman" w:hAnsi="Times New Roman" w:cs="Times New Roman"/>
        </w:rPr>
      </w:pPr>
      <w:r w:rsidRPr="00A155FA">
        <w:rPr>
          <w:rFonts w:ascii="Times New Roman" w:hAnsi="Times New Roman" w:cs="Times New Roman"/>
          <w:b/>
          <w:bCs/>
        </w:rPr>
        <w:t xml:space="preserve">30 (interorbital distance):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The interorbital distance is wider in specimens and reconstructions figured by Schoch (2008a:figs. 1–5).</w:t>
      </w:r>
    </w:p>
    <w:p w14:paraId="14A28721" w14:textId="77777777" w:rsidR="00FA06B2" w:rsidRPr="00A155FA" w:rsidRDefault="00FA06B2" w:rsidP="005229E5">
      <w:pPr>
        <w:pStyle w:val="ListParagraph"/>
        <w:numPr>
          <w:ilvl w:val="0"/>
          <w:numId w:val="51"/>
        </w:numPr>
        <w:tabs>
          <w:tab w:val="left" w:pos="1260"/>
        </w:tabs>
        <w:rPr>
          <w:rFonts w:ascii="Times New Roman" w:hAnsi="Times New Roman" w:cs="Times New Roman"/>
        </w:rPr>
      </w:pPr>
      <w:r w:rsidRPr="00A155FA">
        <w:rPr>
          <w:rFonts w:ascii="Times New Roman" w:hAnsi="Times New Roman" w:cs="Times New Roman"/>
          <w:b/>
          <w:bCs/>
        </w:rPr>
        <w:t xml:space="preserve">66 (tabular, extension):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Schoch (2008a:89, figs. 1–2) stated that “its [the </w:t>
      </w:r>
      <w:proofErr w:type="spellStart"/>
      <w:r w:rsidRPr="00A155FA">
        <w:rPr>
          <w:rFonts w:ascii="Times New Roman" w:hAnsi="Times New Roman" w:cs="Times New Roman"/>
        </w:rPr>
        <w:t>tabular’s</w:t>
      </w:r>
      <w:proofErr w:type="spellEnd"/>
      <w:r w:rsidRPr="00A155FA">
        <w:rPr>
          <w:rFonts w:ascii="Times New Roman" w:hAnsi="Times New Roman" w:cs="Times New Roman"/>
        </w:rPr>
        <w:t xml:space="preserve">] blunt posterolateral end never extends posteriorly.” </w:t>
      </w:r>
    </w:p>
    <w:p w14:paraId="3A26AFB7" w14:textId="77777777" w:rsidR="00FA06B2" w:rsidRPr="00A155FA" w:rsidRDefault="00FA06B2" w:rsidP="005229E5">
      <w:pPr>
        <w:pStyle w:val="ListParagraph"/>
        <w:numPr>
          <w:ilvl w:val="0"/>
          <w:numId w:val="51"/>
        </w:numPr>
        <w:tabs>
          <w:tab w:val="left" w:pos="1260"/>
        </w:tabs>
        <w:rPr>
          <w:rFonts w:ascii="Times New Roman" w:hAnsi="Times New Roman" w:cs="Times New Roman"/>
        </w:rPr>
      </w:pPr>
      <w:r w:rsidRPr="00A155FA">
        <w:rPr>
          <w:rFonts w:ascii="Times New Roman" w:hAnsi="Times New Roman" w:cs="Times New Roman"/>
          <w:b/>
          <w:bCs/>
        </w:rPr>
        <w:t>75 (quadrate and occipital condyles):</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2. Figures and reconstruction by Schoch (2008a:91, figs. 1–2, 5) show the occipital condyles projecting beyond the quadrates, as in most metoposaurids, which is further substantiated by the text (“the condyles reach a level well posterior to the occipital rim of the dermal skull and behind the quadrate condyles”). </w:t>
      </w:r>
    </w:p>
    <w:p w14:paraId="792FD831" w14:textId="77777777" w:rsidR="00FA06B2" w:rsidRPr="00A155FA" w:rsidRDefault="00FA06B2" w:rsidP="005229E5">
      <w:pPr>
        <w:pStyle w:val="ListParagraph"/>
        <w:numPr>
          <w:ilvl w:val="0"/>
          <w:numId w:val="51"/>
        </w:numPr>
        <w:tabs>
          <w:tab w:val="left" w:pos="1260"/>
        </w:tabs>
        <w:rPr>
          <w:rFonts w:ascii="Times New Roman" w:hAnsi="Times New Roman" w:cs="Times New Roman"/>
        </w:rPr>
      </w:pPr>
      <w:r w:rsidRPr="00A155FA">
        <w:rPr>
          <w:rFonts w:ascii="Times New Roman" w:hAnsi="Times New Roman" w:cs="Times New Roman"/>
          <w:b/>
          <w:bCs/>
        </w:rPr>
        <w:t xml:space="preserve">87 (parasphenoid, shagreen):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Schoch (2008a:90) stated that the area aspera is heavily ornamented but edentulous.</w:t>
      </w:r>
    </w:p>
    <w:p w14:paraId="3B85D267" w14:textId="77777777" w:rsidR="00FA06B2" w:rsidRPr="00A155FA" w:rsidRDefault="00FA06B2" w:rsidP="005229E5">
      <w:pPr>
        <w:pStyle w:val="ListParagraph"/>
        <w:numPr>
          <w:ilvl w:val="0"/>
          <w:numId w:val="51"/>
        </w:numPr>
        <w:tabs>
          <w:tab w:val="left" w:pos="1260"/>
        </w:tabs>
        <w:rPr>
          <w:rFonts w:ascii="Times New Roman" w:hAnsi="Times New Roman" w:cs="Times New Roman"/>
        </w:rPr>
      </w:pPr>
      <w:r w:rsidRPr="00A155FA">
        <w:rPr>
          <w:rFonts w:ascii="Times New Roman" w:hAnsi="Times New Roman" w:cs="Times New Roman"/>
          <w:b/>
          <w:bCs/>
        </w:rPr>
        <w:t>88 (ectopterygoid, fangs):</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0. Schoch (2008a:90) stated that this element “bears a pair of small tusks, succeeded posteriorly by a row of 12 much smaller teeth.” This is reflected in the corresponding illustrations and reconstructions (figs. 1–2 therein).</w:t>
      </w:r>
    </w:p>
    <w:p w14:paraId="17E583F9" w14:textId="77777777" w:rsidR="00FA06B2" w:rsidRPr="00A155FA" w:rsidRDefault="00FA06B2" w:rsidP="005229E5">
      <w:pPr>
        <w:pStyle w:val="ListParagraph"/>
        <w:numPr>
          <w:ilvl w:val="0"/>
          <w:numId w:val="51"/>
        </w:numPr>
        <w:tabs>
          <w:tab w:val="left" w:pos="1260"/>
        </w:tabs>
        <w:rPr>
          <w:rFonts w:ascii="Times New Roman" w:hAnsi="Times New Roman" w:cs="Times New Roman"/>
        </w:rPr>
      </w:pPr>
      <w:r w:rsidRPr="00A155FA">
        <w:rPr>
          <w:rFonts w:ascii="Times New Roman" w:hAnsi="Times New Roman" w:cs="Times New Roman"/>
          <w:b/>
          <w:bCs/>
        </w:rPr>
        <w:t>146 (symphyseal teeth):</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1. Schoch (2008a:91) described at least one tooth posterior to the symphyseal tusk “similar in position to the postsymphyseal dentition of other temnospondyls,” and he coded the presence of symphyseal teeth in the matrix used in that study’s analysis (table A1 therein).</w:t>
      </w:r>
    </w:p>
    <w:p w14:paraId="5B04B708" w14:textId="77777777" w:rsidR="00FA06B2" w:rsidRPr="00A155FA" w:rsidRDefault="00FA06B2" w:rsidP="005229E5">
      <w:pPr>
        <w:pStyle w:val="ListParagraph"/>
        <w:numPr>
          <w:ilvl w:val="0"/>
          <w:numId w:val="51"/>
        </w:numPr>
        <w:tabs>
          <w:tab w:val="left" w:pos="1260"/>
        </w:tabs>
        <w:rPr>
          <w:rFonts w:ascii="Times New Roman" w:hAnsi="Times New Roman" w:cs="Times New Roman"/>
        </w:rPr>
      </w:pPr>
      <w:r w:rsidRPr="00A155FA">
        <w:rPr>
          <w:rFonts w:ascii="Times New Roman" w:hAnsi="Times New Roman" w:cs="Times New Roman"/>
          <w:b/>
          <w:bCs/>
        </w:rPr>
        <w:t xml:space="preserve">148 (anterior, middle coronoid teeth):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This taxon is unusual in having dentition only on the middle coronoid; Schoch (2008a:92) stated that “the anterior edentulous coronoid is entirely smooth […].” We prefer to code </w:t>
      </w:r>
      <w:r w:rsidRPr="00A155FA">
        <w:rPr>
          <w:rFonts w:ascii="Times New Roman" w:hAnsi="Times New Roman" w:cs="Times New Roman"/>
        </w:rPr>
        <w:lastRenderedPageBreak/>
        <w:t>this as unknown (inapplicable is another option) rather than as polymorphic here.</w:t>
      </w:r>
    </w:p>
    <w:p w14:paraId="5EEE83FF" w14:textId="4CC4BE1E" w:rsidR="00FA06B2" w:rsidRPr="00A155FA" w:rsidRDefault="00FA06B2" w:rsidP="005229E5">
      <w:pPr>
        <w:pStyle w:val="ListParagraph"/>
        <w:numPr>
          <w:ilvl w:val="0"/>
          <w:numId w:val="51"/>
        </w:numPr>
        <w:tabs>
          <w:tab w:val="left" w:pos="1260"/>
        </w:tabs>
        <w:rPr>
          <w:rFonts w:ascii="Times New Roman" w:hAnsi="Times New Roman" w:cs="Times New Roman"/>
          <w:b/>
          <w:bCs/>
        </w:rPr>
      </w:pPr>
      <w:r w:rsidRPr="00A155FA">
        <w:rPr>
          <w:rFonts w:ascii="Times New Roman" w:hAnsi="Times New Roman" w:cs="Times New Roman"/>
          <w:b/>
          <w:bCs/>
        </w:rPr>
        <w:t xml:space="preserve">237 (postparietal, length):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0. The element is nearly square, more anteriorly extensive than the tabular (Schoch, 2008a:figs. 1–5), and in stark contrast to the condition of zatracheids or highly nested amphibamiforms in which it is an </w:t>
      </w:r>
      <w:proofErr w:type="spellStart"/>
      <w:r w:rsidRPr="00A155FA">
        <w:rPr>
          <w:rFonts w:ascii="Times New Roman" w:hAnsi="Times New Roman" w:cs="Times New Roman"/>
        </w:rPr>
        <w:t>anteroposteriorly</w:t>
      </w:r>
      <w:proofErr w:type="spellEnd"/>
      <w:r w:rsidRPr="00A155FA">
        <w:rPr>
          <w:rFonts w:ascii="Times New Roman" w:hAnsi="Times New Roman" w:cs="Times New Roman"/>
        </w:rPr>
        <w:t xml:space="preserve"> short, </w:t>
      </w:r>
      <w:proofErr w:type="spellStart"/>
      <w:r w:rsidRPr="00A155FA">
        <w:rPr>
          <w:rFonts w:ascii="Times New Roman" w:hAnsi="Times New Roman" w:cs="Times New Roman"/>
        </w:rPr>
        <w:t>tranvsersely</w:t>
      </w:r>
      <w:proofErr w:type="spellEnd"/>
      <w:r w:rsidRPr="00A155FA">
        <w:rPr>
          <w:rFonts w:ascii="Times New Roman" w:hAnsi="Times New Roman" w:cs="Times New Roman"/>
        </w:rPr>
        <w:t xml:space="preserve"> elongate rectangle (e.g., Witzmann &amp; Schoch, 2006:fig. 3; Clack &amp; Milner, 2010:fig. 9a; Sigurdsen &amp; Bolt, 2010:fig. 3A).</w:t>
      </w:r>
    </w:p>
    <w:p w14:paraId="7F4AC285" w14:textId="77777777" w:rsidR="00FA06B2" w:rsidRPr="00A155FA" w:rsidRDefault="00FA06B2" w:rsidP="005229E5">
      <w:pPr>
        <w:pStyle w:val="ListParagraph"/>
        <w:numPr>
          <w:ilvl w:val="0"/>
          <w:numId w:val="51"/>
        </w:numPr>
        <w:tabs>
          <w:tab w:val="left" w:pos="1260"/>
        </w:tabs>
        <w:rPr>
          <w:rFonts w:ascii="Times New Roman" w:hAnsi="Times New Roman" w:cs="Times New Roman"/>
        </w:rPr>
      </w:pPr>
      <w:r w:rsidRPr="00A155FA">
        <w:rPr>
          <w:rFonts w:ascii="Times New Roman" w:hAnsi="Times New Roman" w:cs="Times New Roman"/>
          <w:b/>
          <w:bCs/>
        </w:rPr>
        <w:t xml:space="preserve">287 (atlas-axis intercentra):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Schoch (2008a:92) described this complex.</w:t>
      </w:r>
    </w:p>
    <w:p w14:paraId="7215764E" w14:textId="77777777" w:rsidR="00FA06B2" w:rsidRPr="00A155FA" w:rsidRDefault="00FA06B2" w:rsidP="005229E5">
      <w:pPr>
        <w:pStyle w:val="ListParagraph"/>
        <w:numPr>
          <w:ilvl w:val="0"/>
          <w:numId w:val="51"/>
        </w:numPr>
        <w:tabs>
          <w:tab w:val="left" w:pos="1260"/>
        </w:tabs>
        <w:rPr>
          <w:rFonts w:ascii="Times New Roman" w:hAnsi="Times New Roman" w:cs="Times New Roman"/>
        </w:rPr>
      </w:pPr>
      <w:r w:rsidRPr="00A155FA">
        <w:rPr>
          <w:rFonts w:ascii="Times New Roman" w:hAnsi="Times New Roman" w:cs="Times New Roman"/>
          <w:b/>
          <w:bCs/>
        </w:rPr>
        <w:t>288 (atlas anterior centrum):</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1. As with character 287.</w:t>
      </w:r>
    </w:p>
    <w:p w14:paraId="3C687045" w14:textId="77777777" w:rsidR="00FA06B2" w:rsidRPr="00A155FA" w:rsidRDefault="00FA06B2" w:rsidP="005229E5">
      <w:pPr>
        <w:pStyle w:val="ListParagraph"/>
        <w:numPr>
          <w:ilvl w:val="0"/>
          <w:numId w:val="51"/>
        </w:numPr>
        <w:tabs>
          <w:tab w:val="left" w:pos="1260"/>
        </w:tabs>
        <w:rPr>
          <w:rFonts w:ascii="Times New Roman" w:hAnsi="Times New Roman" w:cs="Times New Roman"/>
        </w:rPr>
      </w:pPr>
      <w:r w:rsidRPr="00A155FA">
        <w:rPr>
          <w:rFonts w:ascii="Times New Roman" w:hAnsi="Times New Roman" w:cs="Times New Roman"/>
          <w:b/>
          <w:bCs/>
        </w:rPr>
        <w:t xml:space="preserve">289 (atlas centrum):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1. As with character 287.</w:t>
      </w:r>
    </w:p>
    <w:p w14:paraId="0DA7CA21" w14:textId="77777777" w:rsidR="00FA06B2" w:rsidRPr="00A155FA" w:rsidRDefault="00FA06B2" w:rsidP="005229E5">
      <w:pPr>
        <w:pStyle w:val="ListParagraph"/>
        <w:numPr>
          <w:ilvl w:val="0"/>
          <w:numId w:val="51"/>
        </w:numPr>
        <w:tabs>
          <w:tab w:val="left" w:pos="1260"/>
        </w:tabs>
        <w:rPr>
          <w:rFonts w:ascii="Times New Roman" w:hAnsi="Times New Roman" w:cs="Times New Roman"/>
        </w:rPr>
      </w:pPr>
      <w:r w:rsidRPr="00A155FA">
        <w:rPr>
          <w:rFonts w:ascii="Times New Roman" w:hAnsi="Times New Roman" w:cs="Times New Roman"/>
          <w:b/>
          <w:bCs/>
        </w:rPr>
        <w:t>293 (proatlantes):</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1. The completeness of the holotype confers support for the absence of the proatlas.</w:t>
      </w:r>
    </w:p>
    <w:p w14:paraId="79021D44"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r w:rsidRPr="00A155FA">
        <w:rPr>
          <w:rFonts w:ascii="Times New Roman" w:hAnsi="Times New Roman" w:cs="Times New Roman"/>
          <w:b/>
          <w:bCs/>
          <w:i/>
          <w:iCs/>
        </w:rPr>
        <w:t>Metoposaurus krasiejowensis</w:t>
      </w:r>
    </w:p>
    <w:p w14:paraId="6129AC44" w14:textId="77777777" w:rsidR="00FA06B2" w:rsidRPr="00A155FA" w:rsidRDefault="00FA06B2" w:rsidP="00B953AE">
      <w:pPr>
        <w:tabs>
          <w:tab w:val="left" w:pos="1260"/>
        </w:tabs>
      </w:pPr>
      <w:r w:rsidRPr="00A155FA">
        <w:t xml:space="preserve">*Note that these changes are considered to be applicable regardless of whether </w:t>
      </w:r>
      <w:r w:rsidRPr="00A155FA">
        <w:rPr>
          <w:i/>
          <w:iCs/>
        </w:rPr>
        <w:t xml:space="preserve">M. diagnosticus </w:t>
      </w:r>
      <w:r w:rsidRPr="00A155FA">
        <w:t xml:space="preserve">or </w:t>
      </w:r>
      <w:r w:rsidRPr="00A155FA">
        <w:rPr>
          <w:i/>
          <w:iCs/>
        </w:rPr>
        <w:t xml:space="preserve">M. krasiejowensis </w:t>
      </w:r>
      <w:r w:rsidRPr="00A155FA">
        <w:t>(sensu Brusatte et al., 2015)</w:t>
      </w:r>
      <w:r w:rsidRPr="00A155FA">
        <w:rPr>
          <w:i/>
          <w:iCs/>
        </w:rPr>
        <w:t xml:space="preserve"> </w:t>
      </w:r>
      <w:r w:rsidRPr="00A155FA">
        <w:t xml:space="preserve">is employed. </w:t>
      </w:r>
    </w:p>
    <w:p w14:paraId="16C2A291" w14:textId="77777777" w:rsidR="00FA06B2" w:rsidRPr="00A155FA" w:rsidRDefault="00FA06B2" w:rsidP="005229E5">
      <w:pPr>
        <w:pStyle w:val="ListParagraph"/>
        <w:numPr>
          <w:ilvl w:val="0"/>
          <w:numId w:val="52"/>
        </w:numPr>
        <w:tabs>
          <w:tab w:val="left" w:pos="1260"/>
        </w:tabs>
        <w:rPr>
          <w:rFonts w:ascii="Times New Roman" w:hAnsi="Times New Roman" w:cs="Times New Roman"/>
        </w:rPr>
      </w:pPr>
      <w:r w:rsidRPr="00A155FA">
        <w:rPr>
          <w:rFonts w:ascii="Times New Roman" w:hAnsi="Times New Roman" w:cs="Times New Roman"/>
          <w:b/>
          <w:bCs/>
        </w:rPr>
        <w:t xml:space="preserve">66 (tabular, extension):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w:t>
      </w:r>
      <w:r w:rsidRPr="00A155FA">
        <w:rPr>
          <w:rFonts w:ascii="Times New Roman" w:hAnsi="Times New Roman" w:cs="Times New Roman"/>
          <w:b/>
          <w:bCs/>
        </w:rPr>
        <w:t xml:space="preserve"> </w:t>
      </w:r>
      <w:r w:rsidRPr="00A155FA">
        <w:rPr>
          <w:rFonts w:ascii="Times New Roman" w:hAnsi="Times New Roman" w:cs="Times New Roman"/>
        </w:rPr>
        <w:t xml:space="preserve">like in the metoposauroid </w:t>
      </w:r>
      <w:r w:rsidRPr="00A155FA">
        <w:rPr>
          <w:rFonts w:ascii="Times New Roman" w:hAnsi="Times New Roman" w:cs="Times New Roman"/>
          <w:i/>
          <w:iCs/>
        </w:rPr>
        <w:t>Callistomordax</w:t>
      </w:r>
      <w:r w:rsidRPr="00A155FA">
        <w:rPr>
          <w:rFonts w:ascii="Times New Roman" w:hAnsi="Times New Roman" w:cs="Times New Roman"/>
        </w:rPr>
        <w:t xml:space="preserve">, the tabular horn of </w:t>
      </w:r>
      <w:r w:rsidRPr="00A155FA">
        <w:rPr>
          <w:rFonts w:ascii="Times New Roman" w:hAnsi="Times New Roman" w:cs="Times New Roman"/>
          <w:i/>
          <w:iCs/>
        </w:rPr>
        <w:t xml:space="preserve">Metoposaurus </w:t>
      </w:r>
      <w:r w:rsidRPr="00A155FA">
        <w:rPr>
          <w:rFonts w:ascii="Times New Roman" w:hAnsi="Times New Roman" w:cs="Times New Roman"/>
        </w:rPr>
        <w:t xml:space="preserve">points far more laterally than it does posteriorly (e.g., </w:t>
      </w:r>
      <w:proofErr w:type="spellStart"/>
      <w:r w:rsidRPr="00A155FA">
        <w:rPr>
          <w:rFonts w:ascii="Times New Roman" w:hAnsi="Times New Roman" w:cs="Times New Roman"/>
        </w:rPr>
        <w:t>Fraas</w:t>
      </w:r>
      <w:proofErr w:type="spellEnd"/>
      <w:r w:rsidRPr="00A155FA">
        <w:rPr>
          <w:rFonts w:ascii="Times New Roman" w:hAnsi="Times New Roman" w:cs="Times New Roman"/>
        </w:rPr>
        <w:t>, 1889:taf. XII; Sulej, 2002:figs. 3–4; Sulej, 2007:figs. 1B, 5, 13; Brusatte et al., 2015:figs. 2B, 11).</w:t>
      </w:r>
    </w:p>
    <w:p w14:paraId="43E363CD" w14:textId="77777777" w:rsidR="00FA06B2" w:rsidRPr="00A155FA" w:rsidRDefault="00FA06B2" w:rsidP="005229E5">
      <w:pPr>
        <w:pStyle w:val="ListParagraph"/>
        <w:numPr>
          <w:ilvl w:val="0"/>
          <w:numId w:val="52"/>
        </w:numPr>
        <w:tabs>
          <w:tab w:val="left" w:pos="1260"/>
        </w:tabs>
        <w:rPr>
          <w:rFonts w:ascii="Times New Roman" w:hAnsi="Times New Roman" w:cs="Times New Roman"/>
        </w:rPr>
      </w:pPr>
      <w:r w:rsidRPr="00A155FA">
        <w:rPr>
          <w:rFonts w:ascii="Times New Roman" w:hAnsi="Times New Roman" w:cs="Times New Roman"/>
          <w:b/>
          <w:bCs/>
        </w:rPr>
        <w:t>168 (pleurocentra):</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1. Pleurocentra are widely recognized to be absent in all metoposaurids except perhaps </w:t>
      </w:r>
      <w:r w:rsidRPr="00A155FA">
        <w:rPr>
          <w:rFonts w:ascii="Times New Roman" w:hAnsi="Times New Roman" w:cs="Times New Roman"/>
          <w:i/>
          <w:iCs/>
        </w:rPr>
        <w:t xml:space="preserve">Dutuitosaurus ouazzoui </w:t>
      </w:r>
      <w:r w:rsidRPr="00A155FA">
        <w:rPr>
          <w:rFonts w:ascii="Times New Roman" w:hAnsi="Times New Roman" w:cs="Times New Roman"/>
        </w:rPr>
        <w:t>(e.g., Dutuit, 1972, 1976; Hunt, 1993, but see Sulej, 2007).</w:t>
      </w:r>
    </w:p>
    <w:p w14:paraId="0578821F" w14:textId="77777777" w:rsidR="00FA06B2" w:rsidRPr="00A155FA" w:rsidRDefault="00FA06B2" w:rsidP="005229E5">
      <w:pPr>
        <w:pStyle w:val="ListParagraph"/>
        <w:numPr>
          <w:ilvl w:val="0"/>
          <w:numId w:val="52"/>
        </w:numPr>
        <w:tabs>
          <w:tab w:val="left" w:pos="1260"/>
        </w:tabs>
        <w:rPr>
          <w:rFonts w:ascii="Times New Roman" w:hAnsi="Times New Roman" w:cs="Times New Roman"/>
        </w:rPr>
      </w:pPr>
      <w:r w:rsidRPr="00A155FA">
        <w:rPr>
          <w:rFonts w:ascii="Times New Roman" w:hAnsi="Times New Roman" w:cs="Times New Roman"/>
          <w:b/>
          <w:bCs/>
        </w:rPr>
        <w:t>237 (postparietal length):</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0. The postparietals are typically longer than they are wide (e.g., </w:t>
      </w:r>
      <w:proofErr w:type="spellStart"/>
      <w:r w:rsidRPr="00A155FA">
        <w:rPr>
          <w:rFonts w:ascii="Times New Roman" w:hAnsi="Times New Roman" w:cs="Times New Roman"/>
        </w:rPr>
        <w:t>Fraas</w:t>
      </w:r>
      <w:proofErr w:type="spellEnd"/>
      <w:r w:rsidRPr="00A155FA">
        <w:rPr>
          <w:rFonts w:ascii="Times New Roman" w:hAnsi="Times New Roman" w:cs="Times New Roman"/>
        </w:rPr>
        <w:t xml:space="preserve">, 1889:145, </w:t>
      </w:r>
      <w:proofErr w:type="spellStart"/>
      <w:r w:rsidRPr="00A155FA">
        <w:rPr>
          <w:rFonts w:ascii="Times New Roman" w:hAnsi="Times New Roman" w:cs="Times New Roman"/>
        </w:rPr>
        <w:t>taf</w:t>
      </w:r>
      <w:proofErr w:type="spellEnd"/>
      <w:r w:rsidRPr="00A155FA">
        <w:rPr>
          <w:rFonts w:ascii="Times New Roman" w:hAnsi="Times New Roman" w:cs="Times New Roman"/>
        </w:rPr>
        <w:t>. XII; Sulej, 2002:figs. 3–4; Sulej, 2007:figs. 1B, 4–14; Brusatte et al., 2015:figs. 2B, 3, 11).</w:t>
      </w:r>
    </w:p>
    <w:p w14:paraId="7B24A025" w14:textId="77777777" w:rsidR="00FA06B2" w:rsidRPr="00A155FA" w:rsidRDefault="00FA06B2" w:rsidP="005229E5">
      <w:pPr>
        <w:pStyle w:val="ListParagraph"/>
        <w:numPr>
          <w:ilvl w:val="0"/>
          <w:numId w:val="52"/>
        </w:numPr>
        <w:tabs>
          <w:tab w:val="left" w:pos="1260"/>
        </w:tabs>
        <w:rPr>
          <w:rFonts w:ascii="Times New Roman" w:hAnsi="Times New Roman" w:cs="Times New Roman"/>
        </w:rPr>
      </w:pPr>
      <w:r w:rsidRPr="00A155FA">
        <w:rPr>
          <w:rFonts w:ascii="Times New Roman" w:hAnsi="Times New Roman" w:cs="Times New Roman"/>
          <w:b/>
          <w:bCs/>
        </w:rPr>
        <w:t>242 (number of premaxillary teeth):</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0. Like other highly nested stereospondyls, metoposaurids have a relatively high tooth count, with more than 15 positions on the premaxilla (e.g., Sulej, 2007:34).</w:t>
      </w:r>
    </w:p>
    <w:p w14:paraId="4720B72F"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r w:rsidRPr="00A155FA">
        <w:rPr>
          <w:rFonts w:ascii="Times New Roman" w:hAnsi="Times New Roman" w:cs="Times New Roman"/>
          <w:b/>
          <w:bCs/>
          <w:i/>
          <w:iCs/>
        </w:rPr>
        <w:t>Parotosuchus nasutus</w:t>
      </w:r>
    </w:p>
    <w:p w14:paraId="6CADB574" w14:textId="77777777" w:rsidR="00FA06B2" w:rsidRPr="00A155FA" w:rsidRDefault="00FA06B2" w:rsidP="005229E5">
      <w:pPr>
        <w:pStyle w:val="ListParagraph"/>
        <w:numPr>
          <w:ilvl w:val="0"/>
          <w:numId w:val="53"/>
        </w:numPr>
        <w:tabs>
          <w:tab w:val="left" w:pos="1260"/>
        </w:tabs>
        <w:rPr>
          <w:rFonts w:ascii="Times New Roman" w:hAnsi="Times New Roman" w:cs="Times New Roman"/>
        </w:rPr>
      </w:pPr>
      <w:r w:rsidRPr="00A155FA">
        <w:rPr>
          <w:rFonts w:ascii="Times New Roman" w:hAnsi="Times New Roman" w:cs="Times New Roman"/>
          <w:b/>
          <w:bCs/>
        </w:rPr>
        <w:t>113 (cultriform process, structure):</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1. Schoch (2018:118) noted a median ventral ridge extending from the basal plate onto the cultriform process and extending for the posterior half of the process.</w:t>
      </w:r>
    </w:p>
    <w:p w14:paraId="5F1726F0" w14:textId="442E460B" w:rsidR="00FA06B2" w:rsidRPr="00A155FA" w:rsidRDefault="00FA06B2" w:rsidP="00A30351">
      <w:pPr>
        <w:pStyle w:val="ListParagraph"/>
        <w:numPr>
          <w:ilvl w:val="0"/>
          <w:numId w:val="53"/>
        </w:numPr>
        <w:tabs>
          <w:tab w:val="left" w:pos="1260"/>
        </w:tabs>
        <w:rPr>
          <w:rFonts w:ascii="Times New Roman" w:hAnsi="Times New Roman" w:cs="Times New Roman"/>
        </w:rPr>
      </w:pPr>
      <w:r w:rsidRPr="00A155FA">
        <w:rPr>
          <w:rFonts w:ascii="Times New Roman" w:hAnsi="Times New Roman" w:cs="Times New Roman"/>
          <w:b/>
          <w:bCs/>
        </w:rPr>
        <w:t>168 (pleurocentra):</w:t>
      </w:r>
      <w:r w:rsidRPr="00A155FA">
        <w:rPr>
          <w:rFonts w:ascii="Times New Roman" w:hAnsi="Times New Roman" w:cs="Times New Roman"/>
        </w:rPr>
        <w:t xml:space="preserve"> 0 </w:t>
      </w:r>
      <w:r w:rsidRPr="00A155FA">
        <w:rPr>
          <w:rFonts w:ascii="Times New Roman" w:hAnsi="Times New Roman" w:cs="Times New Roman"/>
        </w:rPr>
        <w:sym w:font="Wingdings" w:char="F0E0"/>
      </w:r>
      <w:r w:rsidRPr="00A155FA">
        <w:rPr>
          <w:rFonts w:ascii="Times New Roman" w:hAnsi="Times New Roman" w:cs="Times New Roman"/>
        </w:rPr>
        <w:t xml:space="preserve"> ?. Schoch (201</w:t>
      </w:r>
      <w:r w:rsidR="00D03A02">
        <w:rPr>
          <w:rFonts w:ascii="Times New Roman" w:hAnsi="Times New Roman" w:cs="Times New Roman"/>
        </w:rPr>
        <w:t>8</w:t>
      </w:r>
      <w:r w:rsidRPr="00A155FA">
        <w:rPr>
          <w:rFonts w:ascii="Times New Roman" w:hAnsi="Times New Roman" w:cs="Times New Roman"/>
        </w:rPr>
        <w:t xml:space="preserve">:119) stated that </w:t>
      </w:r>
      <w:proofErr w:type="spellStart"/>
      <w:r w:rsidRPr="00A155FA">
        <w:rPr>
          <w:rFonts w:ascii="Times New Roman" w:hAnsi="Times New Roman" w:cs="Times New Roman"/>
        </w:rPr>
        <w:t>postcrania</w:t>
      </w:r>
      <w:proofErr w:type="spellEnd"/>
      <w:r w:rsidRPr="00A155FA">
        <w:rPr>
          <w:rFonts w:ascii="Times New Roman" w:hAnsi="Times New Roman" w:cs="Times New Roman"/>
        </w:rPr>
        <w:t xml:space="preserve"> are difficult to confidently identify due to disarticulation at the type locality and that the vertebrae are entirely unknown.</w:t>
      </w:r>
    </w:p>
    <w:p w14:paraId="163DB283" w14:textId="77777777" w:rsidR="00FA06B2" w:rsidRPr="007A0A6B" w:rsidRDefault="00FA06B2" w:rsidP="00A30351">
      <w:pPr>
        <w:pStyle w:val="ListParagraph"/>
        <w:numPr>
          <w:ilvl w:val="0"/>
          <w:numId w:val="53"/>
        </w:numPr>
        <w:tabs>
          <w:tab w:val="left" w:pos="1260"/>
        </w:tabs>
        <w:rPr>
          <w:rFonts w:ascii="Times New Roman" w:hAnsi="Times New Roman" w:cs="Times New Roman"/>
        </w:rPr>
      </w:pPr>
      <w:r w:rsidRPr="00A155FA">
        <w:rPr>
          <w:rFonts w:ascii="Times New Roman" w:hAnsi="Times New Roman" w:cs="Times New Roman"/>
          <w:b/>
          <w:bCs/>
        </w:rPr>
        <w:t>170 (pleurocentrum, ventral extension):</w:t>
      </w:r>
      <w:r w:rsidRPr="00A155FA">
        <w:rPr>
          <w:rFonts w:ascii="Times New Roman" w:hAnsi="Times New Roman" w:cs="Times New Roman"/>
        </w:rPr>
        <w:t xml:space="preserve"> 0 </w:t>
      </w:r>
      <w:r w:rsidRPr="00A155FA">
        <w:rPr>
          <w:rFonts w:ascii="Times New Roman" w:hAnsi="Times New Roman" w:cs="Times New Roman"/>
        </w:rPr>
        <w:sym w:font="Wingdings" w:char="F0E0"/>
      </w:r>
      <w:r w:rsidRPr="00A155FA">
        <w:rPr>
          <w:rFonts w:ascii="Times New Roman" w:hAnsi="Times New Roman" w:cs="Times New Roman"/>
        </w:rPr>
        <w:t xml:space="preserve"> ?. As with character 168; note that character 169 (pleurocentrum, lateral surface) was originally uncoded.</w:t>
      </w:r>
    </w:p>
    <w:p w14:paraId="57F5FF97"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proofErr w:type="spellStart"/>
      <w:r w:rsidRPr="00A155FA">
        <w:rPr>
          <w:rFonts w:ascii="Times New Roman" w:hAnsi="Times New Roman" w:cs="Times New Roman"/>
          <w:b/>
          <w:bCs/>
          <w:i/>
          <w:iCs/>
        </w:rPr>
        <w:t>Paracylotosaurus</w:t>
      </w:r>
      <w:proofErr w:type="spellEnd"/>
      <w:r w:rsidRPr="00A155FA">
        <w:rPr>
          <w:rFonts w:ascii="Times New Roman" w:hAnsi="Times New Roman" w:cs="Times New Roman"/>
          <w:b/>
          <w:bCs/>
          <w:i/>
          <w:iCs/>
        </w:rPr>
        <w:t xml:space="preserve"> </w:t>
      </w:r>
      <w:proofErr w:type="spellStart"/>
      <w:r w:rsidRPr="00A155FA">
        <w:rPr>
          <w:rFonts w:ascii="Times New Roman" w:hAnsi="Times New Roman" w:cs="Times New Roman"/>
          <w:b/>
          <w:bCs/>
          <w:i/>
          <w:iCs/>
        </w:rPr>
        <w:t>davidi</w:t>
      </w:r>
      <w:proofErr w:type="spellEnd"/>
    </w:p>
    <w:p w14:paraId="29E54375" w14:textId="77777777" w:rsidR="00FA06B2" w:rsidRPr="00A155FA" w:rsidRDefault="00FA06B2" w:rsidP="005229E5">
      <w:pPr>
        <w:pStyle w:val="ListParagraph"/>
        <w:numPr>
          <w:ilvl w:val="0"/>
          <w:numId w:val="54"/>
        </w:numPr>
        <w:tabs>
          <w:tab w:val="left" w:pos="1260"/>
        </w:tabs>
        <w:rPr>
          <w:rFonts w:ascii="Times New Roman" w:hAnsi="Times New Roman" w:cs="Times New Roman"/>
        </w:rPr>
      </w:pPr>
      <w:r w:rsidRPr="00A155FA">
        <w:rPr>
          <w:rFonts w:ascii="Times New Roman" w:hAnsi="Times New Roman" w:cs="Times New Roman"/>
          <w:b/>
          <w:bCs/>
        </w:rPr>
        <w:t>75 (quadrate and occipital condyles):</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0. Figures by Watson (1958:fig. 1) and Damiani (2001:fig. 21) show the occipital condyles situated slightly anterior to the quadrate condyles, contrary to Watson’s description that the condyles lie “essentially in the same transverse plane” (p. 244 therein). </w:t>
      </w:r>
    </w:p>
    <w:p w14:paraId="5B59B05A" w14:textId="77777777" w:rsidR="00FA06B2" w:rsidRPr="00A155FA" w:rsidRDefault="00FA06B2" w:rsidP="005229E5">
      <w:pPr>
        <w:pStyle w:val="ListParagraph"/>
        <w:numPr>
          <w:ilvl w:val="0"/>
          <w:numId w:val="54"/>
        </w:numPr>
        <w:tabs>
          <w:tab w:val="left" w:pos="1260"/>
        </w:tabs>
        <w:rPr>
          <w:rFonts w:ascii="Times New Roman" w:hAnsi="Times New Roman" w:cs="Times New Roman"/>
        </w:rPr>
      </w:pPr>
      <w:r w:rsidRPr="00A155FA">
        <w:rPr>
          <w:rFonts w:ascii="Times New Roman" w:hAnsi="Times New Roman" w:cs="Times New Roman"/>
          <w:b/>
          <w:bCs/>
        </w:rPr>
        <w:t>91 (anterior palatal opening):</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0. There is no indication of any perforations for the symphyseal fangs (Watson:1958:fig. 1).</w:t>
      </w:r>
    </w:p>
    <w:p w14:paraId="1CC36817" w14:textId="77777777" w:rsidR="00FA06B2" w:rsidRPr="00A155FA" w:rsidRDefault="00FA06B2" w:rsidP="00A30351">
      <w:pPr>
        <w:pStyle w:val="ListParagraph"/>
        <w:numPr>
          <w:ilvl w:val="0"/>
          <w:numId w:val="54"/>
        </w:numPr>
        <w:tabs>
          <w:tab w:val="left" w:pos="1260"/>
        </w:tabs>
        <w:rPr>
          <w:rFonts w:ascii="Times New Roman" w:hAnsi="Times New Roman" w:cs="Times New Roman"/>
        </w:rPr>
      </w:pPr>
      <w:r w:rsidRPr="00A155FA">
        <w:rPr>
          <w:rFonts w:ascii="Times New Roman" w:hAnsi="Times New Roman" w:cs="Times New Roman"/>
          <w:b/>
          <w:bCs/>
        </w:rPr>
        <w:lastRenderedPageBreak/>
        <w:t>168 (pleurocentra):</w:t>
      </w:r>
      <w:r w:rsidRPr="00A155FA">
        <w:rPr>
          <w:rFonts w:ascii="Times New Roman" w:hAnsi="Times New Roman" w:cs="Times New Roman"/>
        </w:rPr>
        <w:t xml:space="preserve"> 0 </w:t>
      </w:r>
      <w:r w:rsidRPr="00A155FA">
        <w:rPr>
          <w:rFonts w:ascii="Times New Roman" w:hAnsi="Times New Roman" w:cs="Times New Roman"/>
        </w:rPr>
        <w:sym w:font="Wingdings" w:char="F0E0"/>
      </w:r>
      <w:r w:rsidRPr="00A155FA">
        <w:rPr>
          <w:rFonts w:ascii="Times New Roman" w:hAnsi="Times New Roman" w:cs="Times New Roman"/>
        </w:rPr>
        <w:t xml:space="preserve"> 1. Watson (1958:247) stated that the pleurocentra were entirely cartilaginous. While their position can be ascertained from the articulated holotype, this does not allow them to be coded for any pleurocentra character given the unossified state. </w:t>
      </w:r>
    </w:p>
    <w:p w14:paraId="0F7D01FD" w14:textId="77777777" w:rsidR="00FA06B2" w:rsidRPr="00A155FA" w:rsidRDefault="00FA06B2" w:rsidP="00A30351">
      <w:pPr>
        <w:pStyle w:val="ListParagraph"/>
        <w:numPr>
          <w:ilvl w:val="0"/>
          <w:numId w:val="54"/>
        </w:numPr>
        <w:tabs>
          <w:tab w:val="left" w:pos="1260"/>
        </w:tabs>
        <w:rPr>
          <w:rFonts w:ascii="Times New Roman" w:hAnsi="Times New Roman" w:cs="Times New Roman"/>
        </w:rPr>
      </w:pPr>
      <w:r w:rsidRPr="00A155FA">
        <w:rPr>
          <w:rFonts w:ascii="Times New Roman" w:hAnsi="Times New Roman" w:cs="Times New Roman"/>
          <w:b/>
          <w:bCs/>
        </w:rPr>
        <w:t>169 (pleurocentrum, lateral surface):</w:t>
      </w:r>
      <w:r w:rsidRPr="00A155FA">
        <w:rPr>
          <w:rFonts w:ascii="Times New Roman" w:hAnsi="Times New Roman" w:cs="Times New Roman"/>
        </w:rPr>
        <w:t xml:space="preserve"> 1 </w:t>
      </w:r>
      <w:r w:rsidRPr="00A155FA">
        <w:rPr>
          <w:rFonts w:ascii="Times New Roman" w:hAnsi="Times New Roman" w:cs="Times New Roman"/>
        </w:rPr>
        <w:sym w:font="Wingdings" w:char="F0E0"/>
      </w:r>
      <w:r w:rsidRPr="00A155FA">
        <w:rPr>
          <w:rFonts w:ascii="Times New Roman" w:hAnsi="Times New Roman" w:cs="Times New Roman"/>
        </w:rPr>
        <w:t xml:space="preserve"> -. As with character 168.</w:t>
      </w:r>
    </w:p>
    <w:p w14:paraId="49C21343" w14:textId="77777777" w:rsidR="00FA06B2" w:rsidRPr="00A155FA" w:rsidRDefault="00FA06B2" w:rsidP="00A30351">
      <w:pPr>
        <w:pStyle w:val="ListParagraph"/>
        <w:numPr>
          <w:ilvl w:val="0"/>
          <w:numId w:val="54"/>
        </w:numPr>
        <w:tabs>
          <w:tab w:val="left" w:pos="1260"/>
        </w:tabs>
        <w:rPr>
          <w:rFonts w:ascii="Times New Roman" w:hAnsi="Times New Roman" w:cs="Times New Roman"/>
        </w:rPr>
      </w:pPr>
      <w:r w:rsidRPr="00A155FA">
        <w:rPr>
          <w:rFonts w:ascii="Times New Roman" w:hAnsi="Times New Roman" w:cs="Times New Roman"/>
          <w:b/>
          <w:bCs/>
        </w:rPr>
        <w:t>170 (pleurocentrum, ventral extension):</w:t>
      </w:r>
      <w:r w:rsidRPr="00A155FA">
        <w:rPr>
          <w:rFonts w:ascii="Times New Roman" w:hAnsi="Times New Roman" w:cs="Times New Roman"/>
        </w:rPr>
        <w:t xml:space="preserve"> 0 </w:t>
      </w:r>
      <w:r w:rsidRPr="00A155FA">
        <w:rPr>
          <w:rFonts w:ascii="Times New Roman" w:hAnsi="Times New Roman" w:cs="Times New Roman"/>
        </w:rPr>
        <w:sym w:font="Wingdings" w:char="F0E0"/>
      </w:r>
      <w:r w:rsidRPr="00A155FA">
        <w:rPr>
          <w:rFonts w:ascii="Times New Roman" w:hAnsi="Times New Roman" w:cs="Times New Roman"/>
        </w:rPr>
        <w:t xml:space="preserve"> -. As with character 168.</w:t>
      </w:r>
    </w:p>
    <w:p w14:paraId="3569CEB4" w14:textId="77777777" w:rsidR="00FA06B2" w:rsidRPr="00A155FA" w:rsidRDefault="00FA06B2" w:rsidP="005229E5">
      <w:pPr>
        <w:pStyle w:val="ListParagraph"/>
        <w:numPr>
          <w:ilvl w:val="0"/>
          <w:numId w:val="54"/>
        </w:numPr>
        <w:tabs>
          <w:tab w:val="left" w:pos="1260"/>
        </w:tabs>
        <w:rPr>
          <w:rFonts w:ascii="Times New Roman" w:hAnsi="Times New Roman" w:cs="Times New Roman"/>
        </w:rPr>
      </w:pPr>
      <w:r w:rsidRPr="00A155FA">
        <w:rPr>
          <w:rFonts w:ascii="Times New Roman" w:hAnsi="Times New Roman" w:cs="Times New Roman"/>
          <w:b/>
          <w:bCs/>
        </w:rPr>
        <w:t>197 (manual count):</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0. Watson (1958:251) noted five manual digits. Konietzko-Meier et al. (2020:1152–1153) also commented on this with respect to the present mounting of the holotype with four fingers as perhaps a modification from the original mounting with five fingers in light of the now disproven perception that all temnospondyls have four manual digits. </w:t>
      </w:r>
    </w:p>
    <w:p w14:paraId="372B8F4E" w14:textId="77777777" w:rsidR="00FA06B2" w:rsidRPr="00A155FA" w:rsidRDefault="00FA06B2" w:rsidP="005229E5">
      <w:pPr>
        <w:pStyle w:val="ListParagraph"/>
        <w:numPr>
          <w:ilvl w:val="0"/>
          <w:numId w:val="54"/>
        </w:numPr>
        <w:tabs>
          <w:tab w:val="left" w:pos="1260"/>
        </w:tabs>
        <w:rPr>
          <w:rFonts w:ascii="Times New Roman" w:hAnsi="Times New Roman" w:cs="Times New Roman"/>
        </w:rPr>
      </w:pPr>
      <w:r w:rsidRPr="00A155FA">
        <w:rPr>
          <w:rFonts w:ascii="Times New Roman" w:hAnsi="Times New Roman" w:cs="Times New Roman"/>
          <w:b/>
          <w:bCs/>
        </w:rPr>
        <w:t xml:space="preserve">287 (atlas-axis intercentra):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Watson (1958:245–246, fig. 8) described and figured this complex.</w:t>
      </w:r>
    </w:p>
    <w:p w14:paraId="1D257ADB" w14:textId="77777777" w:rsidR="00FA06B2" w:rsidRPr="00A155FA" w:rsidRDefault="00FA06B2" w:rsidP="005229E5">
      <w:pPr>
        <w:pStyle w:val="ListParagraph"/>
        <w:numPr>
          <w:ilvl w:val="0"/>
          <w:numId w:val="54"/>
        </w:numPr>
        <w:tabs>
          <w:tab w:val="left" w:pos="1260"/>
        </w:tabs>
        <w:rPr>
          <w:rFonts w:ascii="Times New Roman" w:hAnsi="Times New Roman" w:cs="Times New Roman"/>
        </w:rPr>
      </w:pPr>
      <w:r w:rsidRPr="00A155FA">
        <w:rPr>
          <w:rFonts w:ascii="Times New Roman" w:hAnsi="Times New Roman" w:cs="Times New Roman"/>
          <w:b/>
          <w:bCs/>
        </w:rPr>
        <w:t>288 (atlas anterior centrum):</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1. As with character 287.</w:t>
      </w:r>
    </w:p>
    <w:p w14:paraId="41E6DD07" w14:textId="77777777" w:rsidR="00FA06B2" w:rsidRPr="00A155FA" w:rsidRDefault="00FA06B2" w:rsidP="005229E5">
      <w:pPr>
        <w:pStyle w:val="ListParagraph"/>
        <w:numPr>
          <w:ilvl w:val="0"/>
          <w:numId w:val="54"/>
        </w:numPr>
        <w:tabs>
          <w:tab w:val="left" w:pos="1260"/>
        </w:tabs>
        <w:rPr>
          <w:rFonts w:ascii="Times New Roman" w:hAnsi="Times New Roman" w:cs="Times New Roman"/>
        </w:rPr>
      </w:pPr>
      <w:r w:rsidRPr="00A155FA">
        <w:rPr>
          <w:rFonts w:ascii="Times New Roman" w:hAnsi="Times New Roman" w:cs="Times New Roman"/>
          <w:b/>
          <w:bCs/>
        </w:rPr>
        <w:t xml:space="preserve">289 (atlas centrum):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As with character 287.</w:t>
      </w:r>
    </w:p>
    <w:p w14:paraId="50BA3B98"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r w:rsidRPr="00A155FA">
        <w:rPr>
          <w:rFonts w:ascii="Times New Roman" w:hAnsi="Times New Roman" w:cs="Times New Roman"/>
          <w:b/>
          <w:bCs/>
          <w:i/>
          <w:iCs/>
        </w:rPr>
        <w:t>Cyclotosaurus intermedius</w:t>
      </w:r>
    </w:p>
    <w:p w14:paraId="138D1F32" w14:textId="77777777" w:rsidR="00FA06B2" w:rsidRPr="00A155FA" w:rsidRDefault="00FA06B2" w:rsidP="00B953AE">
      <w:pPr>
        <w:tabs>
          <w:tab w:val="left" w:pos="1260"/>
        </w:tabs>
      </w:pPr>
      <w:r w:rsidRPr="00A155FA">
        <w:t xml:space="preserve">*Note that these changes are considered to be applicable regardless of whether </w:t>
      </w:r>
      <w:r w:rsidRPr="00A155FA">
        <w:rPr>
          <w:i/>
          <w:iCs/>
        </w:rPr>
        <w:t xml:space="preserve">C. robustus </w:t>
      </w:r>
      <w:r w:rsidRPr="00A155FA">
        <w:t xml:space="preserve">or </w:t>
      </w:r>
      <w:r w:rsidRPr="00A155FA">
        <w:rPr>
          <w:i/>
          <w:iCs/>
        </w:rPr>
        <w:t xml:space="preserve">C. intermedius </w:t>
      </w:r>
      <w:r w:rsidRPr="00A155FA">
        <w:t xml:space="preserve">is employed. </w:t>
      </w:r>
    </w:p>
    <w:p w14:paraId="1E31C991" w14:textId="77777777" w:rsidR="00FA06B2" w:rsidRPr="00A155FA" w:rsidRDefault="00FA06B2" w:rsidP="005229E5">
      <w:pPr>
        <w:pStyle w:val="ListParagraph"/>
        <w:numPr>
          <w:ilvl w:val="0"/>
          <w:numId w:val="55"/>
        </w:numPr>
        <w:tabs>
          <w:tab w:val="left" w:pos="1260"/>
        </w:tabs>
        <w:rPr>
          <w:rFonts w:ascii="Times New Roman" w:hAnsi="Times New Roman" w:cs="Times New Roman"/>
        </w:rPr>
      </w:pPr>
      <w:r w:rsidRPr="00A155FA">
        <w:rPr>
          <w:rFonts w:ascii="Times New Roman" w:hAnsi="Times New Roman" w:cs="Times New Roman"/>
          <w:b/>
          <w:bCs/>
        </w:rPr>
        <w:t>75 (quadrate and occipital condyles):</w:t>
      </w:r>
      <w:r w:rsidRPr="00A155FA">
        <w:rPr>
          <w:rFonts w:ascii="Times New Roman" w:hAnsi="Times New Roman" w:cs="Times New Roman"/>
        </w:rPr>
        <w:t xml:space="preserve"> 1 </w:t>
      </w:r>
      <w:r w:rsidRPr="00A155FA">
        <w:rPr>
          <w:rFonts w:ascii="Times New Roman" w:eastAsia="Wingdings" w:hAnsi="Times New Roman" w:cs="Times New Roman"/>
        </w:rPr>
        <w:t>→</w:t>
      </w:r>
      <w:r w:rsidRPr="00A155FA">
        <w:rPr>
          <w:rFonts w:ascii="Times New Roman" w:hAnsi="Times New Roman" w:cs="Times New Roman"/>
        </w:rPr>
        <w:t xml:space="preserve"> 2. The occipital condyles extend beyond the quadrates (Schoch, 2008a:fig. 5C).</w:t>
      </w:r>
    </w:p>
    <w:p w14:paraId="770E8CD9"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r w:rsidRPr="00A155FA">
        <w:rPr>
          <w:rFonts w:ascii="Times New Roman" w:hAnsi="Times New Roman" w:cs="Times New Roman"/>
          <w:b/>
          <w:bCs/>
          <w:i/>
          <w:iCs/>
        </w:rPr>
        <w:t>Mastodonsaurus giganteus</w:t>
      </w:r>
    </w:p>
    <w:p w14:paraId="043E647C" w14:textId="77777777" w:rsidR="00FA06B2" w:rsidRPr="00A155FA" w:rsidRDefault="00FA06B2" w:rsidP="005229E5">
      <w:pPr>
        <w:pStyle w:val="ListParagraph"/>
        <w:numPr>
          <w:ilvl w:val="0"/>
          <w:numId w:val="56"/>
        </w:numPr>
        <w:tabs>
          <w:tab w:val="left" w:pos="1260"/>
        </w:tabs>
        <w:rPr>
          <w:rFonts w:ascii="Times New Roman" w:hAnsi="Times New Roman" w:cs="Times New Roman"/>
          <w:b/>
          <w:bCs/>
        </w:rPr>
      </w:pPr>
      <w:r w:rsidRPr="00A155FA">
        <w:rPr>
          <w:rFonts w:ascii="Times New Roman" w:hAnsi="Times New Roman" w:cs="Times New Roman"/>
          <w:b/>
          <w:bCs/>
        </w:rPr>
        <w:t xml:space="preserve">15 (internarial distance):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The narrow interorbital distance of this taxon is well-documented (Schoch, 1999:25, fig. 1)</w:t>
      </w:r>
    </w:p>
    <w:p w14:paraId="1BD348C9" w14:textId="77777777" w:rsidR="00FA06B2" w:rsidRPr="00A155FA" w:rsidRDefault="00FA06B2" w:rsidP="005229E5">
      <w:pPr>
        <w:pStyle w:val="ListParagraph"/>
        <w:numPr>
          <w:ilvl w:val="0"/>
          <w:numId w:val="56"/>
        </w:numPr>
        <w:tabs>
          <w:tab w:val="left" w:pos="1260"/>
        </w:tabs>
        <w:rPr>
          <w:rFonts w:ascii="Times New Roman" w:hAnsi="Times New Roman" w:cs="Times New Roman"/>
        </w:rPr>
      </w:pPr>
      <w:r w:rsidRPr="00A155FA">
        <w:rPr>
          <w:rFonts w:ascii="Times New Roman" w:hAnsi="Times New Roman" w:cs="Times New Roman"/>
          <w:b/>
          <w:bCs/>
        </w:rPr>
        <w:t xml:space="preserve">75 (quadrate and occipital condyles):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2. Schoch (1999:fig. 13) showed the occipital condyles extending beyond the level of the quadrates. Schoch (1999)’s statement about the condyles being at the same level (p. 56 therein) may refer to the dorsoventral plane (as they are indeed at the same level in this axis).</w:t>
      </w:r>
    </w:p>
    <w:p w14:paraId="139BFBFF" w14:textId="77777777" w:rsidR="00FA06B2" w:rsidRPr="00A155FA" w:rsidRDefault="00FA06B2" w:rsidP="005229E5">
      <w:pPr>
        <w:pStyle w:val="ListParagraph"/>
        <w:numPr>
          <w:ilvl w:val="0"/>
          <w:numId w:val="56"/>
        </w:numPr>
        <w:tabs>
          <w:tab w:val="left" w:pos="1260"/>
        </w:tabs>
        <w:rPr>
          <w:rFonts w:ascii="Times New Roman" w:hAnsi="Times New Roman" w:cs="Times New Roman"/>
        </w:rPr>
      </w:pPr>
      <w:r w:rsidRPr="00A155FA">
        <w:rPr>
          <w:rFonts w:ascii="Times New Roman" w:hAnsi="Times New Roman" w:cs="Times New Roman"/>
          <w:b/>
          <w:bCs/>
        </w:rPr>
        <w:t xml:space="preserve">141 (postglenoid area (types)):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Schoch (1999:80) stated that the PGA of this taxon is highly variable and displays characteristics of both types within a single jaw (i.e. it cannot be discretized into this binary); for this reason, we code the character as unknown rather than as polymorphic. </w:t>
      </w:r>
    </w:p>
    <w:p w14:paraId="621F2938" w14:textId="77777777" w:rsidR="00FA06B2" w:rsidRPr="00A155FA" w:rsidRDefault="00FA06B2" w:rsidP="005229E5">
      <w:pPr>
        <w:pStyle w:val="ListParagraph"/>
        <w:numPr>
          <w:ilvl w:val="0"/>
          <w:numId w:val="56"/>
        </w:numPr>
        <w:tabs>
          <w:tab w:val="left" w:pos="1260"/>
        </w:tabs>
        <w:rPr>
          <w:rFonts w:ascii="Times New Roman" w:hAnsi="Times New Roman" w:cs="Times New Roman"/>
        </w:rPr>
      </w:pPr>
      <w:r w:rsidRPr="00A155FA">
        <w:rPr>
          <w:rFonts w:ascii="Times New Roman" w:hAnsi="Times New Roman" w:cs="Times New Roman"/>
          <w:b/>
          <w:bCs/>
        </w:rPr>
        <w:t>196 (carpals):</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1. Schoch (1999:130, fig. 45) described and figured at least two proximal carpals, which are known from a partial articulated skeleton from </w:t>
      </w:r>
      <w:proofErr w:type="spellStart"/>
      <w:r w:rsidRPr="00A155FA">
        <w:rPr>
          <w:rFonts w:ascii="Times New Roman" w:hAnsi="Times New Roman" w:cs="Times New Roman"/>
        </w:rPr>
        <w:t>Gaildorf</w:t>
      </w:r>
      <w:proofErr w:type="spellEnd"/>
      <w:r w:rsidRPr="00A155FA">
        <w:rPr>
          <w:rFonts w:ascii="Times New Roman" w:hAnsi="Times New Roman" w:cs="Times New Roman"/>
        </w:rPr>
        <w:t>.</w:t>
      </w:r>
    </w:p>
    <w:p w14:paraId="607D4366" w14:textId="77777777" w:rsidR="00FA06B2" w:rsidRPr="00A155FA" w:rsidRDefault="00FA06B2" w:rsidP="005229E5">
      <w:pPr>
        <w:pStyle w:val="ListParagraph"/>
        <w:numPr>
          <w:ilvl w:val="0"/>
          <w:numId w:val="56"/>
        </w:numPr>
        <w:tabs>
          <w:tab w:val="left" w:pos="1260"/>
        </w:tabs>
        <w:rPr>
          <w:rFonts w:ascii="Times New Roman" w:hAnsi="Times New Roman" w:cs="Times New Roman"/>
        </w:rPr>
      </w:pPr>
      <w:r w:rsidRPr="00A155FA">
        <w:rPr>
          <w:rFonts w:ascii="Times New Roman" w:hAnsi="Times New Roman" w:cs="Times New Roman"/>
          <w:b/>
          <w:bCs/>
        </w:rPr>
        <w:t xml:space="preserve">287 (atlas-axis intercentra):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Schoch (1999:98–99, figs. 29–30) described and figured this complex.</w:t>
      </w:r>
    </w:p>
    <w:p w14:paraId="408F9C23" w14:textId="77777777" w:rsidR="00FA06B2" w:rsidRPr="00A155FA" w:rsidRDefault="00FA06B2" w:rsidP="005229E5">
      <w:pPr>
        <w:pStyle w:val="ListParagraph"/>
        <w:numPr>
          <w:ilvl w:val="0"/>
          <w:numId w:val="56"/>
        </w:numPr>
        <w:tabs>
          <w:tab w:val="left" w:pos="1260"/>
        </w:tabs>
        <w:rPr>
          <w:rFonts w:ascii="Times New Roman" w:hAnsi="Times New Roman" w:cs="Times New Roman"/>
        </w:rPr>
      </w:pPr>
      <w:r w:rsidRPr="00A155FA">
        <w:rPr>
          <w:rFonts w:ascii="Times New Roman" w:hAnsi="Times New Roman" w:cs="Times New Roman"/>
          <w:b/>
          <w:bCs/>
        </w:rPr>
        <w:t>288 (atlas anterior centrum):</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1. As with character 287.</w:t>
      </w:r>
    </w:p>
    <w:p w14:paraId="6065BCC2" w14:textId="77777777" w:rsidR="00FA06B2" w:rsidRPr="00A155FA" w:rsidRDefault="00FA06B2" w:rsidP="005229E5">
      <w:pPr>
        <w:pStyle w:val="ListParagraph"/>
        <w:numPr>
          <w:ilvl w:val="0"/>
          <w:numId w:val="56"/>
        </w:numPr>
        <w:tabs>
          <w:tab w:val="left" w:pos="1260"/>
        </w:tabs>
        <w:rPr>
          <w:rFonts w:ascii="Times New Roman" w:hAnsi="Times New Roman" w:cs="Times New Roman"/>
        </w:rPr>
      </w:pPr>
      <w:r w:rsidRPr="00A155FA">
        <w:rPr>
          <w:rFonts w:ascii="Times New Roman" w:hAnsi="Times New Roman" w:cs="Times New Roman"/>
          <w:b/>
          <w:bCs/>
        </w:rPr>
        <w:t xml:space="preserve">289 (atlas centrum):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1. As with character 287.</w:t>
      </w:r>
    </w:p>
    <w:p w14:paraId="3A075AB5" w14:textId="77777777" w:rsidR="00FA06B2" w:rsidRPr="00A155FA" w:rsidRDefault="00FA06B2" w:rsidP="005229E5">
      <w:pPr>
        <w:pStyle w:val="ListParagraph"/>
        <w:numPr>
          <w:ilvl w:val="0"/>
          <w:numId w:val="56"/>
        </w:numPr>
        <w:tabs>
          <w:tab w:val="left" w:pos="1260"/>
        </w:tabs>
        <w:rPr>
          <w:rFonts w:ascii="Times New Roman" w:hAnsi="Times New Roman" w:cs="Times New Roman"/>
        </w:rPr>
      </w:pPr>
      <w:r w:rsidRPr="00A155FA">
        <w:rPr>
          <w:rFonts w:ascii="Times New Roman" w:hAnsi="Times New Roman" w:cs="Times New Roman"/>
          <w:b/>
          <w:bCs/>
        </w:rPr>
        <w:t>290 (atlas neural arch):</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2. As with character 287. </w:t>
      </w:r>
    </w:p>
    <w:p w14:paraId="472FB1BD" w14:textId="77777777" w:rsidR="00FA06B2" w:rsidRPr="00A155FA" w:rsidRDefault="00FA06B2" w:rsidP="005229E5">
      <w:pPr>
        <w:pStyle w:val="ListParagraph"/>
        <w:numPr>
          <w:ilvl w:val="0"/>
          <w:numId w:val="56"/>
        </w:numPr>
        <w:tabs>
          <w:tab w:val="left" w:pos="1260"/>
        </w:tabs>
        <w:rPr>
          <w:rFonts w:ascii="Times New Roman" w:hAnsi="Times New Roman" w:cs="Times New Roman"/>
        </w:rPr>
      </w:pPr>
      <w:r w:rsidRPr="00A155FA">
        <w:rPr>
          <w:rFonts w:ascii="Times New Roman" w:hAnsi="Times New Roman" w:cs="Times New Roman"/>
          <w:b/>
          <w:bCs/>
        </w:rPr>
        <w:t xml:space="preserve">291 (atlas </w:t>
      </w:r>
      <w:proofErr w:type="spellStart"/>
      <w:r w:rsidRPr="00A155FA">
        <w:rPr>
          <w:rFonts w:ascii="Times New Roman" w:hAnsi="Times New Roman" w:cs="Times New Roman"/>
          <w:b/>
          <w:bCs/>
        </w:rPr>
        <w:t>parapophyses</w:t>
      </w:r>
      <w:proofErr w:type="spellEnd"/>
      <w:r w:rsidRPr="00A155FA">
        <w:rPr>
          <w:rFonts w:ascii="Times New Roman" w:hAnsi="Times New Roman" w:cs="Times New Roman"/>
          <w:b/>
          <w:bCs/>
        </w:rPr>
        <w:t>):</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2. As with character 287.</w:t>
      </w:r>
    </w:p>
    <w:p w14:paraId="0BC26D4A" w14:textId="77777777" w:rsidR="00FA06B2" w:rsidRPr="00A155FA" w:rsidRDefault="00FA06B2" w:rsidP="005229E5">
      <w:pPr>
        <w:pStyle w:val="ListParagraph"/>
        <w:numPr>
          <w:ilvl w:val="0"/>
          <w:numId w:val="56"/>
        </w:numPr>
        <w:tabs>
          <w:tab w:val="left" w:pos="1260"/>
        </w:tabs>
        <w:rPr>
          <w:rFonts w:ascii="Times New Roman" w:hAnsi="Times New Roman" w:cs="Times New Roman"/>
        </w:rPr>
      </w:pPr>
      <w:r w:rsidRPr="00A155FA">
        <w:rPr>
          <w:rFonts w:ascii="Times New Roman" w:hAnsi="Times New Roman" w:cs="Times New Roman"/>
          <w:b/>
          <w:bCs/>
        </w:rPr>
        <w:t>292(atlas neural arch):</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1. As with character 287.</w:t>
      </w:r>
    </w:p>
    <w:p w14:paraId="3CE76A41" w14:textId="77777777" w:rsidR="00FA06B2" w:rsidRPr="00A155FA" w:rsidRDefault="00FA06B2" w:rsidP="005229E5">
      <w:pPr>
        <w:pStyle w:val="ListParagraph"/>
        <w:numPr>
          <w:ilvl w:val="0"/>
          <w:numId w:val="56"/>
        </w:numPr>
        <w:tabs>
          <w:tab w:val="left" w:pos="1260"/>
        </w:tabs>
        <w:rPr>
          <w:rFonts w:ascii="Times New Roman" w:hAnsi="Times New Roman" w:cs="Times New Roman"/>
        </w:rPr>
      </w:pPr>
      <w:r w:rsidRPr="00A155FA">
        <w:rPr>
          <w:rFonts w:ascii="Times New Roman" w:hAnsi="Times New Roman" w:cs="Times New Roman"/>
          <w:b/>
          <w:bCs/>
        </w:rPr>
        <w:t>293 (proatlantes):</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1. Schoch (1999:95) states that the proatlas is absent.</w:t>
      </w:r>
    </w:p>
    <w:p w14:paraId="14E40633" w14:textId="77777777" w:rsidR="00FA06B2" w:rsidRPr="00A155FA" w:rsidRDefault="00FA06B2" w:rsidP="005229E5">
      <w:pPr>
        <w:pStyle w:val="ListParagraph"/>
        <w:numPr>
          <w:ilvl w:val="0"/>
          <w:numId w:val="62"/>
        </w:numPr>
        <w:tabs>
          <w:tab w:val="left" w:pos="1260"/>
        </w:tabs>
        <w:rPr>
          <w:rFonts w:ascii="Times New Roman" w:hAnsi="Times New Roman" w:cs="Times New Roman"/>
          <w:b/>
          <w:bCs/>
        </w:rPr>
      </w:pPr>
      <w:r w:rsidRPr="00A155FA">
        <w:rPr>
          <w:rFonts w:ascii="Times New Roman" w:hAnsi="Times New Roman" w:cs="Times New Roman"/>
          <w:b/>
          <w:bCs/>
          <w:i/>
          <w:iCs/>
        </w:rPr>
        <w:t>Chinlestegophis jenkinsi</w:t>
      </w:r>
    </w:p>
    <w:p w14:paraId="0ACE8A0E" w14:textId="77777777" w:rsidR="00FA06B2" w:rsidRPr="00A155FA" w:rsidRDefault="00FA06B2" w:rsidP="005229E5">
      <w:pPr>
        <w:pStyle w:val="ListParagraph"/>
        <w:numPr>
          <w:ilvl w:val="0"/>
          <w:numId w:val="57"/>
        </w:numPr>
        <w:tabs>
          <w:tab w:val="left" w:pos="1260"/>
        </w:tabs>
        <w:rPr>
          <w:rFonts w:ascii="Times New Roman" w:hAnsi="Times New Roman" w:cs="Times New Roman"/>
        </w:rPr>
      </w:pPr>
      <w:r w:rsidRPr="00A155FA">
        <w:rPr>
          <w:rFonts w:ascii="Times New Roman" w:hAnsi="Times New Roman" w:cs="Times New Roman"/>
          <w:b/>
          <w:bCs/>
        </w:rPr>
        <w:t>21 (lacrimal):</w:t>
      </w:r>
      <w:r w:rsidRPr="00A155FA">
        <w:rPr>
          <w:rFonts w:ascii="Times New Roman" w:hAnsi="Times New Roman" w:cs="Times New Roman"/>
        </w:rPr>
        <w:t xml:space="preserve"> ? </w:t>
      </w:r>
      <w:r w:rsidRPr="00A155FA">
        <w:rPr>
          <w:rFonts w:ascii="Times New Roman" w:eastAsia="Wingdings" w:hAnsi="Times New Roman" w:cs="Times New Roman"/>
        </w:rPr>
        <w:t>→</w:t>
      </w:r>
      <w:r w:rsidRPr="00A155FA">
        <w:rPr>
          <w:rFonts w:ascii="Times New Roman" w:hAnsi="Times New Roman" w:cs="Times New Roman"/>
        </w:rPr>
        <w:t xml:space="preserve"> 0. Regardless of whether the lacrimal indeed fused with the maxilla or was ‘lost’ through some other process, there is no dorsal </w:t>
      </w:r>
      <w:r w:rsidRPr="00A155FA">
        <w:rPr>
          <w:rFonts w:ascii="Times New Roman" w:hAnsi="Times New Roman" w:cs="Times New Roman"/>
        </w:rPr>
        <w:lastRenderedPageBreak/>
        <w:t xml:space="preserve">expression of the lacrimal or identification of a distinct lacrimal through tomography. This is considered sufficient here to restore the original code of Pardo et al. (2017a), which was changed by Schoch et al. (2020). The same character is not restored for </w:t>
      </w:r>
      <w:r w:rsidRPr="00A155FA">
        <w:rPr>
          <w:rFonts w:ascii="Times New Roman" w:hAnsi="Times New Roman" w:cs="Times New Roman"/>
          <w:i/>
          <w:iCs/>
        </w:rPr>
        <w:t>Rileymillerus cosgriffi</w:t>
      </w:r>
      <w:r w:rsidRPr="00A155FA">
        <w:rPr>
          <w:rFonts w:ascii="Times New Roman" w:hAnsi="Times New Roman" w:cs="Times New Roman"/>
        </w:rPr>
        <w:t xml:space="preserve"> because CT analysis has not been performed for this taxon and because of suspicions over identity of the ‘nasal’ in this taxon (see Supporting Information). Correspondent with this change, codes for characters 22–24 (related to the lacrimal) were updated to ‘-‘ from ‘?’.</w:t>
      </w:r>
    </w:p>
    <w:p w14:paraId="3092DF0E" w14:textId="77777777" w:rsidR="00FA06B2" w:rsidRPr="00A155FA" w:rsidRDefault="00FA06B2" w:rsidP="005229E5">
      <w:pPr>
        <w:pStyle w:val="ListParagraph"/>
        <w:numPr>
          <w:ilvl w:val="0"/>
          <w:numId w:val="57"/>
        </w:numPr>
        <w:tabs>
          <w:tab w:val="left" w:pos="1260"/>
        </w:tabs>
        <w:rPr>
          <w:rFonts w:ascii="Times New Roman" w:hAnsi="Times New Roman" w:cs="Times New Roman"/>
        </w:rPr>
      </w:pPr>
      <w:r w:rsidRPr="00A155FA">
        <w:rPr>
          <w:rFonts w:ascii="Times New Roman" w:hAnsi="Times New Roman" w:cs="Times New Roman"/>
          <w:b/>
          <w:bCs/>
        </w:rPr>
        <w:t xml:space="preserve">39 (prefrontal, frontal):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0. The prefrontal clearly extends well beyond the frontal (Pardo et al., 2017a:fig. 1I).</w:t>
      </w:r>
    </w:p>
    <w:p w14:paraId="0D83D6C2" w14:textId="77777777" w:rsidR="00FA06B2" w:rsidRPr="00A155FA" w:rsidRDefault="00FA06B2" w:rsidP="005229E5">
      <w:pPr>
        <w:pStyle w:val="ListParagraph"/>
        <w:numPr>
          <w:ilvl w:val="0"/>
          <w:numId w:val="57"/>
        </w:numPr>
        <w:tabs>
          <w:tab w:val="left" w:pos="1260"/>
        </w:tabs>
        <w:rPr>
          <w:rFonts w:ascii="Times New Roman" w:hAnsi="Times New Roman" w:cs="Times New Roman"/>
          <w:b/>
          <w:bCs/>
        </w:rPr>
      </w:pPr>
      <w:r w:rsidRPr="00A155FA">
        <w:rPr>
          <w:rFonts w:ascii="Times New Roman" w:hAnsi="Times New Roman" w:cs="Times New Roman"/>
          <w:b/>
          <w:bCs/>
        </w:rPr>
        <w:t xml:space="preserve">56 (semilunar flange):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0. The supratemporal is entirely excluded from the otic notch, let alone with a ventral flange (Pardo et al., 2017a:fig. 1I-J).</w:t>
      </w:r>
    </w:p>
    <w:p w14:paraId="15D28C92" w14:textId="77777777" w:rsidR="00FA06B2" w:rsidRPr="00A155FA" w:rsidRDefault="00FA06B2" w:rsidP="005229E5">
      <w:pPr>
        <w:pStyle w:val="ListParagraph"/>
        <w:numPr>
          <w:ilvl w:val="0"/>
          <w:numId w:val="57"/>
        </w:numPr>
        <w:tabs>
          <w:tab w:val="left" w:pos="1260"/>
        </w:tabs>
        <w:rPr>
          <w:rFonts w:ascii="Times New Roman" w:hAnsi="Times New Roman" w:cs="Times New Roman"/>
          <w:b/>
          <w:bCs/>
        </w:rPr>
      </w:pPr>
      <w:r w:rsidRPr="00A155FA">
        <w:rPr>
          <w:rFonts w:ascii="Times New Roman" w:hAnsi="Times New Roman" w:cs="Times New Roman"/>
          <w:b/>
          <w:bCs/>
        </w:rPr>
        <w:t xml:space="preserve">58 (jugal, anterior extent):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0. The presence of an LEP clearly truncates the jugal anteriorly (Pardo et al., 2017a:fig. 1I-J).</w:t>
      </w:r>
    </w:p>
    <w:p w14:paraId="49678A71" w14:textId="77777777" w:rsidR="00FA06B2" w:rsidRPr="00A155FA" w:rsidRDefault="00FA06B2" w:rsidP="005229E5">
      <w:pPr>
        <w:pStyle w:val="ListParagraph"/>
        <w:numPr>
          <w:ilvl w:val="0"/>
          <w:numId w:val="57"/>
        </w:numPr>
        <w:tabs>
          <w:tab w:val="left" w:pos="1260"/>
        </w:tabs>
        <w:rPr>
          <w:rFonts w:ascii="Times New Roman" w:hAnsi="Times New Roman" w:cs="Times New Roman"/>
        </w:rPr>
      </w:pPr>
      <w:r w:rsidRPr="00A155FA">
        <w:rPr>
          <w:rFonts w:ascii="Times New Roman" w:hAnsi="Times New Roman" w:cs="Times New Roman"/>
          <w:b/>
          <w:bCs/>
        </w:rPr>
        <w:t xml:space="preserve">127 (LEP):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1. This code is restored from that of Pardo et al. (2017a), following their original interpretation. This was changed to unknown by Schoch et al. (2020), who stated that it might be a lacrimal, as has previously suggested for similar exposures in some trematosaurs (Schoch, 2006, 2008), but those studies have not demonstrated that an element in the same position is either definitively a lacrimal or definitively not a LEP (e.g., via CT analyses to identify the nasolacrimal duct passage or to assess the articulation of the palate with the roof). Furthermore, the aforementioned studies did not address the possibility that other temnospondyl clades without lacrimals might have similar </w:t>
      </w:r>
      <w:proofErr w:type="spellStart"/>
      <w:r w:rsidRPr="00A155FA">
        <w:rPr>
          <w:rFonts w:ascii="Times New Roman" w:hAnsi="Times New Roman" w:cs="Times New Roman"/>
        </w:rPr>
        <w:t>overplating</w:t>
      </w:r>
      <w:proofErr w:type="spellEnd"/>
      <w:r w:rsidRPr="00A155FA">
        <w:rPr>
          <w:rFonts w:ascii="Times New Roman" w:hAnsi="Times New Roman" w:cs="Times New Roman"/>
        </w:rPr>
        <w:t xml:space="preserve">, and if </w:t>
      </w:r>
      <w:proofErr w:type="spellStart"/>
      <w:r w:rsidRPr="00A155FA">
        <w:rPr>
          <w:rFonts w:ascii="Times New Roman" w:hAnsi="Times New Roman" w:cs="Times New Roman"/>
          <w:i/>
          <w:iCs/>
        </w:rPr>
        <w:t>Chinlestegophis</w:t>
      </w:r>
      <w:proofErr w:type="spellEnd"/>
      <w:r w:rsidRPr="00A155FA">
        <w:rPr>
          <w:rFonts w:ascii="Times New Roman" w:hAnsi="Times New Roman" w:cs="Times New Roman"/>
          <w:i/>
          <w:iCs/>
        </w:rPr>
        <w:t xml:space="preserve"> jenkinsi</w:t>
      </w:r>
      <w:r w:rsidRPr="00A155FA">
        <w:rPr>
          <w:rFonts w:ascii="Times New Roman" w:hAnsi="Times New Roman" w:cs="Times New Roman"/>
        </w:rPr>
        <w:t xml:space="preserve"> were to be left coded as unknown for this character, all other taxa without lacrimals should have been treated the same. We do not opt for this approach here and restore the original code on the basis that there was no unequivocal basis for overturning it.</w:t>
      </w:r>
    </w:p>
    <w:p w14:paraId="2436DCE1" w14:textId="6E33E56F" w:rsidR="00FA06B2" w:rsidRPr="00A155FA" w:rsidRDefault="00FA06B2" w:rsidP="005229E5">
      <w:pPr>
        <w:pStyle w:val="ListParagraph"/>
        <w:numPr>
          <w:ilvl w:val="0"/>
          <w:numId w:val="57"/>
        </w:numPr>
        <w:tabs>
          <w:tab w:val="left" w:pos="1260"/>
        </w:tabs>
        <w:rPr>
          <w:rFonts w:ascii="Times New Roman" w:hAnsi="Times New Roman" w:cs="Times New Roman"/>
          <w:b/>
          <w:bCs/>
        </w:rPr>
      </w:pPr>
      <w:r w:rsidRPr="00A155FA">
        <w:rPr>
          <w:rFonts w:ascii="Times New Roman" w:hAnsi="Times New Roman" w:cs="Times New Roman"/>
          <w:b/>
          <w:bCs/>
        </w:rPr>
        <w:t xml:space="preserve">237 (postparietal, length):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0. The element is nearly square, more anteriorly extensive than the tabular (Pardo et al., 2017a:fig. 1I), and in stark contrast to the condition of zatracheids or highly nested amphibamiforms in which it is an anteroposteriorly short, transversely elongate rectangle (e.g., Witzmann &amp; Schoch, 2006:fig. 3; Clack &amp; Milner, 2010:fig. 9a; Sigurdsen &amp; Bolt, 2010:fig. 3A).</w:t>
      </w:r>
    </w:p>
    <w:p w14:paraId="67C476AF" w14:textId="77777777" w:rsidR="00FA06B2" w:rsidRPr="00A155FA" w:rsidRDefault="00FA06B2" w:rsidP="005229E5">
      <w:pPr>
        <w:pStyle w:val="ListParagraph"/>
        <w:numPr>
          <w:ilvl w:val="0"/>
          <w:numId w:val="57"/>
        </w:numPr>
        <w:tabs>
          <w:tab w:val="left" w:pos="1260"/>
        </w:tabs>
        <w:rPr>
          <w:rFonts w:ascii="Times New Roman" w:hAnsi="Times New Roman" w:cs="Times New Roman"/>
        </w:rPr>
      </w:pPr>
      <w:r w:rsidRPr="00A155FA">
        <w:rPr>
          <w:rFonts w:ascii="Times New Roman" w:hAnsi="Times New Roman" w:cs="Times New Roman"/>
          <w:b/>
          <w:bCs/>
        </w:rPr>
        <w:t>346 (ectopterygoid):</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The supporting information of Pardo et al. (2017a) indicated that the ectopterygoids are not preserved.</w:t>
      </w:r>
    </w:p>
    <w:p w14:paraId="7709F455" w14:textId="77777777" w:rsidR="00FA06B2" w:rsidRPr="00A155FA" w:rsidRDefault="00FA06B2" w:rsidP="005229E5">
      <w:pPr>
        <w:pStyle w:val="ListParagraph"/>
        <w:numPr>
          <w:ilvl w:val="0"/>
          <w:numId w:val="57"/>
        </w:numPr>
        <w:tabs>
          <w:tab w:val="left" w:pos="1260"/>
        </w:tabs>
        <w:rPr>
          <w:rFonts w:ascii="Times New Roman" w:hAnsi="Times New Roman" w:cs="Times New Roman"/>
        </w:rPr>
      </w:pPr>
      <w:r w:rsidRPr="00A155FA">
        <w:rPr>
          <w:rFonts w:ascii="Times New Roman" w:hAnsi="Times New Roman" w:cs="Times New Roman"/>
          <w:b/>
          <w:bCs/>
        </w:rPr>
        <w:t>348 (cleithrum):</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The supporting information of Pardo et al. (2017a) indicated that a limited amount of postcrania is preserved (e.g., only one limb element), and only the dermal components of the pectoral girdle are present.</w:t>
      </w:r>
    </w:p>
    <w:p w14:paraId="53EF5C23" w14:textId="77777777" w:rsidR="00FA06B2" w:rsidRPr="00A155FA" w:rsidRDefault="00FA06B2" w:rsidP="005229E5">
      <w:pPr>
        <w:pStyle w:val="ListParagraph"/>
        <w:numPr>
          <w:ilvl w:val="0"/>
          <w:numId w:val="57"/>
        </w:numPr>
        <w:tabs>
          <w:tab w:val="left" w:pos="1260"/>
        </w:tabs>
        <w:rPr>
          <w:rFonts w:ascii="Times New Roman" w:hAnsi="Times New Roman" w:cs="Times New Roman"/>
        </w:rPr>
      </w:pPr>
      <w:r w:rsidRPr="00A155FA">
        <w:rPr>
          <w:rFonts w:ascii="Times New Roman" w:hAnsi="Times New Roman" w:cs="Times New Roman"/>
          <w:b/>
          <w:bCs/>
        </w:rPr>
        <w:t>349 (vomer):</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1. The vomer is very fragmentary in this taxon (Pardo et al., 2017a), and both its sutures and the shape of the choana are entirely conjectural (as reflected in the ‘?’ codes for characters 93–104 and 323 that relate to these features and that were coded by Pardo et al., 2017). </w:t>
      </w:r>
    </w:p>
    <w:p w14:paraId="20AE7CEA" w14:textId="77777777" w:rsidR="00FA06B2" w:rsidRPr="00A155FA" w:rsidRDefault="00FA06B2" w:rsidP="005229E5">
      <w:pPr>
        <w:pStyle w:val="ListParagraph"/>
        <w:numPr>
          <w:ilvl w:val="0"/>
          <w:numId w:val="57"/>
        </w:numPr>
        <w:tabs>
          <w:tab w:val="left" w:pos="1260"/>
        </w:tabs>
        <w:rPr>
          <w:rFonts w:ascii="Times New Roman" w:hAnsi="Times New Roman" w:cs="Times New Roman"/>
        </w:rPr>
      </w:pPr>
      <w:r w:rsidRPr="00A155FA">
        <w:rPr>
          <w:rFonts w:ascii="Times New Roman" w:hAnsi="Times New Roman" w:cs="Times New Roman"/>
          <w:b/>
          <w:bCs/>
        </w:rPr>
        <w:t>351 (continuous tooth row lateral to choana):</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As with character 349.</w:t>
      </w:r>
    </w:p>
    <w:p w14:paraId="60FADA73" w14:textId="77777777" w:rsidR="00FA06B2" w:rsidRPr="00A155FA" w:rsidRDefault="00FA06B2" w:rsidP="005229E5">
      <w:pPr>
        <w:pStyle w:val="ListParagraph"/>
        <w:numPr>
          <w:ilvl w:val="0"/>
          <w:numId w:val="57"/>
        </w:numPr>
        <w:tabs>
          <w:tab w:val="left" w:pos="1260"/>
        </w:tabs>
        <w:rPr>
          <w:rFonts w:ascii="Times New Roman" w:hAnsi="Times New Roman" w:cs="Times New Roman"/>
        </w:rPr>
      </w:pPr>
      <w:r w:rsidRPr="00A155FA">
        <w:rPr>
          <w:rFonts w:ascii="Times New Roman" w:hAnsi="Times New Roman" w:cs="Times New Roman"/>
          <w:b/>
          <w:bCs/>
        </w:rPr>
        <w:t>355 (palatine dentition):</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There is no description or figuring of palatine dentition (Pardo et al., 2017a).</w:t>
      </w:r>
    </w:p>
    <w:p w14:paraId="129B4585" w14:textId="77777777" w:rsidR="00FA06B2" w:rsidRPr="00A155FA" w:rsidRDefault="00FA06B2" w:rsidP="005229E5">
      <w:pPr>
        <w:pStyle w:val="ListParagraph"/>
        <w:numPr>
          <w:ilvl w:val="0"/>
          <w:numId w:val="62"/>
        </w:numPr>
        <w:tabs>
          <w:tab w:val="left" w:pos="1260"/>
        </w:tabs>
        <w:rPr>
          <w:rFonts w:ascii="Times New Roman" w:hAnsi="Times New Roman" w:cs="Times New Roman"/>
          <w:b/>
          <w:bCs/>
        </w:rPr>
      </w:pPr>
      <w:r w:rsidRPr="00A155FA">
        <w:rPr>
          <w:rFonts w:ascii="Times New Roman" w:hAnsi="Times New Roman" w:cs="Times New Roman"/>
          <w:b/>
          <w:bCs/>
          <w:i/>
          <w:iCs/>
        </w:rPr>
        <w:t>Rileymillerus cosgriffi</w:t>
      </w:r>
    </w:p>
    <w:p w14:paraId="69C6CDB0" w14:textId="77777777" w:rsidR="00FA06B2" w:rsidRPr="00A155FA" w:rsidRDefault="00FA06B2" w:rsidP="005229E5">
      <w:pPr>
        <w:pStyle w:val="ListParagraph"/>
        <w:numPr>
          <w:ilvl w:val="0"/>
          <w:numId w:val="58"/>
        </w:numPr>
        <w:tabs>
          <w:tab w:val="left" w:pos="1260"/>
        </w:tabs>
        <w:rPr>
          <w:rFonts w:ascii="Times New Roman" w:hAnsi="Times New Roman" w:cs="Times New Roman"/>
          <w:b/>
          <w:bCs/>
        </w:rPr>
      </w:pPr>
      <w:r w:rsidRPr="00A155FA">
        <w:rPr>
          <w:rFonts w:ascii="Times New Roman" w:hAnsi="Times New Roman" w:cs="Times New Roman"/>
          <w:b/>
          <w:bCs/>
        </w:rPr>
        <w:lastRenderedPageBreak/>
        <w:t xml:space="preserve">57 (jugal, ventral process):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1. Bolt &amp; Chatterjee (2000:676) mentioned a “jugal </w:t>
      </w:r>
      <w:proofErr w:type="spellStart"/>
      <w:r w:rsidRPr="00A155FA">
        <w:rPr>
          <w:rFonts w:ascii="Times New Roman" w:hAnsi="Times New Roman" w:cs="Times New Roman"/>
        </w:rPr>
        <w:t>processus</w:t>
      </w:r>
      <w:proofErr w:type="spellEnd"/>
      <w:r w:rsidRPr="00A155FA">
        <w:rPr>
          <w:rFonts w:ascii="Times New Roman" w:hAnsi="Times New Roman" w:cs="Times New Roman"/>
        </w:rPr>
        <w:t xml:space="preserve"> alaris” several times and code this feature as present in their matrix (appendix 1 therein).</w:t>
      </w:r>
    </w:p>
    <w:p w14:paraId="0ACDD8FE" w14:textId="77777777" w:rsidR="00FA06B2" w:rsidRPr="00A155FA" w:rsidRDefault="00FA06B2" w:rsidP="005229E5">
      <w:pPr>
        <w:pStyle w:val="ListParagraph"/>
        <w:numPr>
          <w:ilvl w:val="0"/>
          <w:numId w:val="58"/>
        </w:numPr>
        <w:tabs>
          <w:tab w:val="left" w:pos="1260"/>
        </w:tabs>
        <w:rPr>
          <w:rFonts w:ascii="Times New Roman" w:hAnsi="Times New Roman" w:cs="Times New Roman"/>
          <w:b/>
          <w:bCs/>
        </w:rPr>
      </w:pPr>
      <w:r w:rsidRPr="00A155FA">
        <w:rPr>
          <w:rFonts w:ascii="Times New Roman" w:hAnsi="Times New Roman" w:cs="Times New Roman"/>
          <w:b/>
          <w:bCs/>
        </w:rPr>
        <w:t xml:space="preserve">75 (quadrate and occipital condyles):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2. The occipital condyles clearly extend past the level of the quadrate condyles (Bolt &amp; Chatterjee, 2000:figs. 2.1–2.2).</w:t>
      </w:r>
    </w:p>
    <w:p w14:paraId="160A4C03" w14:textId="77777777" w:rsidR="00FA06B2" w:rsidRPr="00A155FA" w:rsidRDefault="00FA06B2" w:rsidP="005229E5">
      <w:pPr>
        <w:pStyle w:val="ListParagraph"/>
        <w:numPr>
          <w:ilvl w:val="0"/>
          <w:numId w:val="58"/>
        </w:numPr>
        <w:tabs>
          <w:tab w:val="left" w:pos="1260"/>
        </w:tabs>
        <w:rPr>
          <w:rFonts w:ascii="Times New Roman" w:hAnsi="Times New Roman" w:cs="Times New Roman"/>
          <w:b/>
          <w:bCs/>
        </w:rPr>
      </w:pPr>
      <w:r w:rsidRPr="00A155FA">
        <w:rPr>
          <w:rFonts w:ascii="Times New Roman" w:hAnsi="Times New Roman" w:cs="Times New Roman"/>
          <w:b/>
          <w:bCs/>
        </w:rPr>
        <w:t xml:space="preserve">82 (transverse tooth row, transvomerine):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2. Bolt &amp; Chatterjee (2000:678) described two sets of vomerine teeth (exclusive of ‘fangs’): one that extends posteriorly from a position medial to the anterior fang position and that “continues near the intervomerine suture” and the other than borders the medial margin of the internal naris. The former is vaguely illustrated in their reconstruction (fig. 2.2 therein) and forms a sharp V-shaped profile, similar to the condition seen in some trematosaurs (including </w:t>
      </w:r>
      <w:r w:rsidRPr="00A155FA">
        <w:rPr>
          <w:rFonts w:ascii="Times New Roman" w:hAnsi="Times New Roman" w:cs="Times New Roman"/>
          <w:i/>
          <w:iCs/>
        </w:rPr>
        <w:t>Almasaurus habbazi</w:t>
      </w:r>
      <w:r w:rsidRPr="00A155FA">
        <w:rPr>
          <w:rFonts w:ascii="Times New Roman" w:hAnsi="Times New Roman" w:cs="Times New Roman"/>
        </w:rPr>
        <w:t>; Dutuit, 1976:figs. 83–84), with the same point of origination and the same orientation towards the midline suture.</w:t>
      </w:r>
    </w:p>
    <w:p w14:paraId="2412CA5C" w14:textId="77777777" w:rsidR="00FA06B2" w:rsidRPr="00A155FA" w:rsidRDefault="00FA06B2" w:rsidP="005229E5">
      <w:pPr>
        <w:pStyle w:val="ListParagraph"/>
        <w:numPr>
          <w:ilvl w:val="0"/>
          <w:numId w:val="58"/>
        </w:numPr>
        <w:tabs>
          <w:tab w:val="left" w:pos="1260"/>
        </w:tabs>
        <w:rPr>
          <w:rFonts w:ascii="Times New Roman" w:hAnsi="Times New Roman" w:cs="Times New Roman"/>
          <w:b/>
          <w:bCs/>
        </w:rPr>
      </w:pPr>
      <w:r w:rsidRPr="00A155FA">
        <w:rPr>
          <w:rFonts w:ascii="Times New Roman" w:hAnsi="Times New Roman" w:cs="Times New Roman"/>
          <w:b/>
          <w:bCs/>
        </w:rPr>
        <w:t xml:space="preserve">107 (basicranium, suture):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 Bolt &amp; Chatterjee (2000:676) stated that crushing of this region results in the inability to identify any sutures between the parasphenoid, pterygoid, and exoccipital. Because the exoccipitals can have variable exterior extent (truncating the parasphenoid-pterygoid suture) and may contact each other medially (truncating the basal plate), this feature cannot be reliably coded.</w:t>
      </w:r>
    </w:p>
    <w:p w14:paraId="7FE9F8E5" w14:textId="77777777" w:rsidR="00FA06B2" w:rsidRPr="00A155FA" w:rsidRDefault="00FA06B2" w:rsidP="005229E5">
      <w:pPr>
        <w:pStyle w:val="ListParagraph"/>
        <w:numPr>
          <w:ilvl w:val="0"/>
          <w:numId w:val="58"/>
        </w:numPr>
        <w:tabs>
          <w:tab w:val="left" w:pos="1260"/>
        </w:tabs>
        <w:rPr>
          <w:rFonts w:ascii="Times New Roman" w:hAnsi="Times New Roman" w:cs="Times New Roman"/>
          <w:b/>
          <w:bCs/>
        </w:rPr>
      </w:pPr>
      <w:r w:rsidRPr="00A155FA">
        <w:rPr>
          <w:rFonts w:ascii="Times New Roman" w:hAnsi="Times New Roman" w:cs="Times New Roman"/>
          <w:b/>
          <w:bCs/>
        </w:rPr>
        <w:t xml:space="preserve">108 (parasphenoid):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As with character 107.</w:t>
      </w:r>
    </w:p>
    <w:p w14:paraId="4DFE625A" w14:textId="77777777" w:rsidR="00FA06B2" w:rsidRPr="00A155FA" w:rsidRDefault="00FA06B2" w:rsidP="005229E5">
      <w:pPr>
        <w:pStyle w:val="ListParagraph"/>
        <w:numPr>
          <w:ilvl w:val="0"/>
          <w:numId w:val="58"/>
        </w:numPr>
        <w:tabs>
          <w:tab w:val="left" w:pos="1260"/>
        </w:tabs>
        <w:rPr>
          <w:rFonts w:ascii="Times New Roman" w:hAnsi="Times New Roman" w:cs="Times New Roman"/>
          <w:b/>
          <w:bCs/>
        </w:rPr>
      </w:pPr>
      <w:r w:rsidRPr="00A155FA">
        <w:rPr>
          <w:rFonts w:ascii="Times New Roman" w:hAnsi="Times New Roman" w:cs="Times New Roman"/>
          <w:b/>
          <w:bCs/>
        </w:rPr>
        <w:t xml:space="preserve">109 (basicranium, carotids):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 As with character 107. There is no mention of any carotid foramina.</w:t>
      </w:r>
    </w:p>
    <w:p w14:paraId="330FE599" w14:textId="77777777" w:rsidR="00FA06B2" w:rsidRPr="00A155FA" w:rsidRDefault="00FA06B2" w:rsidP="005229E5">
      <w:pPr>
        <w:pStyle w:val="ListParagraph"/>
        <w:numPr>
          <w:ilvl w:val="0"/>
          <w:numId w:val="58"/>
        </w:numPr>
        <w:tabs>
          <w:tab w:val="left" w:pos="1260"/>
        </w:tabs>
        <w:rPr>
          <w:rFonts w:ascii="Times New Roman" w:hAnsi="Times New Roman" w:cs="Times New Roman"/>
          <w:b/>
          <w:bCs/>
        </w:rPr>
      </w:pPr>
      <w:r w:rsidRPr="00A155FA">
        <w:rPr>
          <w:rFonts w:ascii="Times New Roman" w:hAnsi="Times New Roman" w:cs="Times New Roman"/>
          <w:b/>
          <w:bCs/>
        </w:rPr>
        <w:t xml:space="preserve">114 (cultriform process, outline):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0. Based on how the character was originally coded by Schoch (2013), it refers to the condition of eryopoids where there is a prominent and abrupt lateral expansion anterior to the base of the cultriform process; it does not refer to a gradual broadening onto the base, as in this taxon. </w:t>
      </w:r>
    </w:p>
    <w:p w14:paraId="03E7DC54" w14:textId="77777777" w:rsidR="00FA06B2" w:rsidRPr="00A155FA" w:rsidRDefault="00FA06B2" w:rsidP="005229E5">
      <w:pPr>
        <w:pStyle w:val="ListParagraph"/>
        <w:numPr>
          <w:ilvl w:val="0"/>
          <w:numId w:val="58"/>
        </w:numPr>
        <w:tabs>
          <w:tab w:val="left" w:pos="1260"/>
        </w:tabs>
        <w:rPr>
          <w:rFonts w:ascii="Times New Roman" w:hAnsi="Times New Roman" w:cs="Times New Roman"/>
          <w:b/>
          <w:bCs/>
        </w:rPr>
      </w:pPr>
      <w:r w:rsidRPr="00A155FA">
        <w:rPr>
          <w:rFonts w:ascii="Times New Roman" w:hAnsi="Times New Roman" w:cs="Times New Roman"/>
          <w:b/>
          <w:bCs/>
        </w:rPr>
        <w:t xml:space="preserve">118 (pterygoid, exoccipital):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 As with character 107.</w:t>
      </w:r>
    </w:p>
    <w:p w14:paraId="70FC2967" w14:textId="77777777" w:rsidR="00FA06B2" w:rsidRPr="00A155FA" w:rsidRDefault="00FA06B2" w:rsidP="005229E5">
      <w:pPr>
        <w:pStyle w:val="ListParagraph"/>
        <w:numPr>
          <w:ilvl w:val="0"/>
          <w:numId w:val="58"/>
        </w:numPr>
        <w:tabs>
          <w:tab w:val="left" w:pos="1260"/>
        </w:tabs>
        <w:rPr>
          <w:rFonts w:ascii="Times New Roman" w:hAnsi="Times New Roman" w:cs="Times New Roman"/>
          <w:b/>
          <w:bCs/>
        </w:rPr>
      </w:pPr>
      <w:r w:rsidRPr="00A155FA">
        <w:rPr>
          <w:rFonts w:ascii="Times New Roman" w:hAnsi="Times New Roman" w:cs="Times New Roman"/>
          <w:b/>
          <w:bCs/>
        </w:rPr>
        <w:t xml:space="preserve">120 (pterygoid, squamosal):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1. Bolt &amp; Chatterjee (2000:675-676) discussed whether the term ‘palatoquadrate fissure’ was applicable to this taxon, but since the character refers only to a ‘fissure,’ it is coded as state 1 since there is a wide separation between the pterygoid and the squamosal.</w:t>
      </w:r>
    </w:p>
    <w:p w14:paraId="14CD38AD" w14:textId="77777777" w:rsidR="00FA06B2" w:rsidRPr="00A155FA" w:rsidRDefault="00FA06B2" w:rsidP="005229E5">
      <w:pPr>
        <w:pStyle w:val="ListParagraph"/>
        <w:numPr>
          <w:ilvl w:val="0"/>
          <w:numId w:val="58"/>
        </w:numPr>
        <w:tabs>
          <w:tab w:val="left" w:pos="1260"/>
        </w:tabs>
        <w:rPr>
          <w:rFonts w:ascii="Times New Roman" w:hAnsi="Times New Roman" w:cs="Times New Roman"/>
          <w:b/>
          <w:bCs/>
        </w:rPr>
      </w:pPr>
      <w:r w:rsidRPr="00A155FA">
        <w:rPr>
          <w:rFonts w:ascii="Times New Roman" w:hAnsi="Times New Roman" w:cs="Times New Roman"/>
          <w:b/>
          <w:bCs/>
        </w:rPr>
        <w:t xml:space="preserve">127 (LEP):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1. This code is restored from that of Pardo et al. (2017a), following the original interpretation of Bolt &amp; Chatterjee (2000:674, fig. 2). This was reversed by Schoch et al. (2020), and it was previously argued that it is merely a short lacrimal (Schoch, 2008b:83–84) but compelling evidence to overturn the original interpretation (e.g., CT data) or to prove that exposures in similar positions in other taxa are lacrimals and not LEPs (e.g., identifying the nasolacrimal duct) have not been provided. The position is in line with where an LEP occurs in dissorophoids and dvinosaurs, which already represent two independent acquisitions of this feature. Furthermore, past authors have not addressed the possibility that other temnospondyl clades without lacrimals might have similar </w:t>
      </w:r>
      <w:proofErr w:type="spellStart"/>
      <w:r w:rsidRPr="00A155FA">
        <w:rPr>
          <w:rFonts w:ascii="Times New Roman" w:hAnsi="Times New Roman" w:cs="Times New Roman"/>
        </w:rPr>
        <w:t>overplating</w:t>
      </w:r>
      <w:proofErr w:type="spellEnd"/>
      <w:r w:rsidRPr="00A155FA">
        <w:rPr>
          <w:rFonts w:ascii="Times New Roman" w:hAnsi="Times New Roman" w:cs="Times New Roman"/>
        </w:rPr>
        <w:t xml:space="preserve">, and if </w:t>
      </w:r>
      <w:proofErr w:type="spellStart"/>
      <w:r w:rsidRPr="00A155FA">
        <w:rPr>
          <w:rFonts w:ascii="Times New Roman" w:hAnsi="Times New Roman" w:cs="Times New Roman"/>
          <w:i/>
          <w:iCs/>
        </w:rPr>
        <w:t>Chinlestegophis</w:t>
      </w:r>
      <w:proofErr w:type="spellEnd"/>
      <w:r w:rsidRPr="00A155FA">
        <w:rPr>
          <w:rFonts w:ascii="Times New Roman" w:hAnsi="Times New Roman" w:cs="Times New Roman"/>
          <w:i/>
          <w:iCs/>
        </w:rPr>
        <w:t xml:space="preserve"> jenkinsi</w:t>
      </w:r>
      <w:r w:rsidRPr="00A155FA">
        <w:rPr>
          <w:rFonts w:ascii="Times New Roman" w:hAnsi="Times New Roman" w:cs="Times New Roman"/>
        </w:rPr>
        <w:t xml:space="preserve"> were to be left uncoded for this character, all other taxa without </w:t>
      </w:r>
      <w:r w:rsidRPr="00A155FA">
        <w:rPr>
          <w:rFonts w:ascii="Times New Roman" w:hAnsi="Times New Roman" w:cs="Times New Roman"/>
        </w:rPr>
        <w:lastRenderedPageBreak/>
        <w:t xml:space="preserve">lacrimals (e.g., </w:t>
      </w:r>
      <w:r w:rsidRPr="00A155FA">
        <w:rPr>
          <w:rFonts w:ascii="Times New Roman" w:hAnsi="Times New Roman" w:cs="Times New Roman"/>
          <w:i/>
          <w:iCs/>
        </w:rPr>
        <w:t>Siderops, Laidleria</w:t>
      </w:r>
      <w:r w:rsidRPr="00A155FA">
        <w:rPr>
          <w:rFonts w:ascii="Times New Roman" w:hAnsi="Times New Roman" w:cs="Times New Roman"/>
        </w:rPr>
        <w:t>)</w:t>
      </w:r>
      <w:r w:rsidRPr="00A155FA">
        <w:rPr>
          <w:rFonts w:ascii="Times New Roman" w:hAnsi="Times New Roman" w:cs="Times New Roman"/>
          <w:i/>
          <w:iCs/>
        </w:rPr>
        <w:t xml:space="preserve"> </w:t>
      </w:r>
      <w:r w:rsidRPr="00A155FA">
        <w:rPr>
          <w:rFonts w:ascii="Times New Roman" w:hAnsi="Times New Roman" w:cs="Times New Roman"/>
        </w:rPr>
        <w:t>should have been treated the same. We do not opt for this approach here and restore the original code on the basis that there was no unequivocal basis for overturning it.</w:t>
      </w:r>
    </w:p>
    <w:p w14:paraId="2003F9D3" w14:textId="77777777" w:rsidR="00FA06B2" w:rsidRPr="00A155FA" w:rsidRDefault="00FA06B2" w:rsidP="005229E5">
      <w:pPr>
        <w:pStyle w:val="ListParagraph"/>
        <w:numPr>
          <w:ilvl w:val="0"/>
          <w:numId w:val="58"/>
        </w:numPr>
        <w:tabs>
          <w:tab w:val="left" w:pos="1260"/>
        </w:tabs>
        <w:rPr>
          <w:rFonts w:ascii="Times New Roman" w:hAnsi="Times New Roman" w:cs="Times New Roman"/>
          <w:b/>
          <w:bCs/>
        </w:rPr>
      </w:pPr>
      <w:r w:rsidRPr="00A155FA">
        <w:rPr>
          <w:rFonts w:ascii="Times New Roman" w:hAnsi="Times New Roman" w:cs="Times New Roman"/>
          <w:b/>
          <w:bCs/>
        </w:rPr>
        <w:t xml:space="preserve">145 (Meckelian window):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Bolt &amp; Chatterjee, 2000:677, fig. 4) noted that they were unable to locate any Meckelian opening and that only the posterior quarter of the lower jaw is exposed and well-preserved.</w:t>
      </w:r>
    </w:p>
    <w:p w14:paraId="5393D73D" w14:textId="77777777" w:rsidR="00FA06B2" w:rsidRPr="00A155FA" w:rsidRDefault="00FA06B2" w:rsidP="005229E5">
      <w:pPr>
        <w:pStyle w:val="ListParagraph"/>
        <w:numPr>
          <w:ilvl w:val="0"/>
          <w:numId w:val="58"/>
        </w:numPr>
        <w:tabs>
          <w:tab w:val="left" w:pos="1260"/>
        </w:tabs>
        <w:rPr>
          <w:rFonts w:ascii="Times New Roman" w:hAnsi="Times New Roman" w:cs="Times New Roman"/>
          <w:b/>
          <w:bCs/>
        </w:rPr>
      </w:pPr>
      <w:r w:rsidRPr="00A155FA">
        <w:rPr>
          <w:rFonts w:ascii="Times New Roman" w:hAnsi="Times New Roman" w:cs="Times New Roman"/>
          <w:b/>
          <w:bCs/>
        </w:rPr>
        <w:t xml:space="preserve">237 (postparietal, length):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 The element’s lateral margins are not discernible on the roof (Bolt &amp; Chatterjee, 2000:675, figs. 2.1, 3), but it was clearly a relative anteroposteriorly long element, concurrent with the skull’s general proportions. Mapping the postparietal-tabular suture from the occiput onto the skull roof would indicate an element far longer than it is wide, but because it cannot be assumed that the </w:t>
      </w:r>
      <w:proofErr w:type="spellStart"/>
      <w:r w:rsidRPr="00A155FA">
        <w:rPr>
          <w:rFonts w:ascii="Times New Roman" w:hAnsi="Times New Roman" w:cs="Times New Roman"/>
        </w:rPr>
        <w:t>postparietal’s</w:t>
      </w:r>
      <w:proofErr w:type="spellEnd"/>
      <w:r w:rsidRPr="00A155FA">
        <w:rPr>
          <w:rFonts w:ascii="Times New Roman" w:hAnsi="Times New Roman" w:cs="Times New Roman"/>
        </w:rPr>
        <w:t xml:space="preserve"> lateral margin was longitudinally oriented, this character is recoded as unknown.</w:t>
      </w:r>
    </w:p>
    <w:p w14:paraId="69B512DA" w14:textId="77777777" w:rsidR="00FA06B2" w:rsidRPr="00A155FA" w:rsidRDefault="00FA06B2" w:rsidP="00A30351">
      <w:pPr>
        <w:pStyle w:val="ListParagraph"/>
        <w:numPr>
          <w:ilvl w:val="0"/>
          <w:numId w:val="58"/>
        </w:numPr>
        <w:tabs>
          <w:tab w:val="left" w:pos="1260"/>
        </w:tabs>
        <w:rPr>
          <w:rFonts w:ascii="Times New Roman" w:hAnsi="Times New Roman" w:cs="Times New Roman"/>
          <w:b/>
          <w:bCs/>
        </w:rPr>
      </w:pPr>
      <w:r w:rsidRPr="00A155FA">
        <w:rPr>
          <w:rFonts w:ascii="Times New Roman" w:hAnsi="Times New Roman" w:cs="Times New Roman"/>
          <w:b/>
          <w:bCs/>
        </w:rPr>
        <w:t xml:space="preserve">251 (vomer, denticles): </w:t>
      </w:r>
      <w:r w:rsidRPr="00A155FA">
        <w:rPr>
          <w:rFonts w:ascii="Times New Roman" w:hAnsi="Times New Roman" w:cs="Times New Roman"/>
        </w:rPr>
        <w:t xml:space="preserve">0 </w:t>
      </w:r>
      <w:r w:rsidRPr="00A155FA">
        <w:rPr>
          <w:rFonts w:ascii="Times New Roman" w:hAnsi="Times New Roman" w:cs="Times New Roman"/>
        </w:rPr>
        <w:sym w:font="Wingdings" w:char="F0E0"/>
      </w:r>
      <w:r w:rsidRPr="00A155FA">
        <w:rPr>
          <w:rFonts w:ascii="Times New Roman" w:hAnsi="Times New Roman" w:cs="Times New Roman"/>
        </w:rPr>
        <w:t xml:space="preserve"> 1. Bolt &amp; Chatterjee (2000:678) stated that no palatal denticles were identified.</w:t>
      </w:r>
    </w:p>
    <w:p w14:paraId="62A13146" w14:textId="77777777" w:rsidR="00FA06B2" w:rsidRPr="00A155FA" w:rsidRDefault="00FA06B2" w:rsidP="005229E5">
      <w:pPr>
        <w:pStyle w:val="ListParagraph"/>
        <w:numPr>
          <w:ilvl w:val="0"/>
          <w:numId w:val="58"/>
        </w:numPr>
        <w:tabs>
          <w:tab w:val="left" w:pos="1260"/>
        </w:tabs>
        <w:rPr>
          <w:rFonts w:ascii="Times New Roman" w:hAnsi="Times New Roman" w:cs="Times New Roman"/>
          <w:b/>
          <w:bCs/>
        </w:rPr>
      </w:pPr>
      <w:r w:rsidRPr="00A155FA">
        <w:rPr>
          <w:rFonts w:ascii="Times New Roman" w:hAnsi="Times New Roman" w:cs="Times New Roman"/>
          <w:b/>
          <w:bCs/>
        </w:rPr>
        <w:t xml:space="preserve">350 (premaxilla): </w:t>
      </w:r>
      <w:r w:rsidRPr="00A155FA">
        <w:rPr>
          <w:rFonts w:ascii="Times New Roman" w:hAnsi="Times New Roman" w:cs="Times New Roman"/>
        </w:rPr>
        <w:t xml:space="preserve">0 </w:t>
      </w:r>
      <w:r w:rsidRPr="00A155FA">
        <w:rPr>
          <w:rFonts w:ascii="Times New Roman" w:eastAsia="Wingdings" w:hAnsi="Times New Roman" w:cs="Times New Roman"/>
        </w:rPr>
        <w:t>→</w:t>
      </w:r>
      <w:r w:rsidRPr="00A155FA">
        <w:rPr>
          <w:rFonts w:ascii="Times New Roman" w:hAnsi="Times New Roman" w:cs="Times New Roman"/>
        </w:rPr>
        <w:t xml:space="preserve"> ?. There is no premaxilla preserved in either the holotype or the referred specimen (Bolt &amp; Chatterjee, 2000; Martz et al., 2013).</w:t>
      </w:r>
    </w:p>
    <w:p w14:paraId="5CEC42D7" w14:textId="77777777" w:rsidR="00FA06B2" w:rsidRPr="00A155FA" w:rsidRDefault="00FA06B2" w:rsidP="005229E5">
      <w:pPr>
        <w:pStyle w:val="ListParagraph"/>
        <w:numPr>
          <w:ilvl w:val="0"/>
          <w:numId w:val="58"/>
        </w:numPr>
        <w:tabs>
          <w:tab w:val="left" w:pos="1260"/>
        </w:tabs>
        <w:rPr>
          <w:rFonts w:ascii="Times New Roman" w:hAnsi="Times New Roman" w:cs="Times New Roman"/>
          <w:b/>
          <w:bCs/>
        </w:rPr>
      </w:pPr>
      <w:r w:rsidRPr="00A155FA">
        <w:rPr>
          <w:rFonts w:ascii="Times New Roman" w:hAnsi="Times New Roman" w:cs="Times New Roman"/>
          <w:b/>
          <w:bCs/>
        </w:rPr>
        <w:t>360 (parietal):</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 The parietal is only defined along the midline and is insufficient to determine its shape (Bolt &amp; Chatterjee, 2000:672, fig. 2.1)</w:t>
      </w:r>
    </w:p>
    <w:p w14:paraId="6ECD07F9"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r w:rsidRPr="00A155FA">
        <w:rPr>
          <w:rFonts w:ascii="Times New Roman" w:hAnsi="Times New Roman" w:cs="Times New Roman"/>
          <w:b/>
          <w:bCs/>
          <w:i/>
          <w:iCs/>
        </w:rPr>
        <w:t>Triadobatrachus massinoti</w:t>
      </w:r>
    </w:p>
    <w:p w14:paraId="4AB7BB71" w14:textId="77777777" w:rsidR="00FA06B2" w:rsidRPr="00A155FA" w:rsidRDefault="00FA06B2" w:rsidP="005229E5">
      <w:pPr>
        <w:pStyle w:val="ListParagraph"/>
        <w:numPr>
          <w:ilvl w:val="0"/>
          <w:numId w:val="59"/>
        </w:numPr>
        <w:tabs>
          <w:tab w:val="left" w:pos="1260"/>
        </w:tabs>
        <w:rPr>
          <w:rFonts w:ascii="Times New Roman" w:hAnsi="Times New Roman" w:cs="Times New Roman"/>
          <w:b/>
          <w:bCs/>
        </w:rPr>
      </w:pPr>
      <w:r w:rsidRPr="00A155FA">
        <w:rPr>
          <w:rFonts w:ascii="Times New Roman" w:hAnsi="Times New Roman" w:cs="Times New Roman"/>
          <w:b/>
          <w:bCs/>
        </w:rPr>
        <w:t xml:space="preserve">39 (prefrontal, frontal):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0. The prefrontal extends beyond the frontal (e.g., Rage &amp; </w:t>
      </w:r>
      <w:proofErr w:type="spellStart"/>
      <w:r w:rsidRPr="00A155FA">
        <w:rPr>
          <w:rFonts w:ascii="Times New Roman" w:hAnsi="Times New Roman" w:cs="Times New Roman"/>
        </w:rPr>
        <w:t>Roček</w:t>
      </w:r>
      <w:proofErr w:type="spellEnd"/>
      <w:r w:rsidRPr="00A155FA">
        <w:rPr>
          <w:rFonts w:ascii="Times New Roman" w:hAnsi="Times New Roman" w:cs="Times New Roman"/>
        </w:rPr>
        <w:t>, 1989:figs. 2, 4; Ascarrunz et al., 2016:fig. 4). Alternatively, the character could be coded as inapplicable because the frontal and parietal are co-ossified in this taxon.</w:t>
      </w:r>
    </w:p>
    <w:p w14:paraId="059EABC1"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r w:rsidRPr="00A155FA">
        <w:rPr>
          <w:rFonts w:ascii="Times New Roman" w:hAnsi="Times New Roman" w:cs="Times New Roman"/>
          <w:b/>
          <w:bCs/>
          <w:i/>
          <w:iCs/>
        </w:rPr>
        <w:t>Celtedens ibericus</w:t>
      </w:r>
    </w:p>
    <w:p w14:paraId="332FCC74" w14:textId="77777777" w:rsidR="00FA06B2" w:rsidRPr="00A155FA" w:rsidRDefault="00FA06B2" w:rsidP="005229E5">
      <w:pPr>
        <w:pStyle w:val="ListParagraph"/>
        <w:numPr>
          <w:ilvl w:val="0"/>
          <w:numId w:val="59"/>
        </w:numPr>
        <w:tabs>
          <w:tab w:val="left" w:pos="1260"/>
        </w:tabs>
        <w:rPr>
          <w:rFonts w:ascii="Times New Roman" w:hAnsi="Times New Roman" w:cs="Times New Roman"/>
          <w:b/>
          <w:bCs/>
        </w:rPr>
      </w:pPr>
      <w:r w:rsidRPr="00A155FA">
        <w:rPr>
          <w:rFonts w:ascii="Times New Roman" w:hAnsi="Times New Roman" w:cs="Times New Roman"/>
          <w:b/>
          <w:bCs/>
        </w:rPr>
        <w:t xml:space="preserve">39 (prefrontal, frontal):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0. The prefrontal clearly extends beyond the frontal (e.g., McGowan, 2002:fig. 5). Alternatively, the character could be coded as unknown or inapplicable because the element lateral to the nasal is sometimes interpreted as the lacrimal or as a co-ossified lacrimal and prefrontal (McGowan, 2002), and other authors have expressed general uncertainty over whether this region can be resolved (e.g., Matsumoto &amp; Evans, 2018).</w:t>
      </w:r>
    </w:p>
    <w:p w14:paraId="4BC3409A"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proofErr w:type="spellStart"/>
      <w:r w:rsidRPr="00A155FA">
        <w:rPr>
          <w:rFonts w:ascii="Times New Roman" w:hAnsi="Times New Roman" w:cs="Times New Roman"/>
          <w:b/>
          <w:bCs/>
          <w:i/>
          <w:iCs/>
        </w:rPr>
        <w:t>Ichthyophis</w:t>
      </w:r>
      <w:proofErr w:type="spellEnd"/>
      <w:r w:rsidRPr="00A155FA">
        <w:rPr>
          <w:rFonts w:ascii="Times New Roman" w:hAnsi="Times New Roman" w:cs="Times New Roman"/>
          <w:b/>
          <w:bCs/>
          <w:i/>
          <w:iCs/>
        </w:rPr>
        <w:t xml:space="preserve"> </w:t>
      </w:r>
      <w:proofErr w:type="spellStart"/>
      <w:r w:rsidRPr="00A155FA">
        <w:rPr>
          <w:rFonts w:ascii="Times New Roman" w:hAnsi="Times New Roman" w:cs="Times New Roman"/>
          <w:b/>
          <w:bCs/>
          <w:i/>
          <w:iCs/>
        </w:rPr>
        <w:t>bannanicus</w:t>
      </w:r>
      <w:proofErr w:type="spellEnd"/>
    </w:p>
    <w:p w14:paraId="1C923235" w14:textId="77777777" w:rsidR="00FA06B2" w:rsidRPr="00A155FA" w:rsidRDefault="00FA06B2" w:rsidP="005229E5">
      <w:pPr>
        <w:pStyle w:val="ListParagraph"/>
        <w:numPr>
          <w:ilvl w:val="0"/>
          <w:numId w:val="59"/>
        </w:numPr>
        <w:tabs>
          <w:tab w:val="left" w:pos="1260"/>
        </w:tabs>
        <w:rPr>
          <w:rFonts w:ascii="Times New Roman" w:hAnsi="Times New Roman" w:cs="Times New Roman"/>
          <w:b/>
          <w:bCs/>
        </w:rPr>
      </w:pPr>
      <w:r w:rsidRPr="00A155FA">
        <w:rPr>
          <w:rFonts w:ascii="Times New Roman" w:hAnsi="Times New Roman" w:cs="Times New Roman"/>
          <w:b/>
          <w:bCs/>
        </w:rPr>
        <w:t xml:space="preserve">114 (cultriform process, outline):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0. Based on how the character was originally coded by Schoch (2013), it refers to the condition of eryopoids where there is a prominent and abrupt lateral expansion anterior to the base of the cultriform process; it does not refer to a gradual broadening onto the base, as in this taxon.</w:t>
      </w:r>
    </w:p>
    <w:p w14:paraId="2F9CE210" w14:textId="77777777" w:rsidR="00FA06B2" w:rsidRPr="00A155FA" w:rsidRDefault="00FA06B2" w:rsidP="005229E5">
      <w:pPr>
        <w:pStyle w:val="ListParagraph"/>
        <w:numPr>
          <w:ilvl w:val="0"/>
          <w:numId w:val="59"/>
        </w:numPr>
        <w:tabs>
          <w:tab w:val="left" w:pos="1260"/>
        </w:tabs>
        <w:rPr>
          <w:rFonts w:ascii="Times New Roman" w:hAnsi="Times New Roman" w:cs="Times New Roman"/>
          <w:b/>
          <w:bCs/>
        </w:rPr>
      </w:pPr>
      <w:r w:rsidRPr="00A155FA">
        <w:rPr>
          <w:rFonts w:ascii="Times New Roman" w:hAnsi="Times New Roman" w:cs="Times New Roman"/>
          <w:b/>
          <w:bCs/>
        </w:rPr>
        <w:t>272 (number of coronoids):</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2. Based on the embryological data suggesting that there is only a single coronoid in gymnophionomorphs (that does not clearly represent fusion of the plesiomorphic three coronoids found in most temnospondyls), we recoded this character (e.g., Wake &amp; </w:t>
      </w:r>
      <w:proofErr w:type="spellStart"/>
      <w:r w:rsidRPr="00A155FA">
        <w:rPr>
          <w:rFonts w:ascii="Times New Roman" w:hAnsi="Times New Roman" w:cs="Times New Roman"/>
        </w:rPr>
        <w:t>Hanken</w:t>
      </w:r>
      <w:proofErr w:type="spellEnd"/>
      <w:r w:rsidRPr="00A155FA">
        <w:rPr>
          <w:rFonts w:ascii="Times New Roman" w:hAnsi="Times New Roman" w:cs="Times New Roman"/>
        </w:rPr>
        <w:t xml:space="preserve">, 1982; Müller et al., 2005; Müller, 2006; </w:t>
      </w:r>
      <w:proofErr w:type="spellStart"/>
      <w:r w:rsidRPr="00A155FA">
        <w:rPr>
          <w:rFonts w:ascii="Times New Roman" w:hAnsi="Times New Roman" w:cs="Times New Roman"/>
        </w:rPr>
        <w:t>Theska</w:t>
      </w:r>
      <w:proofErr w:type="spellEnd"/>
      <w:r w:rsidRPr="00A155FA">
        <w:rPr>
          <w:rFonts w:ascii="Times New Roman" w:hAnsi="Times New Roman" w:cs="Times New Roman"/>
        </w:rPr>
        <w:t xml:space="preserve"> et al., 2019). Alternatively, the character could be coded as unknown since this specific taxon has not been studied developmentally. </w:t>
      </w:r>
    </w:p>
    <w:p w14:paraId="30994C3E"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r w:rsidRPr="00A155FA">
        <w:rPr>
          <w:rFonts w:ascii="Times New Roman" w:hAnsi="Times New Roman" w:cs="Times New Roman"/>
          <w:b/>
          <w:bCs/>
          <w:i/>
          <w:iCs/>
        </w:rPr>
        <w:lastRenderedPageBreak/>
        <w:t>Epicrionops bicolor</w:t>
      </w:r>
    </w:p>
    <w:p w14:paraId="040EA47E" w14:textId="77777777" w:rsidR="00FA06B2" w:rsidRPr="00A155FA" w:rsidRDefault="00FA06B2" w:rsidP="005229E5">
      <w:pPr>
        <w:pStyle w:val="ListParagraph"/>
        <w:numPr>
          <w:ilvl w:val="0"/>
          <w:numId w:val="60"/>
        </w:numPr>
        <w:tabs>
          <w:tab w:val="left" w:pos="1260"/>
        </w:tabs>
        <w:rPr>
          <w:rFonts w:ascii="Times New Roman" w:hAnsi="Times New Roman" w:cs="Times New Roman"/>
          <w:b/>
          <w:bCs/>
        </w:rPr>
      </w:pPr>
      <w:r w:rsidRPr="00A155FA">
        <w:rPr>
          <w:rFonts w:ascii="Times New Roman" w:hAnsi="Times New Roman" w:cs="Times New Roman"/>
          <w:b/>
          <w:bCs/>
        </w:rPr>
        <w:t xml:space="preserve">114 (cultriform process, outline):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0. Based on how the character was originally coded by Schoch (2013), 114–1 refers to the condition of eryopoids where there is a prominent and abrupt lateral expansion anterior to the base of the cultriform process (e.g., Sawin, 1941:pls. 2–3; Boy, 1990:fig. 3B); it does not refer to a gradual broadening onto the base, as in this taxon (e.g., Reiss, 1996:fig. 2D).</w:t>
      </w:r>
    </w:p>
    <w:p w14:paraId="40C93191" w14:textId="77777777" w:rsidR="00FA06B2" w:rsidRPr="00A155FA" w:rsidRDefault="00FA06B2" w:rsidP="005229E5">
      <w:pPr>
        <w:pStyle w:val="ListParagraph"/>
        <w:numPr>
          <w:ilvl w:val="0"/>
          <w:numId w:val="60"/>
        </w:numPr>
        <w:tabs>
          <w:tab w:val="left" w:pos="1260"/>
        </w:tabs>
        <w:rPr>
          <w:rFonts w:ascii="Times New Roman" w:hAnsi="Times New Roman" w:cs="Times New Roman"/>
          <w:b/>
          <w:bCs/>
        </w:rPr>
      </w:pPr>
      <w:r w:rsidRPr="00A155FA">
        <w:rPr>
          <w:rFonts w:ascii="Times New Roman" w:hAnsi="Times New Roman" w:cs="Times New Roman"/>
          <w:b/>
          <w:bCs/>
        </w:rPr>
        <w:t>272 (number of coronoids):</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2. Based on the embryological data suggesting that there is only a single coronoid in gymnophionomorphs (that does not clearly represent fusion of the plesiomorphic three coronoids found in most temnospondyls), we recoded this character (e.g., Wake &amp; </w:t>
      </w:r>
      <w:proofErr w:type="spellStart"/>
      <w:r w:rsidRPr="00A155FA">
        <w:rPr>
          <w:rFonts w:ascii="Times New Roman" w:hAnsi="Times New Roman" w:cs="Times New Roman"/>
        </w:rPr>
        <w:t>Hanken</w:t>
      </w:r>
      <w:proofErr w:type="spellEnd"/>
      <w:r w:rsidRPr="00A155FA">
        <w:rPr>
          <w:rFonts w:ascii="Times New Roman" w:hAnsi="Times New Roman" w:cs="Times New Roman"/>
        </w:rPr>
        <w:t xml:space="preserve">, 1982; Müller et al., 2005; Müller, 2006; </w:t>
      </w:r>
      <w:proofErr w:type="spellStart"/>
      <w:r w:rsidRPr="00A155FA">
        <w:rPr>
          <w:rFonts w:ascii="Times New Roman" w:hAnsi="Times New Roman" w:cs="Times New Roman"/>
        </w:rPr>
        <w:t>Theska</w:t>
      </w:r>
      <w:proofErr w:type="spellEnd"/>
      <w:r w:rsidRPr="00A155FA">
        <w:rPr>
          <w:rFonts w:ascii="Times New Roman" w:hAnsi="Times New Roman" w:cs="Times New Roman"/>
        </w:rPr>
        <w:t xml:space="preserve"> et al., 2019). Alternatively, the character could be coded as unknown since this specific taxon has not been studied developmentally.</w:t>
      </w:r>
    </w:p>
    <w:p w14:paraId="017F5F92" w14:textId="77777777" w:rsidR="00FA06B2" w:rsidRPr="00A155FA" w:rsidRDefault="00FA06B2" w:rsidP="005229E5">
      <w:pPr>
        <w:pStyle w:val="ListParagraph"/>
        <w:numPr>
          <w:ilvl w:val="0"/>
          <w:numId w:val="62"/>
        </w:numPr>
        <w:tabs>
          <w:tab w:val="left" w:pos="1260"/>
        </w:tabs>
        <w:rPr>
          <w:rFonts w:ascii="Times New Roman" w:hAnsi="Times New Roman" w:cs="Times New Roman"/>
          <w:b/>
          <w:bCs/>
          <w:i/>
          <w:iCs/>
        </w:rPr>
      </w:pPr>
      <w:r w:rsidRPr="00A155FA">
        <w:rPr>
          <w:rFonts w:ascii="Times New Roman" w:hAnsi="Times New Roman" w:cs="Times New Roman"/>
          <w:b/>
          <w:bCs/>
          <w:i/>
          <w:iCs/>
        </w:rPr>
        <w:t>Eocaecilia micropodia</w:t>
      </w:r>
    </w:p>
    <w:p w14:paraId="0E8219FE" w14:textId="77777777" w:rsidR="00FA06B2" w:rsidRPr="00A155FA" w:rsidRDefault="00FA06B2" w:rsidP="005229E5">
      <w:pPr>
        <w:pStyle w:val="ListParagraph"/>
        <w:numPr>
          <w:ilvl w:val="0"/>
          <w:numId w:val="61"/>
        </w:numPr>
        <w:tabs>
          <w:tab w:val="left" w:pos="1260"/>
        </w:tabs>
        <w:rPr>
          <w:rFonts w:ascii="Times New Roman" w:hAnsi="Times New Roman" w:cs="Times New Roman"/>
          <w:b/>
          <w:bCs/>
        </w:rPr>
      </w:pPr>
      <w:r w:rsidRPr="00A155FA">
        <w:rPr>
          <w:rFonts w:ascii="Times New Roman" w:hAnsi="Times New Roman" w:cs="Times New Roman"/>
          <w:b/>
          <w:bCs/>
        </w:rPr>
        <w:t xml:space="preserve">39 (prefrontal, frontal): </w:t>
      </w:r>
      <w:r w:rsidRPr="00A155FA">
        <w:rPr>
          <w:rFonts w:ascii="Times New Roman" w:hAnsi="Times New Roman" w:cs="Times New Roman"/>
        </w:rPr>
        <w:t xml:space="preserve">1 </w:t>
      </w:r>
      <w:r w:rsidRPr="00A155FA">
        <w:rPr>
          <w:rFonts w:ascii="Times New Roman" w:eastAsia="Wingdings" w:hAnsi="Times New Roman" w:cs="Times New Roman"/>
        </w:rPr>
        <w:t>→</w:t>
      </w:r>
      <w:r w:rsidRPr="00A155FA">
        <w:rPr>
          <w:rFonts w:ascii="Times New Roman" w:hAnsi="Times New Roman" w:cs="Times New Roman"/>
        </w:rPr>
        <w:t xml:space="preserve"> 0. The prefrontal clearly extends beyond the frontal.</w:t>
      </w:r>
    </w:p>
    <w:p w14:paraId="1BE52969" w14:textId="77777777" w:rsidR="00FA06B2" w:rsidRPr="00A155FA" w:rsidRDefault="00FA06B2" w:rsidP="005229E5">
      <w:pPr>
        <w:pStyle w:val="ListParagraph"/>
        <w:numPr>
          <w:ilvl w:val="0"/>
          <w:numId w:val="61"/>
        </w:numPr>
        <w:tabs>
          <w:tab w:val="left" w:pos="1260"/>
        </w:tabs>
        <w:rPr>
          <w:rFonts w:ascii="Times New Roman" w:hAnsi="Times New Roman" w:cs="Times New Roman"/>
        </w:rPr>
      </w:pPr>
      <w:r w:rsidRPr="00A155FA">
        <w:rPr>
          <w:rFonts w:ascii="Times New Roman" w:hAnsi="Times New Roman" w:cs="Times New Roman"/>
          <w:b/>
          <w:bCs/>
        </w:rPr>
        <w:t xml:space="preserve">266 (number of Meckelian fossae): </w:t>
      </w:r>
      <w:r w:rsidRPr="00A155FA">
        <w:rPr>
          <w:rFonts w:ascii="Times New Roman" w:hAnsi="Times New Roman" w:cs="Times New Roman"/>
        </w:rPr>
        <w:t xml:space="preserve">? </w:t>
      </w:r>
      <w:r w:rsidRPr="00A155FA">
        <w:rPr>
          <w:rFonts w:ascii="Times New Roman" w:eastAsia="Wingdings" w:hAnsi="Times New Roman" w:cs="Times New Roman"/>
        </w:rPr>
        <w:t>→</w:t>
      </w:r>
      <w:r w:rsidRPr="00A155FA">
        <w:rPr>
          <w:rFonts w:ascii="Times New Roman" w:hAnsi="Times New Roman" w:cs="Times New Roman"/>
        </w:rPr>
        <w:t xml:space="preserve"> 1. Jenkins et al. (2007:319, 322, figs. 24, 27) identified one opening that they termed the “</w:t>
      </w:r>
      <w:proofErr w:type="spellStart"/>
      <w:r w:rsidRPr="00A155FA">
        <w:rPr>
          <w:rFonts w:ascii="Times New Roman" w:hAnsi="Times New Roman" w:cs="Times New Roman"/>
        </w:rPr>
        <w:t>intramandibular</w:t>
      </w:r>
      <w:proofErr w:type="spellEnd"/>
      <w:r w:rsidRPr="00A155FA">
        <w:rPr>
          <w:rFonts w:ascii="Times New Roman" w:hAnsi="Times New Roman" w:cs="Times New Roman"/>
        </w:rPr>
        <w:t xml:space="preserve"> foramen” and which they suggested was occupied by a remnant of Meckel’s cartilage, as in extant gymnophionans (coded for 266–1). More anteriorly situated foramina all occur just below the lingual tooth row and likely relate to tooth replacement, not to Meckel’s cartilage.</w:t>
      </w:r>
    </w:p>
    <w:p w14:paraId="556304D4" w14:textId="331880A4" w:rsidR="00DE2A0F" w:rsidRDefault="00FA06B2" w:rsidP="00C051DE">
      <w:pPr>
        <w:pStyle w:val="ListParagraph"/>
        <w:numPr>
          <w:ilvl w:val="0"/>
          <w:numId w:val="61"/>
        </w:numPr>
        <w:tabs>
          <w:tab w:val="left" w:pos="1260"/>
        </w:tabs>
      </w:pPr>
      <w:r w:rsidRPr="00A155FA">
        <w:rPr>
          <w:rFonts w:ascii="Times New Roman" w:hAnsi="Times New Roman" w:cs="Times New Roman"/>
          <w:b/>
          <w:bCs/>
        </w:rPr>
        <w:t>272 (number of coronoids):</w:t>
      </w:r>
      <w:r w:rsidRPr="00A155FA">
        <w:rPr>
          <w:rFonts w:ascii="Times New Roman" w:hAnsi="Times New Roman" w:cs="Times New Roman"/>
        </w:rPr>
        <w:t xml:space="preserve"> 0 </w:t>
      </w:r>
      <w:r w:rsidRPr="00A155FA">
        <w:rPr>
          <w:rFonts w:ascii="Times New Roman" w:eastAsia="Wingdings" w:hAnsi="Times New Roman" w:cs="Times New Roman"/>
        </w:rPr>
        <w:t>→</w:t>
      </w:r>
      <w:r w:rsidRPr="00A155FA">
        <w:rPr>
          <w:rFonts w:ascii="Times New Roman" w:hAnsi="Times New Roman" w:cs="Times New Roman"/>
        </w:rPr>
        <w:t xml:space="preserve"> 2. Based on the embryological data suggesting that there is only a single coronoid in gymnophionomorphs (that does not clearly represent fusion of the plesiomorphic three coronoids found in most temnospondyls), we recoded this character (e.g., Wake &amp; </w:t>
      </w:r>
      <w:proofErr w:type="spellStart"/>
      <w:r w:rsidRPr="00A155FA">
        <w:rPr>
          <w:rFonts w:ascii="Times New Roman" w:hAnsi="Times New Roman" w:cs="Times New Roman"/>
        </w:rPr>
        <w:t>Hanken</w:t>
      </w:r>
      <w:proofErr w:type="spellEnd"/>
      <w:r w:rsidRPr="00A155FA">
        <w:rPr>
          <w:rFonts w:ascii="Times New Roman" w:hAnsi="Times New Roman" w:cs="Times New Roman"/>
        </w:rPr>
        <w:t xml:space="preserve">, 1982; Müller et al., 2005; Müller, 2006; </w:t>
      </w:r>
      <w:proofErr w:type="spellStart"/>
      <w:r w:rsidRPr="00A155FA">
        <w:rPr>
          <w:rFonts w:ascii="Times New Roman" w:hAnsi="Times New Roman" w:cs="Times New Roman"/>
        </w:rPr>
        <w:t>Theska</w:t>
      </w:r>
      <w:proofErr w:type="spellEnd"/>
      <w:r w:rsidRPr="00A155FA">
        <w:rPr>
          <w:rFonts w:ascii="Times New Roman" w:hAnsi="Times New Roman" w:cs="Times New Roman"/>
        </w:rPr>
        <w:t xml:space="preserve"> et al., 2019). Alternatively, the character could be coded as unknown since this specific taxon cannot be studied developmentally.</w:t>
      </w:r>
    </w:p>
    <w:p w14:paraId="25758F61" w14:textId="48114FC5" w:rsidR="00DE2A0F" w:rsidRDefault="00DE2A0F" w:rsidP="00FA06B2">
      <w:pPr>
        <w:tabs>
          <w:tab w:val="left" w:pos="2860"/>
        </w:tabs>
      </w:pPr>
    </w:p>
    <w:p w14:paraId="063764AB" w14:textId="77777777" w:rsidR="00EA65E2" w:rsidRDefault="00EA65E2" w:rsidP="00662B68">
      <w:pPr>
        <w:rPr>
          <w:b/>
          <w:bCs/>
          <w:color w:val="222222"/>
          <w:sz w:val="28"/>
          <w:szCs w:val="28"/>
        </w:rPr>
      </w:pPr>
    </w:p>
    <w:p w14:paraId="42B95E0F" w14:textId="77777777" w:rsidR="00EA65E2" w:rsidRDefault="00EA65E2" w:rsidP="00662B68">
      <w:pPr>
        <w:rPr>
          <w:b/>
          <w:bCs/>
          <w:color w:val="222222"/>
          <w:sz w:val="28"/>
          <w:szCs w:val="28"/>
        </w:rPr>
      </w:pPr>
    </w:p>
    <w:p w14:paraId="00D9ED3F" w14:textId="77777777" w:rsidR="00EA65E2" w:rsidRDefault="00EA65E2" w:rsidP="00662B68">
      <w:pPr>
        <w:rPr>
          <w:b/>
          <w:bCs/>
          <w:color w:val="222222"/>
          <w:sz w:val="28"/>
          <w:szCs w:val="28"/>
        </w:rPr>
      </w:pPr>
    </w:p>
    <w:p w14:paraId="286A4620" w14:textId="77777777" w:rsidR="00EA65E2" w:rsidRDefault="00EA65E2" w:rsidP="00662B68">
      <w:pPr>
        <w:rPr>
          <w:b/>
          <w:bCs/>
          <w:color w:val="222222"/>
          <w:sz w:val="28"/>
          <w:szCs w:val="28"/>
        </w:rPr>
      </w:pPr>
    </w:p>
    <w:p w14:paraId="2E6EA680" w14:textId="77777777" w:rsidR="00EA65E2" w:rsidRDefault="00EA65E2" w:rsidP="00662B68">
      <w:pPr>
        <w:rPr>
          <w:b/>
          <w:bCs/>
          <w:color w:val="222222"/>
          <w:sz w:val="28"/>
          <w:szCs w:val="28"/>
        </w:rPr>
      </w:pPr>
    </w:p>
    <w:p w14:paraId="057AA66F" w14:textId="77777777" w:rsidR="00EA65E2" w:rsidRDefault="00EA65E2" w:rsidP="00662B68">
      <w:pPr>
        <w:rPr>
          <w:b/>
          <w:bCs/>
          <w:color w:val="222222"/>
          <w:sz w:val="28"/>
          <w:szCs w:val="28"/>
        </w:rPr>
      </w:pPr>
    </w:p>
    <w:p w14:paraId="52D93AF1" w14:textId="77777777" w:rsidR="00EA65E2" w:rsidRDefault="00EA65E2" w:rsidP="00662B68">
      <w:pPr>
        <w:rPr>
          <w:b/>
          <w:bCs/>
          <w:color w:val="222222"/>
          <w:sz w:val="28"/>
          <w:szCs w:val="28"/>
        </w:rPr>
      </w:pPr>
    </w:p>
    <w:p w14:paraId="641B13F2" w14:textId="77777777" w:rsidR="00EA65E2" w:rsidRDefault="00EA65E2" w:rsidP="00662B68">
      <w:pPr>
        <w:rPr>
          <w:b/>
          <w:bCs/>
          <w:color w:val="222222"/>
          <w:sz w:val="28"/>
          <w:szCs w:val="28"/>
        </w:rPr>
      </w:pPr>
    </w:p>
    <w:p w14:paraId="475C2B91" w14:textId="77777777" w:rsidR="00EA65E2" w:rsidRDefault="00EA65E2" w:rsidP="00662B68">
      <w:pPr>
        <w:rPr>
          <w:b/>
          <w:bCs/>
          <w:color w:val="222222"/>
          <w:sz w:val="28"/>
          <w:szCs w:val="28"/>
        </w:rPr>
      </w:pPr>
    </w:p>
    <w:p w14:paraId="35FBC646" w14:textId="77777777" w:rsidR="00EA65E2" w:rsidRDefault="00EA65E2" w:rsidP="00662B68">
      <w:pPr>
        <w:rPr>
          <w:b/>
          <w:bCs/>
          <w:color w:val="222222"/>
          <w:sz w:val="28"/>
          <w:szCs w:val="28"/>
        </w:rPr>
      </w:pPr>
    </w:p>
    <w:p w14:paraId="70DF80DF" w14:textId="77777777" w:rsidR="00EA65E2" w:rsidRDefault="00EA65E2" w:rsidP="00662B68">
      <w:pPr>
        <w:rPr>
          <w:b/>
          <w:bCs/>
          <w:color w:val="222222"/>
          <w:sz w:val="28"/>
          <w:szCs w:val="28"/>
        </w:rPr>
      </w:pPr>
    </w:p>
    <w:p w14:paraId="7A1D3B01" w14:textId="77777777" w:rsidR="00EA65E2" w:rsidRDefault="00EA65E2" w:rsidP="00662B68">
      <w:pPr>
        <w:rPr>
          <w:b/>
          <w:bCs/>
          <w:color w:val="222222"/>
          <w:sz w:val="28"/>
          <w:szCs w:val="28"/>
        </w:rPr>
      </w:pPr>
    </w:p>
    <w:p w14:paraId="1D062AE5" w14:textId="77777777" w:rsidR="00EA65E2" w:rsidRDefault="00EA65E2" w:rsidP="00662B68">
      <w:pPr>
        <w:rPr>
          <w:b/>
          <w:bCs/>
          <w:color w:val="222222"/>
          <w:sz w:val="28"/>
          <w:szCs w:val="28"/>
        </w:rPr>
      </w:pPr>
    </w:p>
    <w:p w14:paraId="7338F4DF" w14:textId="77777777" w:rsidR="00EA65E2" w:rsidRDefault="00EA65E2" w:rsidP="00662B68">
      <w:pPr>
        <w:rPr>
          <w:b/>
          <w:bCs/>
          <w:color w:val="222222"/>
          <w:sz w:val="28"/>
          <w:szCs w:val="28"/>
        </w:rPr>
      </w:pPr>
    </w:p>
    <w:p w14:paraId="44F1F86C" w14:textId="77777777" w:rsidR="00EA65E2" w:rsidRDefault="00EA65E2" w:rsidP="00662B68">
      <w:pPr>
        <w:rPr>
          <w:b/>
          <w:bCs/>
          <w:color w:val="222222"/>
          <w:sz w:val="28"/>
          <w:szCs w:val="28"/>
        </w:rPr>
      </w:pPr>
    </w:p>
    <w:p w14:paraId="65427D61" w14:textId="77777777" w:rsidR="00EA65E2" w:rsidRDefault="00EA65E2" w:rsidP="00662B68">
      <w:pPr>
        <w:rPr>
          <w:b/>
          <w:bCs/>
          <w:color w:val="222222"/>
          <w:sz w:val="28"/>
          <w:szCs w:val="28"/>
        </w:rPr>
      </w:pPr>
    </w:p>
    <w:p w14:paraId="3E5DF96C" w14:textId="77777777" w:rsidR="00EA65E2" w:rsidRDefault="00EA65E2" w:rsidP="00662B68">
      <w:pPr>
        <w:rPr>
          <w:b/>
          <w:bCs/>
          <w:color w:val="222222"/>
          <w:sz w:val="28"/>
          <w:szCs w:val="28"/>
        </w:rPr>
      </w:pPr>
    </w:p>
    <w:p w14:paraId="5CFFE382" w14:textId="77777777" w:rsidR="00EA65E2" w:rsidRDefault="00EA65E2" w:rsidP="00662B68">
      <w:pPr>
        <w:rPr>
          <w:b/>
          <w:bCs/>
          <w:color w:val="222222"/>
          <w:sz w:val="28"/>
          <w:szCs w:val="28"/>
        </w:rPr>
      </w:pPr>
    </w:p>
    <w:p w14:paraId="75DACFD9" w14:textId="787467A5" w:rsidR="00EA65E2" w:rsidRDefault="00EA65E2" w:rsidP="00662B68">
      <w:pPr>
        <w:rPr>
          <w:b/>
          <w:bCs/>
          <w:color w:val="222222"/>
          <w:sz w:val="28"/>
          <w:szCs w:val="28"/>
        </w:rPr>
      </w:pPr>
    </w:p>
    <w:p w14:paraId="24B915C9" w14:textId="25B6720D" w:rsidR="00EA65E2" w:rsidRDefault="00EA65E2" w:rsidP="00662B68">
      <w:pPr>
        <w:rPr>
          <w:b/>
          <w:bCs/>
          <w:color w:val="222222"/>
          <w:sz w:val="28"/>
          <w:szCs w:val="28"/>
        </w:rPr>
      </w:pPr>
    </w:p>
    <w:p w14:paraId="63421DAF" w14:textId="5B3AAE83" w:rsidR="00EA65E2" w:rsidRDefault="00EA65E2" w:rsidP="00662B68">
      <w:pPr>
        <w:rPr>
          <w:b/>
          <w:bCs/>
          <w:color w:val="222222"/>
          <w:sz w:val="28"/>
          <w:szCs w:val="28"/>
        </w:rPr>
      </w:pPr>
    </w:p>
    <w:p w14:paraId="7545B120" w14:textId="07E8DDD7" w:rsidR="00EA65E2" w:rsidRDefault="00EA65E2" w:rsidP="00662B68">
      <w:pPr>
        <w:rPr>
          <w:b/>
          <w:bCs/>
          <w:color w:val="222222"/>
          <w:sz w:val="28"/>
          <w:szCs w:val="28"/>
        </w:rPr>
      </w:pPr>
    </w:p>
    <w:p w14:paraId="7168353C" w14:textId="77777777" w:rsidR="00EA65E2" w:rsidRDefault="00EA65E2" w:rsidP="00662B68">
      <w:pPr>
        <w:rPr>
          <w:b/>
          <w:bCs/>
          <w:color w:val="222222"/>
          <w:sz w:val="28"/>
          <w:szCs w:val="28"/>
        </w:rPr>
        <w:sectPr w:rsidR="00EA65E2" w:rsidSect="00EA65E2">
          <w:footerReference w:type="even" r:id="rId11"/>
          <w:footerReference w:type="default" r:id="rId12"/>
          <w:pgSz w:w="12240" w:h="15840"/>
          <w:pgMar w:top="1440" w:right="1440" w:bottom="1440" w:left="1440" w:header="720" w:footer="720" w:gutter="0"/>
          <w:lnNumType w:countBy="1" w:restart="continuous"/>
          <w:cols w:space="720"/>
          <w:docGrid w:linePitch="360"/>
        </w:sectPr>
      </w:pPr>
    </w:p>
    <w:p w14:paraId="4DFD7EF7" w14:textId="1D3790C0" w:rsidR="00001691" w:rsidRDefault="00511315" w:rsidP="00662B68">
      <w:pPr>
        <w:rPr>
          <w:b/>
          <w:bCs/>
          <w:color w:val="222222"/>
          <w:sz w:val="28"/>
          <w:szCs w:val="28"/>
        </w:rPr>
      </w:pPr>
      <w:r>
        <w:rPr>
          <w:b/>
          <w:bCs/>
          <w:color w:val="222222"/>
          <w:sz w:val="28"/>
          <w:szCs w:val="28"/>
        </w:rPr>
        <w:lastRenderedPageBreak/>
        <w:t>5</w:t>
      </w:r>
      <w:r w:rsidR="00F36C83">
        <w:rPr>
          <w:b/>
          <w:bCs/>
          <w:color w:val="222222"/>
          <w:sz w:val="28"/>
          <w:szCs w:val="28"/>
        </w:rPr>
        <w:t xml:space="preserve">. </w:t>
      </w:r>
      <w:r w:rsidR="00001691" w:rsidRPr="00662B68">
        <w:rPr>
          <w:b/>
          <w:bCs/>
          <w:color w:val="222222"/>
          <w:sz w:val="28"/>
          <w:szCs w:val="28"/>
        </w:rPr>
        <w:t>Supplementary Tables</w:t>
      </w:r>
    </w:p>
    <w:p w14:paraId="775D1471" w14:textId="77777777" w:rsidR="002D705A" w:rsidRPr="00662B68" w:rsidRDefault="002D705A" w:rsidP="00662B68">
      <w:pPr>
        <w:rPr>
          <w:b/>
          <w:bCs/>
          <w:color w:val="222222"/>
          <w:sz w:val="28"/>
          <w:szCs w:val="28"/>
        </w:rPr>
      </w:pPr>
    </w:p>
    <w:p w14:paraId="42C26444" w14:textId="06F28B89" w:rsidR="006E6B01" w:rsidRDefault="002D705A" w:rsidP="002D705A">
      <w:pPr>
        <w:rPr>
          <w:b/>
          <w:bCs/>
          <w:color w:val="222222"/>
        </w:rPr>
      </w:pPr>
      <w:bookmarkStart w:id="15" w:name="_Hlk98857806"/>
      <w:r>
        <w:rPr>
          <w:b/>
          <w:bCs/>
          <w:color w:val="222222"/>
        </w:rPr>
        <w:t>Supplementary Table 1: Adductor fossa to pseudoangular length ratios</w:t>
      </w:r>
      <w:bookmarkEnd w:id="15"/>
    </w:p>
    <w:p w14:paraId="21DFA917" w14:textId="77777777" w:rsidR="006E6B01" w:rsidRPr="006E6B01" w:rsidRDefault="006E6B01" w:rsidP="002D705A">
      <w:pPr>
        <w:rPr>
          <w:b/>
          <w:bCs/>
          <w:color w:val="222222"/>
        </w:rPr>
      </w:pPr>
    </w:p>
    <w:tbl>
      <w:tblPr>
        <w:tblStyle w:val="TableGrid"/>
        <w:tblW w:w="12955" w:type="dxa"/>
        <w:tblLook w:val="04A0" w:firstRow="1" w:lastRow="0" w:firstColumn="1" w:lastColumn="0" w:noHBand="0" w:noVBand="1"/>
      </w:tblPr>
      <w:tblGrid>
        <w:gridCol w:w="2695"/>
        <w:gridCol w:w="4050"/>
        <w:gridCol w:w="6210"/>
      </w:tblGrid>
      <w:tr w:rsidR="002D705A" w:rsidRPr="00B74C84" w14:paraId="361738DB" w14:textId="77777777" w:rsidTr="006E6B01">
        <w:trPr>
          <w:trHeight w:val="602"/>
        </w:trPr>
        <w:tc>
          <w:tcPr>
            <w:tcW w:w="2695" w:type="dxa"/>
          </w:tcPr>
          <w:p w14:paraId="0DA54967" w14:textId="77777777" w:rsidR="002D705A" w:rsidRPr="00B74C84" w:rsidRDefault="002D705A" w:rsidP="00A30351">
            <w:pPr>
              <w:rPr>
                <w:b/>
                <w:bCs/>
              </w:rPr>
            </w:pPr>
            <w:r>
              <w:rPr>
                <w:b/>
                <w:bCs/>
              </w:rPr>
              <w:t>T</w:t>
            </w:r>
            <w:r w:rsidRPr="00B74C84">
              <w:rPr>
                <w:b/>
                <w:bCs/>
              </w:rPr>
              <w:t>axon</w:t>
            </w:r>
          </w:p>
        </w:tc>
        <w:tc>
          <w:tcPr>
            <w:tcW w:w="4050" w:type="dxa"/>
          </w:tcPr>
          <w:p w14:paraId="18FD9CCF" w14:textId="77777777" w:rsidR="002D705A" w:rsidRPr="00B74C84" w:rsidRDefault="002D705A" w:rsidP="00A30351">
            <w:pPr>
              <w:rPr>
                <w:b/>
                <w:bCs/>
              </w:rPr>
            </w:pPr>
            <w:r>
              <w:rPr>
                <w:b/>
                <w:bCs/>
              </w:rPr>
              <w:t>S</w:t>
            </w:r>
            <w:r w:rsidRPr="00B74C84">
              <w:rPr>
                <w:b/>
                <w:bCs/>
              </w:rPr>
              <w:t>pecimen number</w:t>
            </w:r>
            <w:r>
              <w:rPr>
                <w:b/>
                <w:bCs/>
              </w:rPr>
              <w:t xml:space="preserve"> (source)</w:t>
            </w:r>
          </w:p>
        </w:tc>
        <w:tc>
          <w:tcPr>
            <w:tcW w:w="6210" w:type="dxa"/>
          </w:tcPr>
          <w:p w14:paraId="54756101" w14:textId="77777777" w:rsidR="002D705A" w:rsidRPr="00B74C84" w:rsidRDefault="002D705A" w:rsidP="00A30351">
            <w:pPr>
              <w:rPr>
                <w:b/>
                <w:bCs/>
              </w:rPr>
            </w:pPr>
            <w:r w:rsidRPr="00B74C84">
              <w:rPr>
                <w:b/>
                <w:bCs/>
              </w:rPr>
              <w:t xml:space="preserve">Ratio: </w:t>
            </w:r>
            <w:r w:rsidRPr="00B74C84">
              <w:t xml:space="preserve">(anteroposterior length of adductor </w:t>
            </w:r>
            <w:r>
              <w:t>fossa</w:t>
            </w:r>
            <w:r w:rsidRPr="00B74C84">
              <w:t xml:space="preserve"> in dorsal view) / (anteroposterior length of pseudoangular</w:t>
            </w:r>
            <w:r>
              <w:t>*</w:t>
            </w:r>
            <w:r w:rsidRPr="00B74C84">
              <w:t>)</w:t>
            </w:r>
          </w:p>
        </w:tc>
      </w:tr>
      <w:tr w:rsidR="002D705A" w:rsidRPr="00B74C84" w14:paraId="42FC66C0" w14:textId="77777777" w:rsidTr="006E6B01">
        <w:tc>
          <w:tcPr>
            <w:tcW w:w="2695" w:type="dxa"/>
          </w:tcPr>
          <w:p w14:paraId="33ED0D10" w14:textId="77777777" w:rsidR="002D705A" w:rsidRPr="00B74C84" w:rsidRDefault="002D705A" w:rsidP="00A30351">
            <w:pPr>
              <w:rPr>
                <w:i/>
                <w:iCs/>
              </w:rPr>
            </w:pPr>
            <w:proofErr w:type="spellStart"/>
            <w:r w:rsidRPr="00B74C84">
              <w:rPr>
                <w:i/>
                <w:iCs/>
              </w:rPr>
              <w:t>Caecilia</w:t>
            </w:r>
            <w:proofErr w:type="spellEnd"/>
            <w:r w:rsidRPr="00B74C84">
              <w:rPr>
                <w:i/>
                <w:iCs/>
              </w:rPr>
              <w:t xml:space="preserve"> </w:t>
            </w:r>
            <w:proofErr w:type="spellStart"/>
            <w:r w:rsidRPr="00B74C84">
              <w:rPr>
                <w:i/>
                <w:iCs/>
              </w:rPr>
              <w:t>tentaculata</w:t>
            </w:r>
            <w:proofErr w:type="spellEnd"/>
          </w:p>
        </w:tc>
        <w:tc>
          <w:tcPr>
            <w:tcW w:w="4050" w:type="dxa"/>
          </w:tcPr>
          <w:p w14:paraId="281B010C" w14:textId="77777777" w:rsidR="002D705A" w:rsidRPr="00B74C84" w:rsidRDefault="002D705A" w:rsidP="00A30351">
            <w:r w:rsidRPr="00B74C84">
              <w:t>MW 5138</w:t>
            </w:r>
            <w:r>
              <w:t xml:space="preserve"> (</w:t>
            </w:r>
            <w:r w:rsidRPr="00B74C84">
              <w:t>Wilkinson et al., 2011</w:t>
            </w:r>
            <w:r>
              <w:t>)</w:t>
            </w:r>
          </w:p>
        </w:tc>
        <w:tc>
          <w:tcPr>
            <w:tcW w:w="6210" w:type="dxa"/>
          </w:tcPr>
          <w:p w14:paraId="2F03E1DB" w14:textId="77777777" w:rsidR="002D705A" w:rsidRPr="00B74C84" w:rsidRDefault="002D705A" w:rsidP="00A30351">
            <w:r w:rsidRPr="00B74C84">
              <w:t>0.13</w:t>
            </w:r>
          </w:p>
        </w:tc>
      </w:tr>
      <w:tr w:rsidR="002D705A" w:rsidRPr="00B74C84" w14:paraId="1C5411DB" w14:textId="77777777" w:rsidTr="006E6B01">
        <w:tc>
          <w:tcPr>
            <w:tcW w:w="2695" w:type="dxa"/>
          </w:tcPr>
          <w:p w14:paraId="67FEA592" w14:textId="77777777" w:rsidR="002D705A" w:rsidRPr="00B74C84" w:rsidRDefault="002D705A" w:rsidP="00A30351">
            <w:proofErr w:type="spellStart"/>
            <w:r w:rsidRPr="00B74C84">
              <w:rPr>
                <w:i/>
                <w:iCs/>
              </w:rPr>
              <w:t>Dermophis</w:t>
            </w:r>
            <w:proofErr w:type="spellEnd"/>
            <w:r w:rsidRPr="00B74C84">
              <w:rPr>
                <w:i/>
                <w:iCs/>
              </w:rPr>
              <w:t xml:space="preserve"> mexicanus</w:t>
            </w:r>
          </w:p>
        </w:tc>
        <w:tc>
          <w:tcPr>
            <w:tcW w:w="4050" w:type="dxa"/>
          </w:tcPr>
          <w:p w14:paraId="2F22B95E" w14:textId="77777777" w:rsidR="002D705A" w:rsidRPr="00B74C84" w:rsidRDefault="002D705A" w:rsidP="00A30351">
            <w:r>
              <w:t>NHMUK</w:t>
            </w:r>
            <w:r w:rsidRPr="00B74C84">
              <w:t xml:space="preserve"> 64.1.26.397</w:t>
            </w:r>
            <w:r>
              <w:t xml:space="preserve"> (</w:t>
            </w:r>
            <w:r w:rsidRPr="00B74C84">
              <w:t>Wilkinson et al., 2011</w:t>
            </w:r>
            <w:r>
              <w:t>)</w:t>
            </w:r>
          </w:p>
        </w:tc>
        <w:tc>
          <w:tcPr>
            <w:tcW w:w="6210" w:type="dxa"/>
          </w:tcPr>
          <w:p w14:paraId="622E1121" w14:textId="77777777" w:rsidR="002D705A" w:rsidRPr="00B74C84" w:rsidRDefault="002D705A" w:rsidP="00A30351">
            <w:r w:rsidRPr="00B74C84">
              <w:t>0.13</w:t>
            </w:r>
          </w:p>
        </w:tc>
      </w:tr>
      <w:tr w:rsidR="002D705A" w:rsidRPr="00B74C84" w14:paraId="1458BD06" w14:textId="77777777" w:rsidTr="006E6B01">
        <w:tc>
          <w:tcPr>
            <w:tcW w:w="2695" w:type="dxa"/>
          </w:tcPr>
          <w:p w14:paraId="603DC37E" w14:textId="77777777" w:rsidR="002D705A" w:rsidRPr="00B74C84" w:rsidRDefault="002D705A" w:rsidP="00A30351">
            <w:pPr>
              <w:rPr>
                <w:i/>
                <w:iCs/>
              </w:rPr>
            </w:pPr>
            <w:r w:rsidRPr="00B74C84">
              <w:rPr>
                <w:i/>
                <w:iCs/>
              </w:rPr>
              <w:t>Doleserpeton annectens</w:t>
            </w:r>
          </w:p>
        </w:tc>
        <w:tc>
          <w:tcPr>
            <w:tcW w:w="4050" w:type="dxa"/>
          </w:tcPr>
          <w:p w14:paraId="3C8196CF" w14:textId="77777777" w:rsidR="002D705A" w:rsidRPr="00B74C84" w:rsidRDefault="002D705A" w:rsidP="00A30351">
            <w:r w:rsidRPr="00B74C84">
              <w:t>FMNH UR1335</w:t>
            </w:r>
            <w:r>
              <w:t xml:space="preserve"> (</w:t>
            </w:r>
            <w:r w:rsidRPr="00B74C84">
              <w:t xml:space="preserve">Sigurdsen </w:t>
            </w:r>
            <w:r>
              <w:t>&amp;</w:t>
            </w:r>
            <w:r w:rsidRPr="00B74C84">
              <w:t xml:space="preserve"> Bolt, 2010</w:t>
            </w:r>
            <w:r>
              <w:t>)</w:t>
            </w:r>
          </w:p>
        </w:tc>
        <w:tc>
          <w:tcPr>
            <w:tcW w:w="6210" w:type="dxa"/>
          </w:tcPr>
          <w:p w14:paraId="52835B77" w14:textId="77777777" w:rsidR="002D705A" w:rsidRPr="00B74C84" w:rsidRDefault="002D705A" w:rsidP="00A30351">
            <w:r w:rsidRPr="00B74C84">
              <w:t>0.42</w:t>
            </w:r>
          </w:p>
        </w:tc>
      </w:tr>
      <w:tr w:rsidR="002D705A" w:rsidRPr="00B74C84" w14:paraId="0FB4F261" w14:textId="77777777" w:rsidTr="006E6B01">
        <w:tc>
          <w:tcPr>
            <w:tcW w:w="2695" w:type="dxa"/>
          </w:tcPr>
          <w:p w14:paraId="2B584C06" w14:textId="77777777" w:rsidR="002D705A" w:rsidRPr="00B74C84" w:rsidRDefault="002D705A" w:rsidP="00A30351">
            <w:pPr>
              <w:rPr>
                <w:i/>
                <w:iCs/>
              </w:rPr>
            </w:pPr>
            <w:r w:rsidRPr="00B74C84">
              <w:rPr>
                <w:i/>
                <w:iCs/>
              </w:rPr>
              <w:t>Eocaecilia micropodia</w:t>
            </w:r>
          </w:p>
        </w:tc>
        <w:tc>
          <w:tcPr>
            <w:tcW w:w="4050" w:type="dxa"/>
          </w:tcPr>
          <w:p w14:paraId="75694889" w14:textId="77777777" w:rsidR="002D705A" w:rsidRPr="00B74C84" w:rsidRDefault="002D705A" w:rsidP="00A30351">
            <w:r w:rsidRPr="00B74C84">
              <w:t>MNA V8066</w:t>
            </w:r>
            <w:r>
              <w:t xml:space="preserve"> (Jenkins et al., 2007)</w:t>
            </w:r>
          </w:p>
        </w:tc>
        <w:tc>
          <w:tcPr>
            <w:tcW w:w="6210" w:type="dxa"/>
          </w:tcPr>
          <w:p w14:paraId="63109F1C" w14:textId="77777777" w:rsidR="002D705A" w:rsidRPr="00B74C84" w:rsidRDefault="002D705A" w:rsidP="00A30351">
            <w:r w:rsidRPr="00B74C84">
              <w:t>0.17</w:t>
            </w:r>
          </w:p>
        </w:tc>
      </w:tr>
      <w:tr w:rsidR="002D705A" w:rsidRPr="00B74C84" w14:paraId="14A89B51" w14:textId="77777777" w:rsidTr="006E6B01">
        <w:tc>
          <w:tcPr>
            <w:tcW w:w="2695" w:type="dxa"/>
          </w:tcPr>
          <w:p w14:paraId="2BC33AB9" w14:textId="77777777" w:rsidR="002D705A" w:rsidRPr="00B74C84" w:rsidRDefault="002D705A" w:rsidP="00A30351">
            <w:pPr>
              <w:rPr>
                <w:i/>
                <w:iCs/>
              </w:rPr>
            </w:pPr>
            <w:proofErr w:type="spellStart"/>
            <w:r w:rsidRPr="00B74C84">
              <w:rPr>
                <w:i/>
                <w:iCs/>
              </w:rPr>
              <w:t>Epicrionops</w:t>
            </w:r>
            <w:proofErr w:type="spellEnd"/>
            <w:r w:rsidRPr="00B74C84">
              <w:rPr>
                <w:i/>
                <w:iCs/>
              </w:rPr>
              <w:t xml:space="preserve"> </w:t>
            </w:r>
            <w:proofErr w:type="spellStart"/>
            <w:r w:rsidRPr="00B74C84">
              <w:rPr>
                <w:i/>
                <w:iCs/>
              </w:rPr>
              <w:t>petersi</w:t>
            </w:r>
            <w:proofErr w:type="spellEnd"/>
          </w:p>
        </w:tc>
        <w:tc>
          <w:tcPr>
            <w:tcW w:w="4050" w:type="dxa"/>
          </w:tcPr>
          <w:p w14:paraId="7BB0899E" w14:textId="77777777" w:rsidR="002D705A" w:rsidRPr="00B74C84" w:rsidRDefault="002D705A" w:rsidP="00A30351">
            <w:r w:rsidRPr="00B74C84">
              <w:t xml:space="preserve">USNM 160360 </w:t>
            </w:r>
            <w:r>
              <w:t>(</w:t>
            </w:r>
            <w:r w:rsidRPr="00B74C84">
              <w:t>Nussbaum, 1977</w:t>
            </w:r>
            <w:r>
              <w:t>)</w:t>
            </w:r>
          </w:p>
        </w:tc>
        <w:tc>
          <w:tcPr>
            <w:tcW w:w="6210" w:type="dxa"/>
          </w:tcPr>
          <w:p w14:paraId="3E9C7E5D" w14:textId="77777777" w:rsidR="002D705A" w:rsidRPr="00B74C84" w:rsidRDefault="002D705A" w:rsidP="00A30351">
            <w:r w:rsidRPr="00B74C84">
              <w:t>0.13</w:t>
            </w:r>
          </w:p>
        </w:tc>
      </w:tr>
      <w:tr w:rsidR="002D705A" w:rsidRPr="00B74C84" w14:paraId="1DBE2DE3" w14:textId="77777777" w:rsidTr="006E6B01">
        <w:tc>
          <w:tcPr>
            <w:tcW w:w="2695" w:type="dxa"/>
          </w:tcPr>
          <w:p w14:paraId="235B2AA0" w14:textId="77777777" w:rsidR="002D705A" w:rsidRPr="00B74C84" w:rsidRDefault="002D705A" w:rsidP="00A30351">
            <w:pPr>
              <w:rPr>
                <w:i/>
                <w:iCs/>
              </w:rPr>
            </w:pPr>
            <w:r w:rsidRPr="00B74C84">
              <w:rPr>
                <w:i/>
                <w:iCs/>
              </w:rPr>
              <w:t>Funcusvermis gilmorei</w:t>
            </w:r>
          </w:p>
        </w:tc>
        <w:tc>
          <w:tcPr>
            <w:tcW w:w="4050" w:type="dxa"/>
          </w:tcPr>
          <w:p w14:paraId="7B7EF870" w14:textId="77777777" w:rsidR="002D705A" w:rsidRPr="00B74C84" w:rsidRDefault="002D705A" w:rsidP="00A30351">
            <w:r w:rsidRPr="00B74C84">
              <w:t xml:space="preserve">PEFO </w:t>
            </w:r>
            <w:r>
              <w:t>46480 (</w:t>
            </w:r>
            <w:r w:rsidRPr="00B74C84">
              <w:t>Wilkinson et al., 2011</w:t>
            </w:r>
            <w:r>
              <w:t>)</w:t>
            </w:r>
          </w:p>
        </w:tc>
        <w:tc>
          <w:tcPr>
            <w:tcW w:w="6210" w:type="dxa"/>
          </w:tcPr>
          <w:p w14:paraId="510DE95B" w14:textId="77777777" w:rsidR="002D705A" w:rsidRPr="00B74C84" w:rsidRDefault="002D705A" w:rsidP="00A30351">
            <w:r w:rsidRPr="00B74C84">
              <w:t>0.32</w:t>
            </w:r>
          </w:p>
        </w:tc>
      </w:tr>
      <w:tr w:rsidR="002D705A" w:rsidRPr="00B74C84" w14:paraId="4C782083" w14:textId="77777777" w:rsidTr="006E6B01">
        <w:tc>
          <w:tcPr>
            <w:tcW w:w="2695" w:type="dxa"/>
          </w:tcPr>
          <w:p w14:paraId="23F33189" w14:textId="77777777" w:rsidR="002D705A" w:rsidRPr="00B74C84" w:rsidRDefault="002D705A" w:rsidP="00A30351">
            <w:proofErr w:type="spellStart"/>
            <w:r w:rsidRPr="00B74C84">
              <w:rPr>
                <w:i/>
                <w:iCs/>
              </w:rPr>
              <w:t>Herpele</w:t>
            </w:r>
            <w:proofErr w:type="spellEnd"/>
            <w:r w:rsidRPr="00B74C84">
              <w:rPr>
                <w:i/>
                <w:iCs/>
              </w:rPr>
              <w:t xml:space="preserve"> </w:t>
            </w:r>
            <w:proofErr w:type="spellStart"/>
            <w:r w:rsidRPr="00B74C84">
              <w:rPr>
                <w:i/>
                <w:iCs/>
              </w:rPr>
              <w:t>squalostoma</w:t>
            </w:r>
            <w:proofErr w:type="spellEnd"/>
          </w:p>
        </w:tc>
        <w:tc>
          <w:tcPr>
            <w:tcW w:w="4050" w:type="dxa"/>
          </w:tcPr>
          <w:p w14:paraId="43C026F7" w14:textId="77777777" w:rsidR="002D705A" w:rsidRPr="00B74C84" w:rsidRDefault="002D705A" w:rsidP="00A30351">
            <w:r w:rsidRPr="00B74C84">
              <w:t>MW 4532</w:t>
            </w:r>
            <w:r>
              <w:t xml:space="preserve"> (</w:t>
            </w:r>
            <w:r w:rsidRPr="00B74C84">
              <w:t>Wilkinson et al., 2011</w:t>
            </w:r>
            <w:r>
              <w:t>)</w:t>
            </w:r>
          </w:p>
        </w:tc>
        <w:tc>
          <w:tcPr>
            <w:tcW w:w="6210" w:type="dxa"/>
          </w:tcPr>
          <w:p w14:paraId="3DA3B589" w14:textId="77777777" w:rsidR="002D705A" w:rsidRPr="00B74C84" w:rsidRDefault="002D705A" w:rsidP="00A30351">
            <w:r w:rsidRPr="00B74C84">
              <w:t>0.10</w:t>
            </w:r>
          </w:p>
        </w:tc>
      </w:tr>
      <w:tr w:rsidR="002D705A" w:rsidRPr="00B74C84" w14:paraId="6C3DC5B9" w14:textId="77777777" w:rsidTr="006E6B01">
        <w:tc>
          <w:tcPr>
            <w:tcW w:w="2695" w:type="dxa"/>
          </w:tcPr>
          <w:p w14:paraId="37840FF7" w14:textId="77777777" w:rsidR="002D705A" w:rsidRPr="00B74C84" w:rsidRDefault="002D705A" w:rsidP="00A30351">
            <w:pPr>
              <w:rPr>
                <w:i/>
                <w:iCs/>
              </w:rPr>
            </w:pPr>
            <w:proofErr w:type="spellStart"/>
            <w:r w:rsidRPr="00B74C84">
              <w:rPr>
                <w:i/>
                <w:iCs/>
              </w:rPr>
              <w:t>Ichthyophis</w:t>
            </w:r>
            <w:proofErr w:type="spellEnd"/>
            <w:r w:rsidRPr="00B74C84">
              <w:rPr>
                <w:i/>
                <w:iCs/>
              </w:rPr>
              <w:t xml:space="preserve"> </w:t>
            </w:r>
            <w:proofErr w:type="spellStart"/>
            <w:r w:rsidRPr="00B74C84">
              <w:rPr>
                <w:i/>
                <w:iCs/>
              </w:rPr>
              <w:t>glutinosus</w:t>
            </w:r>
            <w:proofErr w:type="spellEnd"/>
          </w:p>
        </w:tc>
        <w:tc>
          <w:tcPr>
            <w:tcW w:w="4050" w:type="dxa"/>
          </w:tcPr>
          <w:p w14:paraId="6065506B" w14:textId="77777777" w:rsidR="002D705A" w:rsidRPr="00B74C84" w:rsidRDefault="002D705A" w:rsidP="00A30351">
            <w:r w:rsidRPr="00B74C84">
              <w:t>MW 1773</w:t>
            </w:r>
            <w:r>
              <w:t xml:space="preserve"> (</w:t>
            </w:r>
            <w:r w:rsidRPr="00B74C84">
              <w:t>Wilkinson et al., 2011</w:t>
            </w:r>
            <w:r>
              <w:t>)</w:t>
            </w:r>
          </w:p>
        </w:tc>
        <w:tc>
          <w:tcPr>
            <w:tcW w:w="6210" w:type="dxa"/>
          </w:tcPr>
          <w:p w14:paraId="29CB02F9" w14:textId="77777777" w:rsidR="002D705A" w:rsidRPr="00B74C84" w:rsidRDefault="002D705A" w:rsidP="00A30351">
            <w:r w:rsidRPr="00B74C84">
              <w:t>0.15</w:t>
            </w:r>
          </w:p>
        </w:tc>
      </w:tr>
      <w:tr w:rsidR="002D705A" w:rsidRPr="00B74C84" w14:paraId="016BD9FB" w14:textId="77777777" w:rsidTr="006E6B01">
        <w:tc>
          <w:tcPr>
            <w:tcW w:w="2695" w:type="dxa"/>
          </w:tcPr>
          <w:p w14:paraId="18D73E0D" w14:textId="77777777" w:rsidR="002D705A" w:rsidRPr="00B74C84" w:rsidRDefault="002D705A" w:rsidP="00A30351">
            <w:pPr>
              <w:rPr>
                <w:i/>
                <w:iCs/>
              </w:rPr>
            </w:pPr>
            <w:proofErr w:type="spellStart"/>
            <w:r w:rsidRPr="00B74C84">
              <w:rPr>
                <w:i/>
                <w:iCs/>
              </w:rPr>
              <w:t>Indotyphlus</w:t>
            </w:r>
            <w:proofErr w:type="spellEnd"/>
            <w:r w:rsidRPr="00B74C84">
              <w:rPr>
                <w:i/>
                <w:iCs/>
              </w:rPr>
              <w:t xml:space="preserve"> </w:t>
            </w:r>
            <w:proofErr w:type="spellStart"/>
            <w:r w:rsidRPr="00B74C84">
              <w:rPr>
                <w:i/>
                <w:iCs/>
              </w:rPr>
              <w:t>battersbyi</w:t>
            </w:r>
            <w:proofErr w:type="spellEnd"/>
          </w:p>
        </w:tc>
        <w:tc>
          <w:tcPr>
            <w:tcW w:w="4050" w:type="dxa"/>
          </w:tcPr>
          <w:p w14:paraId="1474254F" w14:textId="77777777" w:rsidR="002D705A" w:rsidRPr="00B74C84" w:rsidRDefault="002D705A" w:rsidP="00A30351">
            <w:r w:rsidRPr="00B74C84">
              <w:t>AMNH 89788</w:t>
            </w:r>
            <w:r>
              <w:t xml:space="preserve"> (</w:t>
            </w:r>
            <w:r w:rsidRPr="00B74C84">
              <w:t>Wilkinson et al., 2011</w:t>
            </w:r>
            <w:r>
              <w:t>)</w:t>
            </w:r>
          </w:p>
        </w:tc>
        <w:tc>
          <w:tcPr>
            <w:tcW w:w="6210" w:type="dxa"/>
          </w:tcPr>
          <w:p w14:paraId="46C7FE19" w14:textId="77777777" w:rsidR="002D705A" w:rsidRPr="00B74C84" w:rsidRDefault="002D705A" w:rsidP="00A30351">
            <w:r w:rsidRPr="00B74C84">
              <w:t>0.13</w:t>
            </w:r>
          </w:p>
        </w:tc>
      </w:tr>
      <w:tr w:rsidR="002D705A" w:rsidRPr="00B74C84" w14:paraId="6FD7F729" w14:textId="77777777" w:rsidTr="006E6B01">
        <w:tc>
          <w:tcPr>
            <w:tcW w:w="2695" w:type="dxa"/>
          </w:tcPr>
          <w:p w14:paraId="21961DF2" w14:textId="77777777" w:rsidR="002D705A" w:rsidRPr="00B74C84" w:rsidRDefault="002D705A" w:rsidP="00A30351">
            <w:pPr>
              <w:rPr>
                <w:i/>
                <w:iCs/>
              </w:rPr>
            </w:pPr>
            <w:proofErr w:type="spellStart"/>
            <w:r w:rsidRPr="00B74C84">
              <w:rPr>
                <w:i/>
                <w:iCs/>
              </w:rPr>
              <w:t>Rhinatrema</w:t>
            </w:r>
            <w:proofErr w:type="spellEnd"/>
            <w:r w:rsidRPr="00B74C84">
              <w:rPr>
                <w:i/>
                <w:iCs/>
              </w:rPr>
              <w:t xml:space="preserve"> </w:t>
            </w:r>
            <w:proofErr w:type="spellStart"/>
            <w:r w:rsidRPr="00B74C84">
              <w:rPr>
                <w:i/>
                <w:iCs/>
              </w:rPr>
              <w:t>bivittatum</w:t>
            </w:r>
            <w:proofErr w:type="spellEnd"/>
          </w:p>
        </w:tc>
        <w:tc>
          <w:tcPr>
            <w:tcW w:w="4050" w:type="dxa"/>
          </w:tcPr>
          <w:p w14:paraId="17078364" w14:textId="77777777" w:rsidR="002D705A" w:rsidRPr="00B74C84" w:rsidRDefault="002D705A" w:rsidP="00A30351">
            <w:r w:rsidRPr="00B74C84">
              <w:t>MW 2051</w:t>
            </w:r>
            <w:r>
              <w:t xml:space="preserve"> (</w:t>
            </w:r>
            <w:r w:rsidRPr="00B74C84">
              <w:t>Wilkinson et al., 2011</w:t>
            </w:r>
            <w:r>
              <w:t>)</w:t>
            </w:r>
          </w:p>
        </w:tc>
        <w:tc>
          <w:tcPr>
            <w:tcW w:w="6210" w:type="dxa"/>
          </w:tcPr>
          <w:p w14:paraId="16485455" w14:textId="77777777" w:rsidR="002D705A" w:rsidRPr="00B74C84" w:rsidRDefault="002D705A" w:rsidP="00A30351">
            <w:r w:rsidRPr="00B74C84">
              <w:t>0.19</w:t>
            </w:r>
          </w:p>
        </w:tc>
      </w:tr>
      <w:tr w:rsidR="002D705A" w:rsidRPr="00B74C84" w14:paraId="43862B46" w14:textId="77777777" w:rsidTr="006E6B01">
        <w:tc>
          <w:tcPr>
            <w:tcW w:w="2695" w:type="dxa"/>
          </w:tcPr>
          <w:p w14:paraId="4B31E3E1" w14:textId="77777777" w:rsidR="002D705A" w:rsidRPr="00B74C84" w:rsidRDefault="002D705A" w:rsidP="00A30351">
            <w:pPr>
              <w:rPr>
                <w:i/>
                <w:iCs/>
              </w:rPr>
            </w:pPr>
            <w:proofErr w:type="spellStart"/>
            <w:r w:rsidRPr="00B74C84">
              <w:rPr>
                <w:i/>
                <w:iCs/>
              </w:rPr>
              <w:t>Scolecomorphus</w:t>
            </w:r>
            <w:proofErr w:type="spellEnd"/>
            <w:r w:rsidRPr="00B74C84">
              <w:rPr>
                <w:i/>
                <w:iCs/>
              </w:rPr>
              <w:t xml:space="preserve"> </w:t>
            </w:r>
            <w:proofErr w:type="spellStart"/>
            <w:r w:rsidRPr="00B74C84">
              <w:rPr>
                <w:i/>
                <w:iCs/>
              </w:rPr>
              <w:t>kirkii</w:t>
            </w:r>
            <w:proofErr w:type="spellEnd"/>
          </w:p>
        </w:tc>
        <w:tc>
          <w:tcPr>
            <w:tcW w:w="4050" w:type="dxa"/>
          </w:tcPr>
          <w:p w14:paraId="54001A42" w14:textId="77777777" w:rsidR="002D705A" w:rsidRPr="00B74C84" w:rsidRDefault="002D705A" w:rsidP="00A30351">
            <w:r>
              <w:t>NHMUK</w:t>
            </w:r>
            <w:r w:rsidRPr="00B74C84">
              <w:t xml:space="preserve"> 1946.9.5.58</w:t>
            </w:r>
            <w:r>
              <w:t xml:space="preserve"> (</w:t>
            </w:r>
            <w:r w:rsidRPr="00B74C84">
              <w:t>Wilkinson et al., 2011</w:t>
            </w:r>
            <w:r>
              <w:t>)</w:t>
            </w:r>
          </w:p>
        </w:tc>
        <w:tc>
          <w:tcPr>
            <w:tcW w:w="6210" w:type="dxa"/>
          </w:tcPr>
          <w:p w14:paraId="22FC48EB" w14:textId="77777777" w:rsidR="002D705A" w:rsidRPr="00B74C84" w:rsidRDefault="002D705A" w:rsidP="00A30351">
            <w:r w:rsidRPr="00B74C84">
              <w:t>0.19</w:t>
            </w:r>
          </w:p>
        </w:tc>
      </w:tr>
      <w:tr w:rsidR="002D705A" w:rsidRPr="00B74C84" w14:paraId="42D14327" w14:textId="77777777" w:rsidTr="006E6B01">
        <w:tc>
          <w:tcPr>
            <w:tcW w:w="2695" w:type="dxa"/>
          </w:tcPr>
          <w:p w14:paraId="0D36F659" w14:textId="77777777" w:rsidR="002D705A" w:rsidRPr="00B74C84" w:rsidRDefault="002D705A" w:rsidP="00A30351">
            <w:pPr>
              <w:rPr>
                <w:i/>
                <w:iCs/>
              </w:rPr>
            </w:pPr>
            <w:proofErr w:type="spellStart"/>
            <w:r w:rsidRPr="00B74C84">
              <w:rPr>
                <w:i/>
                <w:iCs/>
              </w:rPr>
              <w:t>Siphonops</w:t>
            </w:r>
            <w:proofErr w:type="spellEnd"/>
            <w:r w:rsidRPr="00B74C84">
              <w:rPr>
                <w:i/>
                <w:iCs/>
              </w:rPr>
              <w:t xml:space="preserve"> </w:t>
            </w:r>
            <w:proofErr w:type="spellStart"/>
            <w:r w:rsidRPr="00B74C84">
              <w:rPr>
                <w:i/>
                <w:iCs/>
              </w:rPr>
              <w:t>annulatus</w:t>
            </w:r>
            <w:proofErr w:type="spellEnd"/>
          </w:p>
        </w:tc>
        <w:tc>
          <w:tcPr>
            <w:tcW w:w="4050" w:type="dxa"/>
          </w:tcPr>
          <w:p w14:paraId="1095669D" w14:textId="77777777" w:rsidR="002D705A" w:rsidRPr="00B74C84" w:rsidRDefault="002D705A" w:rsidP="00A30351">
            <w:r>
              <w:t>NHMUK</w:t>
            </w:r>
            <w:r w:rsidRPr="00B74C84">
              <w:t xml:space="preserve"> 2005.9 </w:t>
            </w:r>
            <w:r>
              <w:t>(</w:t>
            </w:r>
            <w:r w:rsidRPr="00B74C84">
              <w:t>Wilkinson et al., 2011</w:t>
            </w:r>
            <w:r>
              <w:t>)</w:t>
            </w:r>
          </w:p>
        </w:tc>
        <w:tc>
          <w:tcPr>
            <w:tcW w:w="6210" w:type="dxa"/>
          </w:tcPr>
          <w:p w14:paraId="4E8E43F1" w14:textId="77777777" w:rsidR="002D705A" w:rsidRPr="00B74C84" w:rsidRDefault="002D705A" w:rsidP="00A30351">
            <w:r w:rsidRPr="00B74C84">
              <w:t>0.10</w:t>
            </w:r>
          </w:p>
        </w:tc>
      </w:tr>
      <w:tr w:rsidR="002D705A" w:rsidRPr="00B74C84" w14:paraId="600438DC" w14:textId="77777777" w:rsidTr="006E6B01">
        <w:tc>
          <w:tcPr>
            <w:tcW w:w="2695" w:type="dxa"/>
          </w:tcPr>
          <w:p w14:paraId="7109F765" w14:textId="77777777" w:rsidR="002D705A" w:rsidRPr="00B74C84" w:rsidRDefault="002D705A" w:rsidP="00A30351">
            <w:pPr>
              <w:rPr>
                <w:i/>
                <w:iCs/>
              </w:rPr>
            </w:pPr>
            <w:proofErr w:type="spellStart"/>
            <w:r w:rsidRPr="00B74C84">
              <w:rPr>
                <w:i/>
                <w:iCs/>
              </w:rPr>
              <w:t>Typhlonectes</w:t>
            </w:r>
            <w:proofErr w:type="spellEnd"/>
            <w:r w:rsidRPr="00B74C84">
              <w:rPr>
                <w:i/>
                <w:iCs/>
              </w:rPr>
              <w:t xml:space="preserve"> </w:t>
            </w:r>
            <w:proofErr w:type="spellStart"/>
            <w:r w:rsidRPr="00B74C84">
              <w:rPr>
                <w:i/>
                <w:iCs/>
              </w:rPr>
              <w:t>compressicauda</w:t>
            </w:r>
            <w:proofErr w:type="spellEnd"/>
          </w:p>
        </w:tc>
        <w:tc>
          <w:tcPr>
            <w:tcW w:w="4050" w:type="dxa"/>
          </w:tcPr>
          <w:p w14:paraId="2664E1CB" w14:textId="77777777" w:rsidR="002D705A" w:rsidRPr="00B74C84" w:rsidRDefault="002D705A" w:rsidP="00A30351">
            <w:r w:rsidRPr="00B74C84">
              <w:t>MW 5820</w:t>
            </w:r>
            <w:r>
              <w:t xml:space="preserve"> (</w:t>
            </w:r>
            <w:r w:rsidRPr="00B74C84">
              <w:t>Wilkinson et al., 2011</w:t>
            </w:r>
            <w:r>
              <w:t>)</w:t>
            </w:r>
          </w:p>
        </w:tc>
        <w:tc>
          <w:tcPr>
            <w:tcW w:w="6210" w:type="dxa"/>
          </w:tcPr>
          <w:p w14:paraId="0736E538" w14:textId="77777777" w:rsidR="002D705A" w:rsidRPr="00B74C84" w:rsidRDefault="002D705A" w:rsidP="00A30351">
            <w:r w:rsidRPr="00B74C84">
              <w:t>0.12</w:t>
            </w:r>
          </w:p>
        </w:tc>
      </w:tr>
    </w:tbl>
    <w:p w14:paraId="7A85298A" w14:textId="50EB9A6A" w:rsidR="006E6B01" w:rsidRDefault="002D705A" w:rsidP="009C1A18">
      <w:r>
        <w:t xml:space="preserve">*In the case of </w:t>
      </w:r>
      <w:r w:rsidRPr="00831A94">
        <w:rPr>
          <w:i/>
          <w:iCs/>
        </w:rPr>
        <w:t>Funcusvermis</w:t>
      </w:r>
      <w:r>
        <w:t xml:space="preserve">, the anteroposterior length of the pseudoangular was measured using the referred pseudoangular specimen PEFO 46480 and the extent of the facet for attachment of the pseudoangular to the pseudodentary in pseudodentary specimen PEFO 46284 (given PEFO 46480 is missing its anterior end).; In the case of </w:t>
      </w:r>
      <w:r w:rsidRPr="00831A94">
        <w:rPr>
          <w:i/>
          <w:iCs/>
        </w:rPr>
        <w:t>Doleserpeton</w:t>
      </w:r>
      <w:r>
        <w:t>, the anteroposterior length of the postdentary bones measured from the anterior terminus of the prearticular to the posterior terminus of the articular was used in absence of the compound pseudoangular.</w:t>
      </w:r>
      <w:bookmarkStart w:id="16" w:name="_Hlk98857816"/>
    </w:p>
    <w:p w14:paraId="798FA2F4" w14:textId="02BD2798" w:rsidR="00EA65E2" w:rsidRDefault="00EA65E2" w:rsidP="009C1A18"/>
    <w:p w14:paraId="2DA496B6" w14:textId="4FE25451" w:rsidR="00EA65E2" w:rsidRDefault="00EA65E2" w:rsidP="009C1A18"/>
    <w:p w14:paraId="38C98371" w14:textId="77777777" w:rsidR="00EA65E2" w:rsidRDefault="00EA65E2" w:rsidP="009C1A18"/>
    <w:p w14:paraId="305D7563" w14:textId="32791E05" w:rsidR="004F3A72" w:rsidRDefault="00286C82" w:rsidP="009C1A18">
      <w:pPr>
        <w:rPr>
          <w:b/>
          <w:bCs/>
          <w:color w:val="222222"/>
        </w:rPr>
      </w:pPr>
      <w:r w:rsidRPr="00286C82">
        <w:rPr>
          <w:b/>
          <w:bCs/>
          <w:color w:val="222222"/>
        </w:rPr>
        <w:lastRenderedPageBreak/>
        <w:t>Supplementa</w:t>
      </w:r>
      <w:r w:rsidR="00F67DA6">
        <w:rPr>
          <w:b/>
          <w:bCs/>
          <w:color w:val="222222"/>
        </w:rPr>
        <w:t xml:space="preserve">ry </w:t>
      </w:r>
      <w:r w:rsidRPr="00286C82">
        <w:rPr>
          <w:b/>
          <w:bCs/>
          <w:color w:val="222222"/>
        </w:rPr>
        <w:t xml:space="preserve">Table </w:t>
      </w:r>
      <w:r w:rsidR="00F3686E">
        <w:rPr>
          <w:b/>
          <w:bCs/>
          <w:color w:val="222222"/>
        </w:rPr>
        <w:t>2</w:t>
      </w:r>
      <w:r w:rsidRPr="00286C82">
        <w:rPr>
          <w:b/>
          <w:bCs/>
          <w:color w:val="222222"/>
        </w:rPr>
        <w:t xml:space="preserve">. </w:t>
      </w:r>
      <w:r w:rsidR="00C24271">
        <w:rPr>
          <w:b/>
          <w:bCs/>
          <w:color w:val="222222"/>
        </w:rPr>
        <w:t xml:space="preserve">Fossil </w:t>
      </w:r>
      <w:r w:rsidR="0076658B">
        <w:rPr>
          <w:b/>
          <w:bCs/>
          <w:color w:val="222222"/>
        </w:rPr>
        <w:t>g</w:t>
      </w:r>
      <w:r w:rsidRPr="00286C82">
        <w:rPr>
          <w:b/>
          <w:bCs/>
          <w:color w:val="222222"/>
        </w:rPr>
        <w:t xml:space="preserve">ymnophionomorph </w:t>
      </w:r>
      <w:r w:rsidR="0076658B">
        <w:rPr>
          <w:b/>
          <w:bCs/>
          <w:color w:val="222222"/>
        </w:rPr>
        <w:t>o</w:t>
      </w:r>
      <w:r w:rsidRPr="00286C82">
        <w:rPr>
          <w:b/>
          <w:bCs/>
          <w:color w:val="222222"/>
        </w:rPr>
        <w:t>ccurrence</w:t>
      </w:r>
      <w:r w:rsidR="00447B41">
        <w:rPr>
          <w:b/>
          <w:bCs/>
          <w:color w:val="222222"/>
        </w:rPr>
        <w:t xml:space="preserve"> data</w:t>
      </w:r>
    </w:p>
    <w:p w14:paraId="6B816E32" w14:textId="77777777" w:rsidR="006E6B01" w:rsidRPr="00C24271" w:rsidRDefault="006E6B01" w:rsidP="009C1A18">
      <w:pPr>
        <w:rPr>
          <w:b/>
          <w:bCs/>
          <w:color w:val="222222"/>
        </w:rPr>
      </w:pPr>
    </w:p>
    <w:bookmarkEnd w:id="16"/>
    <w:tbl>
      <w:tblPr>
        <w:tblStyle w:val="TableGrid"/>
        <w:tblW w:w="12775" w:type="dxa"/>
        <w:tblLook w:val="04A0" w:firstRow="1" w:lastRow="0" w:firstColumn="1" w:lastColumn="0" w:noHBand="0" w:noVBand="1"/>
      </w:tblPr>
      <w:tblGrid>
        <w:gridCol w:w="416"/>
        <w:gridCol w:w="1494"/>
        <w:gridCol w:w="1127"/>
        <w:gridCol w:w="1377"/>
        <w:gridCol w:w="1611"/>
        <w:gridCol w:w="1890"/>
        <w:gridCol w:w="1440"/>
        <w:gridCol w:w="1980"/>
        <w:gridCol w:w="1440"/>
      </w:tblGrid>
      <w:tr w:rsidR="008F296A" w:rsidRPr="00F462FB" w14:paraId="4F98CA73" w14:textId="77777777" w:rsidTr="009A7E71">
        <w:trPr>
          <w:trHeight w:val="431"/>
        </w:trPr>
        <w:tc>
          <w:tcPr>
            <w:tcW w:w="416" w:type="dxa"/>
          </w:tcPr>
          <w:p w14:paraId="09414E11" w14:textId="77777777" w:rsidR="008F296A" w:rsidRDefault="008F296A" w:rsidP="008F296A">
            <w:pPr>
              <w:jc w:val="center"/>
              <w:rPr>
                <w:b/>
                <w:bCs/>
                <w:color w:val="222222"/>
                <w:sz w:val="20"/>
                <w:szCs w:val="20"/>
              </w:rPr>
            </w:pPr>
          </w:p>
        </w:tc>
        <w:tc>
          <w:tcPr>
            <w:tcW w:w="1494" w:type="dxa"/>
          </w:tcPr>
          <w:p w14:paraId="295C95A7" w14:textId="77777777" w:rsidR="008F296A" w:rsidRPr="00062F7E" w:rsidRDefault="008F296A" w:rsidP="008F296A">
            <w:pPr>
              <w:jc w:val="center"/>
              <w:rPr>
                <w:b/>
                <w:bCs/>
                <w:color w:val="222222"/>
                <w:sz w:val="20"/>
                <w:szCs w:val="20"/>
              </w:rPr>
            </w:pPr>
            <w:r>
              <w:rPr>
                <w:b/>
                <w:bCs/>
                <w:color w:val="222222"/>
                <w:sz w:val="20"/>
                <w:szCs w:val="20"/>
              </w:rPr>
              <w:t>T</w:t>
            </w:r>
            <w:r w:rsidRPr="00062F7E">
              <w:rPr>
                <w:b/>
                <w:bCs/>
                <w:color w:val="222222"/>
                <w:sz w:val="20"/>
                <w:szCs w:val="20"/>
              </w:rPr>
              <w:t>axon</w:t>
            </w:r>
          </w:p>
        </w:tc>
        <w:tc>
          <w:tcPr>
            <w:tcW w:w="1127" w:type="dxa"/>
          </w:tcPr>
          <w:p w14:paraId="5FE5F957" w14:textId="77777777" w:rsidR="008F296A" w:rsidRPr="00062F7E" w:rsidRDefault="008F296A" w:rsidP="008F296A">
            <w:pPr>
              <w:jc w:val="center"/>
              <w:rPr>
                <w:b/>
                <w:bCs/>
                <w:color w:val="222222"/>
                <w:sz w:val="20"/>
                <w:szCs w:val="20"/>
              </w:rPr>
            </w:pPr>
            <w:r>
              <w:rPr>
                <w:b/>
                <w:bCs/>
                <w:color w:val="222222"/>
                <w:sz w:val="20"/>
                <w:szCs w:val="20"/>
              </w:rPr>
              <w:t>R</w:t>
            </w:r>
            <w:r w:rsidRPr="00062F7E">
              <w:rPr>
                <w:b/>
                <w:bCs/>
                <w:color w:val="222222"/>
                <w:sz w:val="20"/>
                <w:szCs w:val="20"/>
              </w:rPr>
              <w:t>eference</w:t>
            </w:r>
          </w:p>
        </w:tc>
        <w:tc>
          <w:tcPr>
            <w:tcW w:w="1377" w:type="dxa"/>
          </w:tcPr>
          <w:p w14:paraId="149B57FF" w14:textId="77777777" w:rsidR="008F296A" w:rsidRPr="00062F7E" w:rsidRDefault="008F296A" w:rsidP="008F296A">
            <w:pPr>
              <w:jc w:val="center"/>
              <w:rPr>
                <w:b/>
                <w:bCs/>
                <w:color w:val="222222"/>
                <w:sz w:val="20"/>
                <w:szCs w:val="20"/>
              </w:rPr>
            </w:pPr>
            <w:r>
              <w:rPr>
                <w:b/>
                <w:bCs/>
                <w:color w:val="222222"/>
                <w:sz w:val="20"/>
                <w:szCs w:val="20"/>
              </w:rPr>
              <w:t>A</w:t>
            </w:r>
            <w:r w:rsidRPr="00062F7E">
              <w:rPr>
                <w:b/>
                <w:bCs/>
                <w:color w:val="222222"/>
                <w:sz w:val="20"/>
                <w:szCs w:val="20"/>
              </w:rPr>
              <w:t>ge</w:t>
            </w:r>
          </w:p>
        </w:tc>
        <w:tc>
          <w:tcPr>
            <w:tcW w:w="1611" w:type="dxa"/>
          </w:tcPr>
          <w:p w14:paraId="268B9FDD" w14:textId="77777777" w:rsidR="008F296A" w:rsidRPr="00062F7E" w:rsidRDefault="008F296A" w:rsidP="008F296A">
            <w:pPr>
              <w:jc w:val="center"/>
              <w:rPr>
                <w:b/>
                <w:bCs/>
                <w:color w:val="222222"/>
                <w:sz w:val="20"/>
                <w:szCs w:val="20"/>
              </w:rPr>
            </w:pPr>
            <w:r>
              <w:rPr>
                <w:b/>
                <w:bCs/>
                <w:color w:val="222222"/>
                <w:sz w:val="20"/>
                <w:szCs w:val="20"/>
              </w:rPr>
              <w:t>P</w:t>
            </w:r>
            <w:r w:rsidRPr="00062F7E">
              <w:rPr>
                <w:b/>
                <w:bCs/>
                <w:color w:val="222222"/>
                <w:sz w:val="20"/>
                <w:szCs w:val="20"/>
              </w:rPr>
              <w:t>resent day location</w:t>
            </w:r>
          </w:p>
        </w:tc>
        <w:tc>
          <w:tcPr>
            <w:tcW w:w="1890" w:type="dxa"/>
          </w:tcPr>
          <w:p w14:paraId="5580AD09" w14:textId="77777777" w:rsidR="008F296A" w:rsidRPr="00062F7E" w:rsidRDefault="008F296A" w:rsidP="008F296A">
            <w:pPr>
              <w:jc w:val="center"/>
              <w:rPr>
                <w:b/>
                <w:bCs/>
                <w:color w:val="222222"/>
                <w:sz w:val="20"/>
                <w:szCs w:val="20"/>
              </w:rPr>
            </w:pPr>
            <w:r>
              <w:rPr>
                <w:b/>
                <w:bCs/>
                <w:color w:val="222222"/>
                <w:sz w:val="20"/>
                <w:szCs w:val="20"/>
              </w:rPr>
              <w:t>P</w:t>
            </w:r>
            <w:r w:rsidRPr="00062F7E">
              <w:rPr>
                <w:b/>
                <w:bCs/>
                <w:color w:val="222222"/>
                <w:sz w:val="20"/>
                <w:szCs w:val="20"/>
              </w:rPr>
              <w:t>aleogeography</w:t>
            </w:r>
          </w:p>
        </w:tc>
        <w:tc>
          <w:tcPr>
            <w:tcW w:w="1440" w:type="dxa"/>
          </w:tcPr>
          <w:p w14:paraId="447B249C" w14:textId="77777777" w:rsidR="008F296A" w:rsidRPr="00062F7E" w:rsidRDefault="008F296A" w:rsidP="008F296A">
            <w:pPr>
              <w:jc w:val="center"/>
              <w:rPr>
                <w:b/>
                <w:bCs/>
                <w:color w:val="222222"/>
                <w:sz w:val="20"/>
                <w:szCs w:val="20"/>
              </w:rPr>
            </w:pPr>
            <w:r>
              <w:rPr>
                <w:b/>
                <w:bCs/>
                <w:color w:val="222222"/>
                <w:sz w:val="20"/>
                <w:szCs w:val="20"/>
              </w:rPr>
              <w:t>P</w:t>
            </w:r>
            <w:r w:rsidRPr="00062F7E">
              <w:rPr>
                <w:b/>
                <w:bCs/>
                <w:color w:val="222222"/>
                <w:sz w:val="20"/>
                <w:szCs w:val="20"/>
              </w:rPr>
              <w:t>aleolatitude</w:t>
            </w:r>
          </w:p>
        </w:tc>
        <w:tc>
          <w:tcPr>
            <w:tcW w:w="1980" w:type="dxa"/>
          </w:tcPr>
          <w:p w14:paraId="4338558E" w14:textId="77777777" w:rsidR="008F296A" w:rsidRPr="00062F7E" w:rsidRDefault="008F296A" w:rsidP="008F296A">
            <w:pPr>
              <w:rPr>
                <w:b/>
                <w:bCs/>
                <w:color w:val="222222"/>
                <w:sz w:val="20"/>
                <w:szCs w:val="20"/>
              </w:rPr>
            </w:pPr>
            <w:r>
              <w:rPr>
                <w:b/>
                <w:bCs/>
                <w:color w:val="222222"/>
                <w:sz w:val="20"/>
                <w:szCs w:val="20"/>
              </w:rPr>
              <w:t>M</w:t>
            </w:r>
            <w:r w:rsidRPr="00062F7E">
              <w:rPr>
                <w:b/>
                <w:bCs/>
                <w:color w:val="222222"/>
                <w:sz w:val="20"/>
                <w:szCs w:val="20"/>
              </w:rPr>
              <w:t>inimum number of individuals (MNI)</w:t>
            </w:r>
          </w:p>
        </w:tc>
        <w:tc>
          <w:tcPr>
            <w:tcW w:w="1440" w:type="dxa"/>
          </w:tcPr>
          <w:p w14:paraId="6336FD1A" w14:textId="77777777" w:rsidR="008F296A" w:rsidRPr="00062F7E" w:rsidRDefault="008F296A" w:rsidP="008F296A">
            <w:pPr>
              <w:rPr>
                <w:b/>
                <w:bCs/>
                <w:color w:val="222222"/>
                <w:sz w:val="20"/>
                <w:szCs w:val="20"/>
              </w:rPr>
            </w:pPr>
            <w:r w:rsidRPr="00062F7E">
              <w:rPr>
                <w:b/>
                <w:bCs/>
                <w:color w:val="222222"/>
                <w:sz w:val="20"/>
                <w:szCs w:val="20"/>
              </w:rPr>
              <w:t>Collecting Method</w:t>
            </w:r>
          </w:p>
        </w:tc>
      </w:tr>
      <w:tr w:rsidR="008F296A" w:rsidRPr="00F462FB" w14:paraId="57CC2694" w14:textId="77777777" w:rsidTr="009A7E71">
        <w:trPr>
          <w:trHeight w:val="207"/>
        </w:trPr>
        <w:tc>
          <w:tcPr>
            <w:tcW w:w="416" w:type="dxa"/>
          </w:tcPr>
          <w:p w14:paraId="339B8F38" w14:textId="77777777" w:rsidR="008F296A" w:rsidRPr="00662B68" w:rsidRDefault="008F296A" w:rsidP="008F296A">
            <w:pPr>
              <w:rPr>
                <w:color w:val="222222"/>
                <w:sz w:val="20"/>
                <w:szCs w:val="20"/>
              </w:rPr>
            </w:pPr>
            <w:r w:rsidRPr="00662B68">
              <w:rPr>
                <w:color w:val="222222"/>
                <w:sz w:val="20"/>
                <w:szCs w:val="20"/>
              </w:rPr>
              <w:t>1</w:t>
            </w:r>
          </w:p>
        </w:tc>
        <w:tc>
          <w:tcPr>
            <w:tcW w:w="1494" w:type="dxa"/>
          </w:tcPr>
          <w:p w14:paraId="71D23154" w14:textId="77777777" w:rsidR="008F296A" w:rsidRPr="00062F7E" w:rsidRDefault="008F296A" w:rsidP="008F296A">
            <w:pPr>
              <w:rPr>
                <w:i/>
                <w:iCs/>
                <w:color w:val="222222"/>
                <w:sz w:val="20"/>
                <w:szCs w:val="20"/>
              </w:rPr>
            </w:pPr>
            <w:r w:rsidRPr="00062F7E">
              <w:rPr>
                <w:i/>
                <w:iCs/>
                <w:color w:val="222222"/>
                <w:sz w:val="20"/>
                <w:szCs w:val="20"/>
              </w:rPr>
              <w:t>Funcusvermis gilmorei</w:t>
            </w:r>
          </w:p>
        </w:tc>
        <w:tc>
          <w:tcPr>
            <w:tcW w:w="1127" w:type="dxa"/>
          </w:tcPr>
          <w:p w14:paraId="27BB697D" w14:textId="77777777" w:rsidR="008F296A" w:rsidRPr="00062F7E" w:rsidRDefault="008F296A" w:rsidP="008F296A">
            <w:pPr>
              <w:rPr>
                <w:color w:val="222222"/>
                <w:sz w:val="20"/>
                <w:szCs w:val="20"/>
              </w:rPr>
            </w:pPr>
            <w:r w:rsidRPr="00062F7E">
              <w:rPr>
                <w:color w:val="222222"/>
                <w:sz w:val="20"/>
                <w:szCs w:val="20"/>
              </w:rPr>
              <w:t>This study</w:t>
            </w:r>
          </w:p>
        </w:tc>
        <w:tc>
          <w:tcPr>
            <w:tcW w:w="1377" w:type="dxa"/>
          </w:tcPr>
          <w:p w14:paraId="5BCAB18E" w14:textId="77777777" w:rsidR="008F296A" w:rsidRPr="00062F7E" w:rsidRDefault="008F296A" w:rsidP="008F296A">
            <w:pPr>
              <w:jc w:val="center"/>
              <w:rPr>
                <w:color w:val="222222"/>
                <w:sz w:val="20"/>
                <w:szCs w:val="20"/>
              </w:rPr>
            </w:pPr>
            <w:r w:rsidRPr="00062F7E">
              <w:rPr>
                <w:color w:val="222222"/>
                <w:sz w:val="20"/>
                <w:szCs w:val="20"/>
              </w:rPr>
              <w:t>Middle Norian, ~22</w:t>
            </w:r>
            <w:r>
              <w:rPr>
                <w:color w:val="222222"/>
                <w:sz w:val="20"/>
                <w:szCs w:val="20"/>
              </w:rPr>
              <w:t>1</w:t>
            </w:r>
            <w:r w:rsidRPr="00062F7E">
              <w:rPr>
                <w:color w:val="222222"/>
                <w:sz w:val="20"/>
                <w:szCs w:val="20"/>
              </w:rPr>
              <w:t xml:space="preserve"> Ma</w:t>
            </w:r>
          </w:p>
        </w:tc>
        <w:tc>
          <w:tcPr>
            <w:tcW w:w="1611" w:type="dxa"/>
          </w:tcPr>
          <w:p w14:paraId="0A0A89ED" w14:textId="77777777" w:rsidR="008F296A" w:rsidRPr="00062F7E" w:rsidRDefault="008F296A" w:rsidP="008F296A">
            <w:pPr>
              <w:jc w:val="center"/>
              <w:rPr>
                <w:color w:val="222222"/>
                <w:sz w:val="20"/>
                <w:szCs w:val="20"/>
              </w:rPr>
            </w:pPr>
            <w:r w:rsidRPr="00062F7E">
              <w:rPr>
                <w:color w:val="222222"/>
                <w:sz w:val="20"/>
                <w:szCs w:val="20"/>
              </w:rPr>
              <w:t>Arizona, USA</w:t>
            </w:r>
          </w:p>
        </w:tc>
        <w:tc>
          <w:tcPr>
            <w:tcW w:w="1890" w:type="dxa"/>
          </w:tcPr>
          <w:p w14:paraId="515A0DCE" w14:textId="77777777" w:rsidR="008F296A" w:rsidRPr="00062F7E" w:rsidRDefault="008F296A" w:rsidP="008F296A">
            <w:pPr>
              <w:rPr>
                <w:color w:val="222222"/>
                <w:sz w:val="20"/>
                <w:szCs w:val="20"/>
              </w:rPr>
            </w:pPr>
            <w:r w:rsidRPr="00062F7E">
              <w:rPr>
                <w:color w:val="222222"/>
                <w:sz w:val="20"/>
                <w:szCs w:val="20"/>
              </w:rPr>
              <w:t>Equatorial Central Pangaea (North American Plate)</w:t>
            </w:r>
          </w:p>
        </w:tc>
        <w:tc>
          <w:tcPr>
            <w:tcW w:w="1440" w:type="dxa"/>
          </w:tcPr>
          <w:p w14:paraId="06D08755" w14:textId="228BC157" w:rsidR="008F296A" w:rsidRPr="00062F7E" w:rsidRDefault="008F296A" w:rsidP="008F296A">
            <w:pPr>
              <w:jc w:val="center"/>
              <w:rPr>
                <w:color w:val="222222"/>
                <w:sz w:val="20"/>
                <w:szCs w:val="20"/>
              </w:rPr>
            </w:pPr>
            <w:r w:rsidRPr="00062F7E">
              <w:rPr>
                <w:color w:val="222222"/>
                <w:sz w:val="20"/>
                <w:szCs w:val="20"/>
              </w:rPr>
              <w:t xml:space="preserve">~6° N (Kent </w:t>
            </w:r>
            <w:r>
              <w:rPr>
                <w:color w:val="222222"/>
                <w:sz w:val="20"/>
                <w:szCs w:val="20"/>
              </w:rPr>
              <w:t>&amp;</w:t>
            </w:r>
            <w:r w:rsidRPr="00062F7E">
              <w:rPr>
                <w:color w:val="222222"/>
                <w:sz w:val="20"/>
                <w:szCs w:val="20"/>
              </w:rPr>
              <w:t xml:space="preserve"> Irving, 2010)</w:t>
            </w:r>
          </w:p>
        </w:tc>
        <w:tc>
          <w:tcPr>
            <w:tcW w:w="1980" w:type="dxa"/>
          </w:tcPr>
          <w:p w14:paraId="08E48626" w14:textId="03F5B159" w:rsidR="008F296A" w:rsidRPr="00062F7E" w:rsidRDefault="008322F2" w:rsidP="008F296A">
            <w:pPr>
              <w:jc w:val="center"/>
              <w:rPr>
                <w:color w:val="222222"/>
                <w:sz w:val="20"/>
                <w:szCs w:val="20"/>
              </w:rPr>
            </w:pPr>
            <w:r>
              <w:rPr>
                <w:color w:val="222222"/>
                <w:sz w:val="20"/>
                <w:szCs w:val="20"/>
              </w:rPr>
              <w:t>7</w:t>
            </w:r>
            <w:r w:rsidR="00B31191">
              <w:rPr>
                <w:color w:val="222222"/>
                <w:sz w:val="20"/>
                <w:szCs w:val="20"/>
              </w:rPr>
              <w:t>6</w:t>
            </w:r>
          </w:p>
        </w:tc>
        <w:tc>
          <w:tcPr>
            <w:tcW w:w="1440" w:type="dxa"/>
          </w:tcPr>
          <w:p w14:paraId="41FB111C" w14:textId="77777777" w:rsidR="008F296A" w:rsidRPr="00062F7E" w:rsidRDefault="008F296A" w:rsidP="008F296A">
            <w:pPr>
              <w:rPr>
                <w:color w:val="222222"/>
                <w:sz w:val="20"/>
                <w:szCs w:val="20"/>
              </w:rPr>
            </w:pPr>
            <w:proofErr w:type="spellStart"/>
            <w:r w:rsidRPr="00062F7E">
              <w:rPr>
                <w:color w:val="222222"/>
                <w:sz w:val="20"/>
                <w:szCs w:val="20"/>
              </w:rPr>
              <w:t>Screenwashing</w:t>
            </w:r>
            <w:proofErr w:type="spellEnd"/>
          </w:p>
        </w:tc>
      </w:tr>
      <w:tr w:rsidR="008F296A" w:rsidRPr="00F462FB" w14:paraId="0CF7DE6E" w14:textId="77777777" w:rsidTr="009A7E71">
        <w:trPr>
          <w:trHeight w:val="207"/>
        </w:trPr>
        <w:tc>
          <w:tcPr>
            <w:tcW w:w="416" w:type="dxa"/>
          </w:tcPr>
          <w:p w14:paraId="4DF0D993" w14:textId="77777777" w:rsidR="008F296A" w:rsidRPr="00662B68" w:rsidRDefault="008F296A" w:rsidP="008F296A">
            <w:pPr>
              <w:rPr>
                <w:color w:val="222222"/>
                <w:sz w:val="20"/>
                <w:szCs w:val="20"/>
              </w:rPr>
            </w:pPr>
            <w:r>
              <w:rPr>
                <w:color w:val="222222"/>
                <w:sz w:val="20"/>
                <w:szCs w:val="20"/>
              </w:rPr>
              <w:t>2</w:t>
            </w:r>
          </w:p>
        </w:tc>
        <w:tc>
          <w:tcPr>
            <w:tcW w:w="1494" w:type="dxa"/>
          </w:tcPr>
          <w:p w14:paraId="2BD7C621" w14:textId="77777777" w:rsidR="008F296A" w:rsidRPr="00062F7E" w:rsidRDefault="008F296A" w:rsidP="008F296A">
            <w:pPr>
              <w:rPr>
                <w:color w:val="222222"/>
                <w:sz w:val="20"/>
                <w:szCs w:val="20"/>
              </w:rPr>
            </w:pPr>
            <w:r w:rsidRPr="00062F7E">
              <w:rPr>
                <w:i/>
                <w:iCs/>
                <w:color w:val="222222"/>
                <w:sz w:val="20"/>
                <w:szCs w:val="20"/>
              </w:rPr>
              <w:t>Eocaecilia micropod</w:t>
            </w:r>
            <w:r>
              <w:rPr>
                <w:i/>
                <w:iCs/>
                <w:color w:val="222222"/>
                <w:sz w:val="20"/>
                <w:szCs w:val="20"/>
              </w:rPr>
              <w:t>i</w:t>
            </w:r>
            <w:r w:rsidRPr="00062F7E">
              <w:rPr>
                <w:i/>
                <w:iCs/>
                <w:color w:val="222222"/>
                <w:sz w:val="20"/>
                <w:szCs w:val="20"/>
              </w:rPr>
              <w:t xml:space="preserve">a </w:t>
            </w:r>
          </w:p>
        </w:tc>
        <w:tc>
          <w:tcPr>
            <w:tcW w:w="1127" w:type="dxa"/>
          </w:tcPr>
          <w:p w14:paraId="0FD89EC8" w14:textId="77777777" w:rsidR="008F296A" w:rsidRPr="00062F7E" w:rsidRDefault="008F296A" w:rsidP="008F296A">
            <w:pPr>
              <w:rPr>
                <w:color w:val="222222"/>
                <w:sz w:val="20"/>
                <w:szCs w:val="20"/>
              </w:rPr>
            </w:pPr>
            <w:r w:rsidRPr="00062F7E">
              <w:rPr>
                <w:color w:val="222222"/>
                <w:sz w:val="20"/>
                <w:szCs w:val="20"/>
              </w:rPr>
              <w:t>Jenkins et al., 1993, 2007</w:t>
            </w:r>
          </w:p>
        </w:tc>
        <w:tc>
          <w:tcPr>
            <w:tcW w:w="1377" w:type="dxa"/>
          </w:tcPr>
          <w:p w14:paraId="04501A61" w14:textId="77777777" w:rsidR="008F296A" w:rsidRPr="00062F7E" w:rsidRDefault="008F296A" w:rsidP="008F296A">
            <w:pPr>
              <w:jc w:val="center"/>
              <w:rPr>
                <w:color w:val="222222"/>
                <w:sz w:val="20"/>
                <w:szCs w:val="20"/>
              </w:rPr>
            </w:pPr>
            <w:r w:rsidRPr="00062F7E">
              <w:rPr>
                <w:color w:val="222222"/>
                <w:sz w:val="20"/>
                <w:szCs w:val="20"/>
              </w:rPr>
              <w:t>Pl</w:t>
            </w:r>
            <w:r>
              <w:rPr>
                <w:color w:val="222222"/>
                <w:sz w:val="20"/>
                <w:szCs w:val="20"/>
              </w:rPr>
              <w:t>ie</w:t>
            </w:r>
            <w:r w:rsidRPr="00062F7E">
              <w:rPr>
                <w:color w:val="222222"/>
                <w:sz w:val="20"/>
                <w:szCs w:val="20"/>
              </w:rPr>
              <w:t>nsbachian, ~183.7 M</w:t>
            </w:r>
            <w:r>
              <w:rPr>
                <w:color w:val="222222"/>
                <w:sz w:val="20"/>
                <w:szCs w:val="20"/>
              </w:rPr>
              <w:t>a</w:t>
            </w:r>
          </w:p>
        </w:tc>
        <w:tc>
          <w:tcPr>
            <w:tcW w:w="1611" w:type="dxa"/>
          </w:tcPr>
          <w:p w14:paraId="1010A5CD" w14:textId="77777777" w:rsidR="008F296A" w:rsidRPr="00062F7E" w:rsidRDefault="008F296A" w:rsidP="008F296A">
            <w:pPr>
              <w:jc w:val="center"/>
              <w:rPr>
                <w:color w:val="222222"/>
                <w:sz w:val="20"/>
                <w:szCs w:val="20"/>
              </w:rPr>
            </w:pPr>
            <w:r w:rsidRPr="00062F7E">
              <w:rPr>
                <w:color w:val="222222"/>
                <w:sz w:val="20"/>
                <w:szCs w:val="20"/>
              </w:rPr>
              <w:t>Arizona, USA</w:t>
            </w:r>
          </w:p>
        </w:tc>
        <w:tc>
          <w:tcPr>
            <w:tcW w:w="1890" w:type="dxa"/>
          </w:tcPr>
          <w:p w14:paraId="69B5638A" w14:textId="77777777" w:rsidR="008F296A" w:rsidRPr="00062F7E" w:rsidRDefault="008F296A" w:rsidP="008F296A">
            <w:pPr>
              <w:rPr>
                <w:color w:val="222222"/>
                <w:sz w:val="20"/>
                <w:szCs w:val="20"/>
              </w:rPr>
            </w:pPr>
            <w:r w:rsidRPr="00062F7E">
              <w:rPr>
                <w:color w:val="222222"/>
                <w:sz w:val="20"/>
                <w:szCs w:val="20"/>
              </w:rPr>
              <w:t>Equatorial Central Pangaea (North American Plate)</w:t>
            </w:r>
          </w:p>
        </w:tc>
        <w:tc>
          <w:tcPr>
            <w:tcW w:w="1440" w:type="dxa"/>
          </w:tcPr>
          <w:p w14:paraId="6EB89C91" w14:textId="3B6D5B6B" w:rsidR="008F296A" w:rsidRPr="00062F7E" w:rsidRDefault="008F296A" w:rsidP="008F296A">
            <w:pPr>
              <w:jc w:val="center"/>
              <w:rPr>
                <w:color w:val="222222"/>
                <w:sz w:val="20"/>
                <w:szCs w:val="20"/>
              </w:rPr>
            </w:pPr>
            <w:r w:rsidRPr="00062F7E">
              <w:rPr>
                <w:color w:val="222222"/>
                <w:sz w:val="20"/>
                <w:szCs w:val="20"/>
              </w:rPr>
              <w:t>~23° N (</w:t>
            </w:r>
            <w:proofErr w:type="spellStart"/>
            <w:r w:rsidRPr="00062F7E">
              <w:rPr>
                <w:color w:val="222222"/>
                <w:sz w:val="20"/>
                <w:szCs w:val="20"/>
              </w:rPr>
              <w:t>Bazard</w:t>
            </w:r>
            <w:proofErr w:type="spellEnd"/>
            <w:r w:rsidRPr="00062F7E">
              <w:rPr>
                <w:color w:val="222222"/>
                <w:sz w:val="20"/>
                <w:szCs w:val="20"/>
              </w:rPr>
              <w:t xml:space="preserve"> </w:t>
            </w:r>
            <w:r>
              <w:rPr>
                <w:color w:val="222222"/>
                <w:sz w:val="20"/>
                <w:szCs w:val="20"/>
              </w:rPr>
              <w:t>&amp;</w:t>
            </w:r>
            <w:r w:rsidRPr="00062F7E">
              <w:rPr>
                <w:color w:val="222222"/>
                <w:sz w:val="20"/>
                <w:szCs w:val="20"/>
              </w:rPr>
              <w:t xml:space="preserve"> Butler, 1991)</w:t>
            </w:r>
          </w:p>
        </w:tc>
        <w:tc>
          <w:tcPr>
            <w:tcW w:w="1980" w:type="dxa"/>
          </w:tcPr>
          <w:p w14:paraId="3B5B550C" w14:textId="77777777" w:rsidR="008F296A" w:rsidRPr="00062F7E" w:rsidRDefault="008F296A" w:rsidP="008F296A">
            <w:pPr>
              <w:jc w:val="center"/>
              <w:rPr>
                <w:color w:val="222222"/>
                <w:sz w:val="20"/>
                <w:szCs w:val="20"/>
              </w:rPr>
            </w:pPr>
            <w:r w:rsidRPr="00062F7E">
              <w:rPr>
                <w:color w:val="222222"/>
                <w:sz w:val="20"/>
                <w:szCs w:val="20"/>
              </w:rPr>
              <w:t>11</w:t>
            </w:r>
          </w:p>
        </w:tc>
        <w:tc>
          <w:tcPr>
            <w:tcW w:w="1440" w:type="dxa"/>
          </w:tcPr>
          <w:p w14:paraId="39DA7644" w14:textId="77777777" w:rsidR="008F296A" w:rsidRPr="00062F7E" w:rsidRDefault="008F296A" w:rsidP="008F296A">
            <w:pPr>
              <w:rPr>
                <w:color w:val="222222"/>
                <w:sz w:val="20"/>
                <w:szCs w:val="20"/>
              </w:rPr>
            </w:pPr>
            <w:r w:rsidRPr="00062F7E">
              <w:rPr>
                <w:color w:val="222222"/>
                <w:sz w:val="20"/>
                <w:szCs w:val="20"/>
              </w:rPr>
              <w:t>Quarrying in-situ skeletons</w:t>
            </w:r>
          </w:p>
        </w:tc>
      </w:tr>
      <w:tr w:rsidR="008F296A" w:rsidRPr="00F462FB" w14:paraId="4381AD05" w14:textId="77777777" w:rsidTr="009A7E71">
        <w:trPr>
          <w:trHeight w:val="207"/>
        </w:trPr>
        <w:tc>
          <w:tcPr>
            <w:tcW w:w="416" w:type="dxa"/>
          </w:tcPr>
          <w:p w14:paraId="1C1CDFA1" w14:textId="77777777" w:rsidR="008F296A" w:rsidRPr="00662B68" w:rsidRDefault="008F296A" w:rsidP="008F296A">
            <w:pPr>
              <w:rPr>
                <w:color w:val="222222"/>
                <w:sz w:val="20"/>
                <w:szCs w:val="20"/>
              </w:rPr>
            </w:pPr>
            <w:r w:rsidRPr="00662B68">
              <w:rPr>
                <w:color w:val="222222"/>
                <w:sz w:val="20"/>
                <w:szCs w:val="20"/>
              </w:rPr>
              <w:t>3</w:t>
            </w:r>
          </w:p>
        </w:tc>
        <w:tc>
          <w:tcPr>
            <w:tcW w:w="1494" w:type="dxa"/>
          </w:tcPr>
          <w:p w14:paraId="1ABBE9C6" w14:textId="77777777" w:rsidR="008F296A" w:rsidRPr="00062F7E" w:rsidRDefault="008F296A" w:rsidP="008F296A">
            <w:pPr>
              <w:rPr>
                <w:color w:val="222222"/>
                <w:sz w:val="20"/>
                <w:szCs w:val="20"/>
              </w:rPr>
            </w:pPr>
            <w:r w:rsidRPr="00062F7E">
              <w:rPr>
                <w:i/>
                <w:iCs/>
                <w:color w:val="222222"/>
                <w:sz w:val="20"/>
                <w:szCs w:val="20"/>
              </w:rPr>
              <w:t xml:space="preserve">Rubricacaecilia monbaroni </w:t>
            </w:r>
          </w:p>
        </w:tc>
        <w:tc>
          <w:tcPr>
            <w:tcW w:w="1127" w:type="dxa"/>
          </w:tcPr>
          <w:p w14:paraId="360412F1" w14:textId="64969DE6" w:rsidR="008F296A" w:rsidRPr="00062F7E" w:rsidRDefault="008F296A" w:rsidP="008F296A">
            <w:pPr>
              <w:rPr>
                <w:color w:val="222222"/>
                <w:sz w:val="20"/>
                <w:szCs w:val="20"/>
              </w:rPr>
            </w:pPr>
            <w:r w:rsidRPr="00062F7E">
              <w:rPr>
                <w:color w:val="222222"/>
                <w:sz w:val="20"/>
                <w:szCs w:val="20"/>
              </w:rPr>
              <w:t xml:space="preserve">Evans </w:t>
            </w:r>
            <w:r>
              <w:rPr>
                <w:color w:val="222222"/>
                <w:sz w:val="20"/>
                <w:szCs w:val="20"/>
              </w:rPr>
              <w:t>&amp;</w:t>
            </w:r>
            <w:r w:rsidRPr="00062F7E">
              <w:rPr>
                <w:color w:val="222222"/>
                <w:sz w:val="20"/>
                <w:szCs w:val="20"/>
              </w:rPr>
              <w:t xml:space="preserve">  </w:t>
            </w:r>
            <w:proofErr w:type="spellStart"/>
            <w:r w:rsidRPr="00062F7E">
              <w:rPr>
                <w:color w:val="222222"/>
                <w:sz w:val="20"/>
                <w:szCs w:val="20"/>
              </w:rPr>
              <w:t>Sigogneau</w:t>
            </w:r>
            <w:proofErr w:type="spellEnd"/>
            <w:r w:rsidRPr="00062F7E">
              <w:rPr>
                <w:color w:val="222222"/>
                <w:sz w:val="20"/>
                <w:szCs w:val="20"/>
              </w:rPr>
              <w:t>-Russell, 2001</w:t>
            </w:r>
          </w:p>
        </w:tc>
        <w:tc>
          <w:tcPr>
            <w:tcW w:w="1377" w:type="dxa"/>
          </w:tcPr>
          <w:p w14:paraId="5557825D" w14:textId="77777777" w:rsidR="008F296A" w:rsidRPr="00062F7E" w:rsidRDefault="008F296A" w:rsidP="008F296A">
            <w:pPr>
              <w:jc w:val="center"/>
              <w:rPr>
                <w:color w:val="222222"/>
                <w:sz w:val="20"/>
                <w:szCs w:val="20"/>
              </w:rPr>
            </w:pPr>
            <w:proofErr w:type="spellStart"/>
            <w:r w:rsidRPr="00062F7E">
              <w:rPr>
                <w:color w:val="222222"/>
                <w:sz w:val="20"/>
                <w:szCs w:val="20"/>
              </w:rPr>
              <w:t>Berriasian</w:t>
            </w:r>
            <w:proofErr w:type="spellEnd"/>
            <w:r w:rsidRPr="00062F7E">
              <w:rPr>
                <w:color w:val="222222"/>
                <w:sz w:val="20"/>
                <w:szCs w:val="20"/>
              </w:rPr>
              <w:t>, ~145 – 140 M</w:t>
            </w:r>
            <w:r>
              <w:rPr>
                <w:color w:val="222222"/>
                <w:sz w:val="20"/>
                <w:szCs w:val="20"/>
              </w:rPr>
              <w:t>a</w:t>
            </w:r>
          </w:p>
        </w:tc>
        <w:tc>
          <w:tcPr>
            <w:tcW w:w="1611" w:type="dxa"/>
          </w:tcPr>
          <w:p w14:paraId="19310952" w14:textId="77777777" w:rsidR="008F296A" w:rsidRPr="00062F7E" w:rsidRDefault="008F296A" w:rsidP="008F296A">
            <w:pPr>
              <w:jc w:val="center"/>
              <w:rPr>
                <w:color w:val="222222"/>
                <w:sz w:val="20"/>
                <w:szCs w:val="20"/>
              </w:rPr>
            </w:pPr>
            <w:proofErr w:type="spellStart"/>
            <w:r w:rsidRPr="00062F7E">
              <w:rPr>
                <w:color w:val="222222"/>
                <w:sz w:val="20"/>
                <w:szCs w:val="20"/>
              </w:rPr>
              <w:t>Figuig</w:t>
            </w:r>
            <w:proofErr w:type="spellEnd"/>
            <w:r w:rsidRPr="00062F7E">
              <w:rPr>
                <w:color w:val="222222"/>
                <w:sz w:val="20"/>
                <w:szCs w:val="20"/>
              </w:rPr>
              <w:t>, Morocco</w:t>
            </w:r>
          </w:p>
        </w:tc>
        <w:tc>
          <w:tcPr>
            <w:tcW w:w="1890" w:type="dxa"/>
          </w:tcPr>
          <w:p w14:paraId="093F58F9" w14:textId="77777777" w:rsidR="008F296A" w:rsidRPr="00062F7E" w:rsidRDefault="008F296A" w:rsidP="008F296A">
            <w:pPr>
              <w:rPr>
                <w:color w:val="222222"/>
                <w:sz w:val="20"/>
                <w:szCs w:val="20"/>
              </w:rPr>
            </w:pPr>
            <w:r w:rsidRPr="00062F7E">
              <w:rPr>
                <w:color w:val="222222"/>
                <w:sz w:val="20"/>
                <w:szCs w:val="20"/>
              </w:rPr>
              <w:t>Equatorial Gondwana (Africa plate)</w:t>
            </w:r>
          </w:p>
        </w:tc>
        <w:tc>
          <w:tcPr>
            <w:tcW w:w="1440" w:type="dxa"/>
          </w:tcPr>
          <w:p w14:paraId="5E44F530" w14:textId="77777777" w:rsidR="008F296A" w:rsidRPr="00062F7E" w:rsidRDefault="008F296A" w:rsidP="008F296A">
            <w:pPr>
              <w:jc w:val="center"/>
              <w:rPr>
                <w:color w:val="222222"/>
                <w:sz w:val="20"/>
                <w:szCs w:val="20"/>
              </w:rPr>
            </w:pPr>
            <w:r w:rsidRPr="00062F7E">
              <w:rPr>
                <w:color w:val="222222"/>
                <w:sz w:val="20"/>
                <w:szCs w:val="20"/>
              </w:rPr>
              <w:t>~16° N</w:t>
            </w:r>
          </w:p>
        </w:tc>
        <w:tc>
          <w:tcPr>
            <w:tcW w:w="1980" w:type="dxa"/>
          </w:tcPr>
          <w:p w14:paraId="167F1D23" w14:textId="77777777" w:rsidR="008F296A" w:rsidRPr="00062F7E" w:rsidRDefault="008F296A" w:rsidP="008F296A">
            <w:pPr>
              <w:jc w:val="center"/>
              <w:rPr>
                <w:color w:val="222222"/>
                <w:sz w:val="20"/>
                <w:szCs w:val="20"/>
              </w:rPr>
            </w:pPr>
            <w:r w:rsidRPr="00062F7E">
              <w:rPr>
                <w:color w:val="222222"/>
                <w:sz w:val="20"/>
                <w:szCs w:val="20"/>
              </w:rPr>
              <w:t>2</w:t>
            </w:r>
          </w:p>
        </w:tc>
        <w:tc>
          <w:tcPr>
            <w:tcW w:w="1440" w:type="dxa"/>
          </w:tcPr>
          <w:p w14:paraId="258D945E" w14:textId="77777777" w:rsidR="008F296A" w:rsidRPr="00062F7E" w:rsidRDefault="008F296A" w:rsidP="008F296A">
            <w:pPr>
              <w:rPr>
                <w:color w:val="222222"/>
                <w:sz w:val="20"/>
                <w:szCs w:val="20"/>
              </w:rPr>
            </w:pPr>
            <w:proofErr w:type="spellStart"/>
            <w:r w:rsidRPr="00062F7E">
              <w:rPr>
                <w:color w:val="222222"/>
                <w:sz w:val="20"/>
                <w:szCs w:val="20"/>
              </w:rPr>
              <w:t>Screenwashing</w:t>
            </w:r>
            <w:proofErr w:type="spellEnd"/>
          </w:p>
        </w:tc>
      </w:tr>
      <w:tr w:rsidR="008F296A" w:rsidRPr="00F462FB" w14:paraId="370C74D9" w14:textId="77777777" w:rsidTr="009A7E71">
        <w:trPr>
          <w:trHeight w:val="207"/>
        </w:trPr>
        <w:tc>
          <w:tcPr>
            <w:tcW w:w="416" w:type="dxa"/>
          </w:tcPr>
          <w:p w14:paraId="60D76E9C" w14:textId="77777777" w:rsidR="008F296A" w:rsidRPr="00062F7E" w:rsidRDefault="008F296A" w:rsidP="008F296A">
            <w:pPr>
              <w:rPr>
                <w:color w:val="222222"/>
                <w:sz w:val="20"/>
                <w:szCs w:val="20"/>
              </w:rPr>
            </w:pPr>
            <w:r>
              <w:rPr>
                <w:color w:val="222222"/>
                <w:sz w:val="20"/>
                <w:szCs w:val="20"/>
              </w:rPr>
              <w:t>4</w:t>
            </w:r>
          </w:p>
        </w:tc>
        <w:tc>
          <w:tcPr>
            <w:tcW w:w="1494" w:type="dxa"/>
          </w:tcPr>
          <w:p w14:paraId="43BB2FB0" w14:textId="77777777" w:rsidR="008F296A" w:rsidRPr="00062F7E" w:rsidRDefault="008F296A" w:rsidP="008F296A">
            <w:pPr>
              <w:rPr>
                <w:color w:val="222222"/>
                <w:sz w:val="20"/>
                <w:szCs w:val="20"/>
              </w:rPr>
            </w:pPr>
            <w:r w:rsidRPr="00062F7E">
              <w:rPr>
                <w:color w:val="222222"/>
                <w:sz w:val="20"/>
                <w:szCs w:val="20"/>
              </w:rPr>
              <w:t xml:space="preserve">Gymnophiona indet. </w:t>
            </w:r>
          </w:p>
        </w:tc>
        <w:tc>
          <w:tcPr>
            <w:tcW w:w="1127" w:type="dxa"/>
          </w:tcPr>
          <w:p w14:paraId="7F2144AE" w14:textId="77777777" w:rsidR="008F296A" w:rsidRPr="00062F7E" w:rsidRDefault="008F296A" w:rsidP="008F296A">
            <w:pPr>
              <w:rPr>
                <w:color w:val="222222"/>
                <w:sz w:val="20"/>
                <w:szCs w:val="20"/>
              </w:rPr>
            </w:pPr>
            <w:r w:rsidRPr="00062F7E">
              <w:rPr>
                <w:color w:val="222222"/>
                <w:sz w:val="20"/>
                <w:szCs w:val="20"/>
              </w:rPr>
              <w:t>Werner, 1994</w:t>
            </w:r>
          </w:p>
        </w:tc>
        <w:tc>
          <w:tcPr>
            <w:tcW w:w="1377" w:type="dxa"/>
          </w:tcPr>
          <w:p w14:paraId="3A54CDEF" w14:textId="77777777" w:rsidR="008F296A" w:rsidRPr="00062F7E" w:rsidRDefault="008F296A" w:rsidP="008F296A">
            <w:pPr>
              <w:jc w:val="center"/>
              <w:rPr>
                <w:color w:val="222222"/>
                <w:sz w:val="20"/>
                <w:szCs w:val="20"/>
              </w:rPr>
            </w:pPr>
            <w:r w:rsidRPr="00062F7E">
              <w:rPr>
                <w:color w:val="222222"/>
                <w:sz w:val="20"/>
                <w:szCs w:val="20"/>
              </w:rPr>
              <w:t>Campanian, ~79.2 M</w:t>
            </w:r>
            <w:r>
              <w:rPr>
                <w:color w:val="222222"/>
                <w:sz w:val="20"/>
                <w:szCs w:val="20"/>
              </w:rPr>
              <w:t>a</w:t>
            </w:r>
          </w:p>
        </w:tc>
        <w:tc>
          <w:tcPr>
            <w:tcW w:w="1611" w:type="dxa"/>
          </w:tcPr>
          <w:p w14:paraId="626D1414" w14:textId="77777777" w:rsidR="008F296A" w:rsidRPr="00062F7E" w:rsidRDefault="008F296A" w:rsidP="008F296A">
            <w:pPr>
              <w:jc w:val="center"/>
              <w:rPr>
                <w:color w:val="222222"/>
                <w:sz w:val="20"/>
                <w:szCs w:val="20"/>
              </w:rPr>
            </w:pPr>
            <w:r w:rsidRPr="00062F7E">
              <w:rPr>
                <w:color w:val="222222"/>
                <w:sz w:val="20"/>
                <w:szCs w:val="20"/>
              </w:rPr>
              <w:t xml:space="preserve">Ash </w:t>
            </w:r>
            <w:proofErr w:type="spellStart"/>
            <w:r w:rsidRPr="00062F7E">
              <w:rPr>
                <w:color w:val="222222"/>
                <w:sz w:val="20"/>
                <w:szCs w:val="20"/>
              </w:rPr>
              <w:t>Shamaliyah</w:t>
            </w:r>
            <w:proofErr w:type="spellEnd"/>
            <w:r w:rsidRPr="00062F7E">
              <w:rPr>
                <w:color w:val="222222"/>
                <w:sz w:val="20"/>
                <w:szCs w:val="20"/>
              </w:rPr>
              <w:t>, Sudan</w:t>
            </w:r>
          </w:p>
        </w:tc>
        <w:tc>
          <w:tcPr>
            <w:tcW w:w="1890" w:type="dxa"/>
          </w:tcPr>
          <w:p w14:paraId="0DA81D55" w14:textId="77777777" w:rsidR="008F296A" w:rsidRPr="00062F7E" w:rsidRDefault="008F296A" w:rsidP="008F296A">
            <w:pPr>
              <w:rPr>
                <w:color w:val="222222"/>
                <w:sz w:val="20"/>
                <w:szCs w:val="20"/>
              </w:rPr>
            </w:pPr>
            <w:r w:rsidRPr="00062F7E">
              <w:rPr>
                <w:color w:val="222222"/>
                <w:sz w:val="20"/>
                <w:szCs w:val="20"/>
              </w:rPr>
              <w:t>Equatorial Africa</w:t>
            </w:r>
          </w:p>
        </w:tc>
        <w:tc>
          <w:tcPr>
            <w:tcW w:w="1440" w:type="dxa"/>
          </w:tcPr>
          <w:p w14:paraId="057A0619" w14:textId="77777777" w:rsidR="008F296A" w:rsidRPr="00062F7E" w:rsidRDefault="008F296A" w:rsidP="008F296A">
            <w:pPr>
              <w:jc w:val="center"/>
              <w:rPr>
                <w:color w:val="222222"/>
                <w:sz w:val="20"/>
                <w:szCs w:val="20"/>
              </w:rPr>
            </w:pPr>
            <w:r w:rsidRPr="00062F7E">
              <w:rPr>
                <w:color w:val="222222"/>
                <w:sz w:val="20"/>
                <w:szCs w:val="20"/>
              </w:rPr>
              <w:t>~ 3° S</w:t>
            </w:r>
          </w:p>
        </w:tc>
        <w:tc>
          <w:tcPr>
            <w:tcW w:w="1980" w:type="dxa"/>
          </w:tcPr>
          <w:p w14:paraId="354893BF" w14:textId="77777777" w:rsidR="008F296A" w:rsidRPr="00062F7E" w:rsidRDefault="008F296A" w:rsidP="008F296A">
            <w:pPr>
              <w:jc w:val="center"/>
              <w:rPr>
                <w:color w:val="222222"/>
                <w:sz w:val="20"/>
                <w:szCs w:val="20"/>
              </w:rPr>
            </w:pPr>
            <w:r w:rsidRPr="00062F7E">
              <w:rPr>
                <w:color w:val="222222"/>
                <w:sz w:val="20"/>
                <w:szCs w:val="20"/>
              </w:rPr>
              <w:t>1</w:t>
            </w:r>
          </w:p>
        </w:tc>
        <w:tc>
          <w:tcPr>
            <w:tcW w:w="1440" w:type="dxa"/>
          </w:tcPr>
          <w:p w14:paraId="3C58D5BD" w14:textId="77777777" w:rsidR="008F296A" w:rsidRPr="00062F7E" w:rsidRDefault="008F296A" w:rsidP="008F296A">
            <w:pPr>
              <w:rPr>
                <w:color w:val="222222"/>
                <w:sz w:val="20"/>
                <w:szCs w:val="20"/>
              </w:rPr>
            </w:pPr>
            <w:proofErr w:type="spellStart"/>
            <w:r w:rsidRPr="00062F7E">
              <w:rPr>
                <w:color w:val="222222"/>
                <w:sz w:val="20"/>
                <w:szCs w:val="20"/>
              </w:rPr>
              <w:t>Screenwashing</w:t>
            </w:r>
            <w:proofErr w:type="spellEnd"/>
          </w:p>
        </w:tc>
      </w:tr>
      <w:tr w:rsidR="008F296A" w:rsidRPr="00F462FB" w14:paraId="7E1C7150" w14:textId="77777777" w:rsidTr="009A7E71">
        <w:trPr>
          <w:trHeight w:val="207"/>
        </w:trPr>
        <w:tc>
          <w:tcPr>
            <w:tcW w:w="416" w:type="dxa"/>
          </w:tcPr>
          <w:p w14:paraId="73EB83B8" w14:textId="77777777" w:rsidR="008F296A" w:rsidRPr="00062F7E" w:rsidRDefault="008F296A" w:rsidP="008F296A">
            <w:pPr>
              <w:rPr>
                <w:color w:val="222222"/>
                <w:sz w:val="20"/>
                <w:szCs w:val="20"/>
              </w:rPr>
            </w:pPr>
            <w:r>
              <w:rPr>
                <w:color w:val="222222"/>
                <w:sz w:val="20"/>
                <w:szCs w:val="20"/>
              </w:rPr>
              <w:t>5</w:t>
            </w:r>
          </w:p>
        </w:tc>
        <w:tc>
          <w:tcPr>
            <w:tcW w:w="1494" w:type="dxa"/>
          </w:tcPr>
          <w:p w14:paraId="2D291059" w14:textId="77777777" w:rsidR="008F296A" w:rsidRPr="00062F7E" w:rsidRDefault="008F296A" w:rsidP="008F296A">
            <w:pPr>
              <w:rPr>
                <w:i/>
                <w:iCs/>
                <w:color w:val="222222"/>
                <w:sz w:val="20"/>
                <w:szCs w:val="20"/>
              </w:rPr>
            </w:pPr>
            <w:r w:rsidRPr="00062F7E">
              <w:rPr>
                <w:color w:val="222222"/>
                <w:sz w:val="20"/>
                <w:szCs w:val="20"/>
              </w:rPr>
              <w:t xml:space="preserve">Gymnophiona indet. </w:t>
            </w:r>
          </w:p>
        </w:tc>
        <w:tc>
          <w:tcPr>
            <w:tcW w:w="1127" w:type="dxa"/>
          </w:tcPr>
          <w:p w14:paraId="1B64EC64" w14:textId="77777777" w:rsidR="008F296A" w:rsidRPr="00062F7E" w:rsidRDefault="008F296A" w:rsidP="008F296A">
            <w:pPr>
              <w:rPr>
                <w:color w:val="222222"/>
                <w:sz w:val="20"/>
                <w:szCs w:val="20"/>
              </w:rPr>
            </w:pPr>
            <w:proofErr w:type="spellStart"/>
            <w:r w:rsidRPr="00062F7E">
              <w:rPr>
                <w:color w:val="222222"/>
                <w:sz w:val="20"/>
                <w:szCs w:val="20"/>
              </w:rPr>
              <w:t>Gayet</w:t>
            </w:r>
            <w:proofErr w:type="spellEnd"/>
            <w:r w:rsidRPr="00062F7E">
              <w:rPr>
                <w:color w:val="222222"/>
                <w:sz w:val="20"/>
                <w:szCs w:val="20"/>
              </w:rPr>
              <w:t xml:space="preserve"> et al., 2001</w:t>
            </w:r>
          </w:p>
        </w:tc>
        <w:tc>
          <w:tcPr>
            <w:tcW w:w="1377" w:type="dxa"/>
          </w:tcPr>
          <w:p w14:paraId="09CD8BCD" w14:textId="77777777" w:rsidR="008F296A" w:rsidRPr="00062F7E" w:rsidRDefault="008F296A" w:rsidP="008F296A">
            <w:pPr>
              <w:jc w:val="center"/>
              <w:rPr>
                <w:color w:val="222222"/>
                <w:sz w:val="20"/>
                <w:szCs w:val="20"/>
              </w:rPr>
            </w:pPr>
            <w:r w:rsidRPr="00062F7E">
              <w:rPr>
                <w:color w:val="222222"/>
                <w:sz w:val="20"/>
                <w:szCs w:val="20"/>
              </w:rPr>
              <w:t>Maastrichtian, ~68.4 M</w:t>
            </w:r>
            <w:r>
              <w:rPr>
                <w:color w:val="222222"/>
                <w:sz w:val="20"/>
                <w:szCs w:val="20"/>
              </w:rPr>
              <w:t>a</w:t>
            </w:r>
          </w:p>
        </w:tc>
        <w:tc>
          <w:tcPr>
            <w:tcW w:w="1611" w:type="dxa"/>
          </w:tcPr>
          <w:p w14:paraId="2D78F849" w14:textId="77777777" w:rsidR="008F296A" w:rsidRPr="00062F7E" w:rsidRDefault="008F296A" w:rsidP="008F296A">
            <w:pPr>
              <w:jc w:val="center"/>
              <w:rPr>
                <w:color w:val="222222"/>
                <w:sz w:val="20"/>
                <w:szCs w:val="20"/>
              </w:rPr>
            </w:pPr>
            <w:r w:rsidRPr="00062F7E">
              <w:rPr>
                <w:color w:val="222222"/>
                <w:sz w:val="20"/>
                <w:szCs w:val="20"/>
              </w:rPr>
              <w:t>Cochabamba, Bolivia</w:t>
            </w:r>
          </w:p>
        </w:tc>
        <w:tc>
          <w:tcPr>
            <w:tcW w:w="1890" w:type="dxa"/>
          </w:tcPr>
          <w:p w14:paraId="14D9E6EF" w14:textId="77777777" w:rsidR="008F296A" w:rsidRPr="00062F7E" w:rsidRDefault="008F296A" w:rsidP="008F296A">
            <w:pPr>
              <w:tabs>
                <w:tab w:val="center" w:pos="732"/>
              </w:tabs>
              <w:rPr>
                <w:color w:val="222222"/>
                <w:sz w:val="20"/>
                <w:szCs w:val="20"/>
              </w:rPr>
            </w:pPr>
            <w:r w:rsidRPr="00062F7E">
              <w:rPr>
                <w:color w:val="222222"/>
                <w:sz w:val="20"/>
                <w:szCs w:val="20"/>
              </w:rPr>
              <w:t>Equatorial South America</w:t>
            </w:r>
          </w:p>
        </w:tc>
        <w:tc>
          <w:tcPr>
            <w:tcW w:w="1440" w:type="dxa"/>
          </w:tcPr>
          <w:p w14:paraId="067D0D35" w14:textId="77777777" w:rsidR="008F296A" w:rsidRPr="00062F7E" w:rsidRDefault="008F296A" w:rsidP="008F296A">
            <w:pPr>
              <w:jc w:val="center"/>
              <w:rPr>
                <w:color w:val="222222"/>
                <w:sz w:val="20"/>
                <w:szCs w:val="20"/>
              </w:rPr>
            </w:pPr>
            <w:r w:rsidRPr="00062F7E">
              <w:rPr>
                <w:color w:val="222222"/>
                <w:sz w:val="20"/>
                <w:szCs w:val="20"/>
              </w:rPr>
              <w:t>~22° S*</w:t>
            </w:r>
          </w:p>
        </w:tc>
        <w:tc>
          <w:tcPr>
            <w:tcW w:w="1980" w:type="dxa"/>
          </w:tcPr>
          <w:p w14:paraId="06706E71" w14:textId="77777777" w:rsidR="008F296A" w:rsidRPr="00062F7E" w:rsidRDefault="008F296A" w:rsidP="008F296A">
            <w:pPr>
              <w:jc w:val="center"/>
              <w:rPr>
                <w:color w:val="222222"/>
                <w:sz w:val="20"/>
                <w:szCs w:val="20"/>
              </w:rPr>
            </w:pPr>
            <w:r w:rsidRPr="00062F7E">
              <w:rPr>
                <w:color w:val="222222"/>
                <w:sz w:val="20"/>
                <w:szCs w:val="20"/>
              </w:rPr>
              <w:t>1</w:t>
            </w:r>
          </w:p>
        </w:tc>
        <w:tc>
          <w:tcPr>
            <w:tcW w:w="1440" w:type="dxa"/>
          </w:tcPr>
          <w:p w14:paraId="2249A3C5" w14:textId="77777777" w:rsidR="008F296A" w:rsidRPr="00062F7E" w:rsidRDefault="008F296A" w:rsidP="008F296A">
            <w:pPr>
              <w:rPr>
                <w:color w:val="222222"/>
                <w:sz w:val="20"/>
                <w:szCs w:val="20"/>
              </w:rPr>
            </w:pPr>
            <w:proofErr w:type="spellStart"/>
            <w:r w:rsidRPr="00062F7E">
              <w:rPr>
                <w:color w:val="222222"/>
                <w:sz w:val="20"/>
                <w:szCs w:val="20"/>
              </w:rPr>
              <w:t>Screenwashing</w:t>
            </w:r>
            <w:proofErr w:type="spellEnd"/>
          </w:p>
        </w:tc>
      </w:tr>
      <w:tr w:rsidR="008F296A" w:rsidRPr="00F462FB" w14:paraId="2E60AE4C" w14:textId="77777777" w:rsidTr="009A7E71">
        <w:trPr>
          <w:trHeight w:val="207"/>
        </w:trPr>
        <w:tc>
          <w:tcPr>
            <w:tcW w:w="416" w:type="dxa"/>
          </w:tcPr>
          <w:p w14:paraId="24340579" w14:textId="77777777" w:rsidR="008F296A" w:rsidRPr="00062F7E" w:rsidRDefault="008F296A" w:rsidP="008F296A">
            <w:pPr>
              <w:rPr>
                <w:color w:val="222222"/>
                <w:sz w:val="20"/>
                <w:szCs w:val="20"/>
              </w:rPr>
            </w:pPr>
            <w:r>
              <w:rPr>
                <w:color w:val="222222"/>
                <w:sz w:val="20"/>
                <w:szCs w:val="20"/>
              </w:rPr>
              <w:t>6</w:t>
            </w:r>
          </w:p>
        </w:tc>
        <w:tc>
          <w:tcPr>
            <w:tcW w:w="1494" w:type="dxa"/>
          </w:tcPr>
          <w:p w14:paraId="7AC2ACB9" w14:textId="77777777" w:rsidR="008F296A" w:rsidRPr="00062F7E" w:rsidRDefault="008F296A" w:rsidP="008F296A">
            <w:pPr>
              <w:rPr>
                <w:i/>
                <w:iCs/>
                <w:color w:val="222222"/>
                <w:sz w:val="20"/>
                <w:szCs w:val="20"/>
              </w:rPr>
            </w:pPr>
            <w:r w:rsidRPr="00062F7E">
              <w:rPr>
                <w:color w:val="222222"/>
                <w:sz w:val="20"/>
                <w:szCs w:val="20"/>
              </w:rPr>
              <w:t xml:space="preserve">Gymnophiona indet.  </w:t>
            </w:r>
          </w:p>
        </w:tc>
        <w:tc>
          <w:tcPr>
            <w:tcW w:w="1127" w:type="dxa"/>
          </w:tcPr>
          <w:p w14:paraId="19693723" w14:textId="77777777" w:rsidR="008F296A" w:rsidRPr="00062F7E" w:rsidRDefault="008F296A" w:rsidP="008F296A">
            <w:pPr>
              <w:rPr>
                <w:color w:val="222222"/>
                <w:sz w:val="20"/>
                <w:szCs w:val="20"/>
              </w:rPr>
            </w:pPr>
            <w:r w:rsidRPr="00062F7E">
              <w:rPr>
                <w:color w:val="222222"/>
                <w:sz w:val="20"/>
                <w:szCs w:val="20"/>
              </w:rPr>
              <w:t>Rage, 1991</w:t>
            </w:r>
          </w:p>
        </w:tc>
        <w:tc>
          <w:tcPr>
            <w:tcW w:w="1377" w:type="dxa"/>
          </w:tcPr>
          <w:p w14:paraId="7474EBFD" w14:textId="77777777" w:rsidR="008F296A" w:rsidRPr="00062F7E" w:rsidRDefault="008F296A" w:rsidP="008F296A">
            <w:pPr>
              <w:jc w:val="center"/>
              <w:rPr>
                <w:color w:val="222222"/>
                <w:sz w:val="20"/>
                <w:szCs w:val="20"/>
              </w:rPr>
            </w:pPr>
            <w:r w:rsidRPr="00062F7E">
              <w:rPr>
                <w:color w:val="222222"/>
                <w:sz w:val="20"/>
                <w:szCs w:val="20"/>
              </w:rPr>
              <w:t>Paleocene, ~64-62 Ma</w:t>
            </w:r>
          </w:p>
        </w:tc>
        <w:tc>
          <w:tcPr>
            <w:tcW w:w="1611" w:type="dxa"/>
          </w:tcPr>
          <w:p w14:paraId="448E448B" w14:textId="77777777" w:rsidR="008F296A" w:rsidRPr="00062F7E" w:rsidRDefault="008F296A" w:rsidP="008F296A">
            <w:pPr>
              <w:jc w:val="center"/>
              <w:rPr>
                <w:color w:val="222222"/>
                <w:sz w:val="20"/>
                <w:szCs w:val="20"/>
              </w:rPr>
            </w:pPr>
            <w:proofErr w:type="spellStart"/>
            <w:r w:rsidRPr="00062F7E">
              <w:rPr>
                <w:color w:val="222222"/>
                <w:sz w:val="20"/>
                <w:szCs w:val="20"/>
              </w:rPr>
              <w:t>Mizque</w:t>
            </w:r>
            <w:proofErr w:type="spellEnd"/>
            <w:r w:rsidRPr="00062F7E">
              <w:rPr>
                <w:color w:val="222222"/>
                <w:sz w:val="20"/>
                <w:szCs w:val="20"/>
              </w:rPr>
              <w:t>, Bolivia</w:t>
            </w:r>
          </w:p>
        </w:tc>
        <w:tc>
          <w:tcPr>
            <w:tcW w:w="1890" w:type="dxa"/>
          </w:tcPr>
          <w:p w14:paraId="20E8573F" w14:textId="77777777" w:rsidR="008F296A" w:rsidRPr="00062F7E" w:rsidRDefault="008F296A" w:rsidP="008F296A">
            <w:pPr>
              <w:rPr>
                <w:color w:val="222222"/>
                <w:sz w:val="20"/>
                <w:szCs w:val="20"/>
              </w:rPr>
            </w:pPr>
            <w:r w:rsidRPr="00062F7E">
              <w:rPr>
                <w:color w:val="222222"/>
                <w:sz w:val="20"/>
                <w:szCs w:val="20"/>
              </w:rPr>
              <w:t>Equatorial South America</w:t>
            </w:r>
          </w:p>
        </w:tc>
        <w:tc>
          <w:tcPr>
            <w:tcW w:w="1440" w:type="dxa"/>
          </w:tcPr>
          <w:p w14:paraId="0C67E20F" w14:textId="77777777" w:rsidR="008F296A" w:rsidRPr="00062F7E" w:rsidRDefault="008F296A" w:rsidP="008F296A">
            <w:pPr>
              <w:jc w:val="center"/>
              <w:rPr>
                <w:color w:val="222222"/>
                <w:sz w:val="20"/>
                <w:szCs w:val="20"/>
              </w:rPr>
            </w:pPr>
            <w:r w:rsidRPr="00062F7E">
              <w:rPr>
                <w:color w:val="222222"/>
                <w:sz w:val="20"/>
                <w:szCs w:val="20"/>
              </w:rPr>
              <w:t>~20° S</w:t>
            </w:r>
          </w:p>
        </w:tc>
        <w:tc>
          <w:tcPr>
            <w:tcW w:w="1980" w:type="dxa"/>
          </w:tcPr>
          <w:p w14:paraId="08580895" w14:textId="77777777" w:rsidR="008F296A" w:rsidRPr="00062F7E" w:rsidRDefault="008F296A" w:rsidP="008F296A">
            <w:pPr>
              <w:jc w:val="center"/>
              <w:rPr>
                <w:color w:val="222222"/>
                <w:sz w:val="20"/>
                <w:szCs w:val="20"/>
              </w:rPr>
            </w:pPr>
            <w:r w:rsidRPr="00062F7E">
              <w:rPr>
                <w:color w:val="222222"/>
                <w:sz w:val="20"/>
                <w:szCs w:val="20"/>
              </w:rPr>
              <w:t>1</w:t>
            </w:r>
          </w:p>
        </w:tc>
        <w:tc>
          <w:tcPr>
            <w:tcW w:w="1440" w:type="dxa"/>
          </w:tcPr>
          <w:p w14:paraId="344DF945" w14:textId="77777777" w:rsidR="008F296A" w:rsidRPr="00062F7E" w:rsidRDefault="008F296A" w:rsidP="008F296A">
            <w:pPr>
              <w:rPr>
                <w:color w:val="222222"/>
                <w:sz w:val="20"/>
                <w:szCs w:val="20"/>
              </w:rPr>
            </w:pPr>
            <w:proofErr w:type="spellStart"/>
            <w:r w:rsidRPr="00062F7E">
              <w:rPr>
                <w:color w:val="222222"/>
                <w:sz w:val="20"/>
                <w:szCs w:val="20"/>
              </w:rPr>
              <w:t>Screenwashing</w:t>
            </w:r>
            <w:proofErr w:type="spellEnd"/>
          </w:p>
        </w:tc>
      </w:tr>
      <w:tr w:rsidR="008F296A" w:rsidRPr="00F462FB" w14:paraId="1FFC5F8E" w14:textId="77777777" w:rsidTr="009A7E71">
        <w:trPr>
          <w:trHeight w:val="207"/>
        </w:trPr>
        <w:tc>
          <w:tcPr>
            <w:tcW w:w="416" w:type="dxa"/>
          </w:tcPr>
          <w:p w14:paraId="4E0B7878" w14:textId="77777777" w:rsidR="008F296A" w:rsidRPr="00662B68" w:rsidRDefault="008F296A" w:rsidP="008F296A">
            <w:pPr>
              <w:rPr>
                <w:color w:val="222222"/>
                <w:sz w:val="20"/>
                <w:szCs w:val="20"/>
              </w:rPr>
            </w:pPr>
            <w:r w:rsidRPr="00662B68">
              <w:rPr>
                <w:color w:val="222222"/>
                <w:sz w:val="20"/>
                <w:szCs w:val="20"/>
              </w:rPr>
              <w:t>7</w:t>
            </w:r>
          </w:p>
        </w:tc>
        <w:tc>
          <w:tcPr>
            <w:tcW w:w="1494" w:type="dxa"/>
          </w:tcPr>
          <w:p w14:paraId="29196BC9" w14:textId="77777777" w:rsidR="008F296A" w:rsidRPr="00062F7E" w:rsidRDefault="008F296A" w:rsidP="008F296A">
            <w:pPr>
              <w:rPr>
                <w:color w:val="222222"/>
                <w:sz w:val="20"/>
                <w:szCs w:val="20"/>
              </w:rPr>
            </w:pPr>
            <w:proofErr w:type="spellStart"/>
            <w:r w:rsidRPr="00062F7E">
              <w:rPr>
                <w:i/>
                <w:iCs/>
                <w:color w:val="222222"/>
                <w:sz w:val="20"/>
                <w:szCs w:val="20"/>
              </w:rPr>
              <w:t>Apodops</w:t>
            </w:r>
            <w:proofErr w:type="spellEnd"/>
            <w:r w:rsidRPr="00062F7E">
              <w:rPr>
                <w:i/>
                <w:iCs/>
                <w:color w:val="222222"/>
                <w:sz w:val="20"/>
                <w:szCs w:val="20"/>
              </w:rPr>
              <w:t xml:space="preserve"> </w:t>
            </w:r>
            <w:proofErr w:type="spellStart"/>
            <w:r w:rsidRPr="00062F7E">
              <w:rPr>
                <w:i/>
                <w:iCs/>
                <w:color w:val="222222"/>
                <w:sz w:val="20"/>
                <w:szCs w:val="20"/>
              </w:rPr>
              <w:t>pricei</w:t>
            </w:r>
            <w:proofErr w:type="spellEnd"/>
            <w:r w:rsidRPr="00062F7E">
              <w:rPr>
                <w:i/>
                <w:iCs/>
                <w:color w:val="222222"/>
                <w:sz w:val="20"/>
                <w:szCs w:val="20"/>
              </w:rPr>
              <w:t xml:space="preserve"> </w:t>
            </w:r>
          </w:p>
        </w:tc>
        <w:tc>
          <w:tcPr>
            <w:tcW w:w="1127" w:type="dxa"/>
          </w:tcPr>
          <w:p w14:paraId="4F48CFD7" w14:textId="77777777" w:rsidR="008F296A" w:rsidRPr="00062F7E" w:rsidRDefault="008F296A" w:rsidP="008F296A">
            <w:pPr>
              <w:rPr>
                <w:color w:val="222222"/>
                <w:sz w:val="20"/>
                <w:szCs w:val="20"/>
              </w:rPr>
            </w:pPr>
            <w:r w:rsidRPr="00062F7E">
              <w:rPr>
                <w:color w:val="222222"/>
                <w:sz w:val="20"/>
                <w:szCs w:val="20"/>
              </w:rPr>
              <w:t>Estes and Wake, 1972</w:t>
            </w:r>
          </w:p>
        </w:tc>
        <w:tc>
          <w:tcPr>
            <w:tcW w:w="1377" w:type="dxa"/>
          </w:tcPr>
          <w:p w14:paraId="375A526F" w14:textId="77777777" w:rsidR="008F296A" w:rsidRPr="00062F7E" w:rsidRDefault="008F296A" w:rsidP="008F296A">
            <w:pPr>
              <w:jc w:val="center"/>
              <w:rPr>
                <w:color w:val="222222"/>
                <w:sz w:val="20"/>
                <w:szCs w:val="20"/>
              </w:rPr>
            </w:pPr>
            <w:r w:rsidRPr="00062F7E">
              <w:rPr>
                <w:color w:val="222222"/>
                <w:sz w:val="20"/>
                <w:szCs w:val="20"/>
              </w:rPr>
              <w:t>Eocene, ~53-50 M</w:t>
            </w:r>
            <w:r>
              <w:rPr>
                <w:color w:val="222222"/>
                <w:sz w:val="20"/>
                <w:szCs w:val="20"/>
              </w:rPr>
              <w:t>a</w:t>
            </w:r>
          </w:p>
        </w:tc>
        <w:tc>
          <w:tcPr>
            <w:tcW w:w="1611" w:type="dxa"/>
          </w:tcPr>
          <w:p w14:paraId="1F19324F" w14:textId="77777777" w:rsidR="008F296A" w:rsidRPr="00062F7E" w:rsidRDefault="008F296A" w:rsidP="008F296A">
            <w:pPr>
              <w:jc w:val="center"/>
              <w:rPr>
                <w:color w:val="222222"/>
                <w:sz w:val="20"/>
                <w:szCs w:val="20"/>
              </w:rPr>
            </w:pPr>
            <w:r w:rsidRPr="00062F7E">
              <w:rPr>
                <w:color w:val="222222"/>
                <w:sz w:val="20"/>
                <w:szCs w:val="20"/>
              </w:rPr>
              <w:t>Rio de Janeiro, Brazil</w:t>
            </w:r>
          </w:p>
        </w:tc>
        <w:tc>
          <w:tcPr>
            <w:tcW w:w="1890" w:type="dxa"/>
          </w:tcPr>
          <w:p w14:paraId="24ABCD34" w14:textId="77777777" w:rsidR="008F296A" w:rsidRPr="00062F7E" w:rsidRDefault="008F296A" w:rsidP="008F296A">
            <w:pPr>
              <w:rPr>
                <w:color w:val="222222"/>
                <w:sz w:val="20"/>
                <w:szCs w:val="20"/>
              </w:rPr>
            </w:pPr>
            <w:r w:rsidRPr="00062F7E">
              <w:rPr>
                <w:color w:val="222222"/>
                <w:sz w:val="20"/>
                <w:szCs w:val="20"/>
              </w:rPr>
              <w:t>Equatorial South America</w:t>
            </w:r>
          </w:p>
        </w:tc>
        <w:tc>
          <w:tcPr>
            <w:tcW w:w="1440" w:type="dxa"/>
          </w:tcPr>
          <w:p w14:paraId="6DEC08D2" w14:textId="77777777" w:rsidR="008F296A" w:rsidRPr="00062F7E" w:rsidRDefault="008F296A" w:rsidP="008F296A">
            <w:pPr>
              <w:jc w:val="center"/>
              <w:rPr>
                <w:color w:val="222222"/>
                <w:sz w:val="20"/>
                <w:szCs w:val="20"/>
              </w:rPr>
            </w:pPr>
            <w:r w:rsidRPr="00062F7E">
              <w:rPr>
                <w:color w:val="222222"/>
                <w:sz w:val="20"/>
                <w:szCs w:val="20"/>
              </w:rPr>
              <w:t>~27° S</w:t>
            </w:r>
          </w:p>
        </w:tc>
        <w:tc>
          <w:tcPr>
            <w:tcW w:w="1980" w:type="dxa"/>
          </w:tcPr>
          <w:p w14:paraId="131B64B1" w14:textId="77777777" w:rsidR="008F296A" w:rsidRPr="00062F7E" w:rsidRDefault="008F296A" w:rsidP="008F296A">
            <w:pPr>
              <w:jc w:val="center"/>
              <w:rPr>
                <w:color w:val="222222"/>
                <w:sz w:val="20"/>
                <w:szCs w:val="20"/>
              </w:rPr>
            </w:pPr>
            <w:r w:rsidRPr="00062F7E">
              <w:rPr>
                <w:color w:val="222222"/>
                <w:sz w:val="20"/>
                <w:szCs w:val="20"/>
              </w:rPr>
              <w:t>1</w:t>
            </w:r>
          </w:p>
        </w:tc>
        <w:tc>
          <w:tcPr>
            <w:tcW w:w="1440" w:type="dxa"/>
          </w:tcPr>
          <w:p w14:paraId="1CF28C48" w14:textId="77777777" w:rsidR="008F296A" w:rsidRPr="00062F7E" w:rsidRDefault="008F296A" w:rsidP="008F296A">
            <w:pPr>
              <w:rPr>
                <w:color w:val="222222"/>
                <w:sz w:val="20"/>
                <w:szCs w:val="20"/>
              </w:rPr>
            </w:pPr>
            <w:proofErr w:type="spellStart"/>
            <w:r w:rsidRPr="00062F7E">
              <w:rPr>
                <w:color w:val="222222"/>
                <w:sz w:val="20"/>
                <w:szCs w:val="20"/>
              </w:rPr>
              <w:t>Screenwashing</w:t>
            </w:r>
            <w:proofErr w:type="spellEnd"/>
          </w:p>
        </w:tc>
      </w:tr>
      <w:tr w:rsidR="008F296A" w:rsidRPr="00F462FB" w14:paraId="1187B5A9" w14:textId="77777777" w:rsidTr="009A7E71">
        <w:trPr>
          <w:trHeight w:val="207"/>
        </w:trPr>
        <w:tc>
          <w:tcPr>
            <w:tcW w:w="416" w:type="dxa"/>
          </w:tcPr>
          <w:p w14:paraId="2FEA834F" w14:textId="77777777" w:rsidR="008F296A" w:rsidRPr="00062F7E" w:rsidRDefault="008F296A" w:rsidP="008F296A">
            <w:pPr>
              <w:rPr>
                <w:iCs/>
                <w:color w:val="222222"/>
                <w:sz w:val="20"/>
                <w:szCs w:val="20"/>
              </w:rPr>
            </w:pPr>
            <w:r>
              <w:rPr>
                <w:iCs/>
                <w:color w:val="222222"/>
                <w:sz w:val="20"/>
                <w:szCs w:val="20"/>
              </w:rPr>
              <w:t>8</w:t>
            </w:r>
          </w:p>
        </w:tc>
        <w:tc>
          <w:tcPr>
            <w:tcW w:w="1494" w:type="dxa"/>
          </w:tcPr>
          <w:p w14:paraId="52BC346E" w14:textId="77777777" w:rsidR="008F296A" w:rsidRPr="00062F7E" w:rsidRDefault="008F296A" w:rsidP="008F296A">
            <w:pPr>
              <w:rPr>
                <w:iCs/>
                <w:color w:val="222222"/>
                <w:sz w:val="20"/>
                <w:szCs w:val="20"/>
              </w:rPr>
            </w:pPr>
            <w:r w:rsidRPr="00062F7E">
              <w:rPr>
                <w:iCs/>
                <w:color w:val="222222"/>
                <w:sz w:val="20"/>
                <w:szCs w:val="20"/>
              </w:rPr>
              <w:t>Gymnophiona indet.</w:t>
            </w:r>
          </w:p>
        </w:tc>
        <w:tc>
          <w:tcPr>
            <w:tcW w:w="1127" w:type="dxa"/>
          </w:tcPr>
          <w:p w14:paraId="19344BC9" w14:textId="77777777" w:rsidR="008F296A" w:rsidRPr="00062F7E" w:rsidRDefault="008F296A" w:rsidP="008F296A">
            <w:pPr>
              <w:rPr>
                <w:color w:val="222222"/>
                <w:sz w:val="20"/>
                <w:szCs w:val="20"/>
              </w:rPr>
            </w:pPr>
            <w:r w:rsidRPr="00062F7E">
              <w:rPr>
                <w:color w:val="222222"/>
                <w:sz w:val="20"/>
                <w:szCs w:val="20"/>
              </w:rPr>
              <w:t>Rage et al., 2021</w:t>
            </w:r>
          </w:p>
        </w:tc>
        <w:tc>
          <w:tcPr>
            <w:tcW w:w="1377" w:type="dxa"/>
          </w:tcPr>
          <w:p w14:paraId="064C201C" w14:textId="77777777" w:rsidR="008F296A" w:rsidRPr="00062F7E" w:rsidRDefault="008F296A" w:rsidP="008F296A">
            <w:pPr>
              <w:jc w:val="center"/>
              <w:rPr>
                <w:color w:val="222222"/>
                <w:sz w:val="20"/>
                <w:szCs w:val="20"/>
              </w:rPr>
            </w:pPr>
            <w:r w:rsidRPr="00062F7E">
              <w:rPr>
                <w:color w:val="222222"/>
                <w:sz w:val="20"/>
                <w:szCs w:val="20"/>
              </w:rPr>
              <w:t>Eocene, ~50-45 M</w:t>
            </w:r>
            <w:r>
              <w:rPr>
                <w:color w:val="222222"/>
                <w:sz w:val="20"/>
                <w:szCs w:val="20"/>
              </w:rPr>
              <w:t>a</w:t>
            </w:r>
          </w:p>
        </w:tc>
        <w:tc>
          <w:tcPr>
            <w:tcW w:w="1611" w:type="dxa"/>
          </w:tcPr>
          <w:p w14:paraId="31788D97" w14:textId="77777777" w:rsidR="008F296A" w:rsidRPr="00062F7E" w:rsidRDefault="008F296A" w:rsidP="008F296A">
            <w:pPr>
              <w:jc w:val="center"/>
              <w:rPr>
                <w:color w:val="222222"/>
                <w:sz w:val="20"/>
                <w:szCs w:val="20"/>
              </w:rPr>
            </w:pPr>
            <w:proofErr w:type="spellStart"/>
            <w:r w:rsidRPr="00062F7E">
              <w:rPr>
                <w:color w:val="222222"/>
                <w:sz w:val="20"/>
                <w:szCs w:val="20"/>
              </w:rPr>
              <w:t>Bechar</w:t>
            </w:r>
            <w:proofErr w:type="spellEnd"/>
            <w:r w:rsidRPr="00062F7E">
              <w:rPr>
                <w:color w:val="222222"/>
                <w:sz w:val="20"/>
                <w:szCs w:val="20"/>
              </w:rPr>
              <w:t xml:space="preserve"> district, Algeria</w:t>
            </w:r>
          </w:p>
        </w:tc>
        <w:tc>
          <w:tcPr>
            <w:tcW w:w="1890" w:type="dxa"/>
          </w:tcPr>
          <w:p w14:paraId="78DCB544" w14:textId="77777777" w:rsidR="008F296A" w:rsidRPr="00062F7E" w:rsidRDefault="008F296A" w:rsidP="008F296A">
            <w:pPr>
              <w:rPr>
                <w:color w:val="222222"/>
                <w:sz w:val="20"/>
                <w:szCs w:val="20"/>
              </w:rPr>
            </w:pPr>
            <w:r w:rsidRPr="00062F7E">
              <w:rPr>
                <w:color w:val="222222"/>
                <w:sz w:val="20"/>
                <w:szCs w:val="20"/>
              </w:rPr>
              <w:t>Equatorial Africa</w:t>
            </w:r>
          </w:p>
        </w:tc>
        <w:tc>
          <w:tcPr>
            <w:tcW w:w="1440" w:type="dxa"/>
          </w:tcPr>
          <w:p w14:paraId="4622E29F" w14:textId="77777777" w:rsidR="008F296A" w:rsidRPr="00062F7E" w:rsidRDefault="008F296A" w:rsidP="008F296A">
            <w:pPr>
              <w:jc w:val="center"/>
              <w:rPr>
                <w:color w:val="222222"/>
                <w:sz w:val="20"/>
                <w:szCs w:val="20"/>
              </w:rPr>
            </w:pPr>
            <w:r w:rsidRPr="00062F7E">
              <w:rPr>
                <w:color w:val="222222"/>
                <w:sz w:val="20"/>
                <w:szCs w:val="20"/>
              </w:rPr>
              <w:t>~20° N*</w:t>
            </w:r>
          </w:p>
        </w:tc>
        <w:tc>
          <w:tcPr>
            <w:tcW w:w="1980" w:type="dxa"/>
          </w:tcPr>
          <w:p w14:paraId="435CBD69" w14:textId="77777777" w:rsidR="008F296A" w:rsidRPr="00062F7E" w:rsidRDefault="008F296A" w:rsidP="008F296A">
            <w:pPr>
              <w:jc w:val="center"/>
              <w:rPr>
                <w:color w:val="222222"/>
                <w:sz w:val="20"/>
                <w:szCs w:val="20"/>
              </w:rPr>
            </w:pPr>
            <w:r w:rsidRPr="00062F7E">
              <w:rPr>
                <w:color w:val="222222"/>
                <w:sz w:val="20"/>
                <w:szCs w:val="20"/>
              </w:rPr>
              <w:t>1</w:t>
            </w:r>
          </w:p>
        </w:tc>
        <w:tc>
          <w:tcPr>
            <w:tcW w:w="1440" w:type="dxa"/>
          </w:tcPr>
          <w:p w14:paraId="57DB4234" w14:textId="77777777" w:rsidR="008F296A" w:rsidRPr="00062F7E" w:rsidRDefault="008F296A" w:rsidP="008F296A">
            <w:pPr>
              <w:rPr>
                <w:color w:val="222222"/>
                <w:sz w:val="20"/>
                <w:szCs w:val="20"/>
              </w:rPr>
            </w:pPr>
            <w:proofErr w:type="spellStart"/>
            <w:r w:rsidRPr="00062F7E">
              <w:rPr>
                <w:color w:val="222222"/>
                <w:sz w:val="20"/>
                <w:szCs w:val="20"/>
              </w:rPr>
              <w:t>Screenwashing</w:t>
            </w:r>
            <w:proofErr w:type="spellEnd"/>
          </w:p>
        </w:tc>
      </w:tr>
      <w:tr w:rsidR="008F296A" w:rsidRPr="00F462FB" w14:paraId="10574A6B" w14:textId="77777777" w:rsidTr="009A7E71">
        <w:trPr>
          <w:trHeight w:val="207"/>
        </w:trPr>
        <w:tc>
          <w:tcPr>
            <w:tcW w:w="416" w:type="dxa"/>
          </w:tcPr>
          <w:p w14:paraId="1E50D609" w14:textId="77777777" w:rsidR="008F296A" w:rsidRPr="00062F7E" w:rsidRDefault="008F296A" w:rsidP="008F296A">
            <w:pPr>
              <w:rPr>
                <w:color w:val="222222"/>
                <w:sz w:val="20"/>
                <w:szCs w:val="20"/>
              </w:rPr>
            </w:pPr>
            <w:r>
              <w:rPr>
                <w:color w:val="222222"/>
                <w:sz w:val="20"/>
                <w:szCs w:val="20"/>
              </w:rPr>
              <w:t>9</w:t>
            </w:r>
          </w:p>
        </w:tc>
        <w:tc>
          <w:tcPr>
            <w:tcW w:w="1494" w:type="dxa"/>
          </w:tcPr>
          <w:p w14:paraId="1E2FCF3E" w14:textId="77777777" w:rsidR="008F296A" w:rsidRPr="00062F7E" w:rsidRDefault="008F296A" w:rsidP="008F296A">
            <w:pPr>
              <w:rPr>
                <w:color w:val="222222"/>
                <w:sz w:val="20"/>
                <w:szCs w:val="20"/>
              </w:rPr>
            </w:pPr>
            <w:proofErr w:type="spellStart"/>
            <w:r w:rsidRPr="00062F7E">
              <w:rPr>
                <w:color w:val="222222"/>
                <w:sz w:val="20"/>
                <w:szCs w:val="20"/>
              </w:rPr>
              <w:t>Teresomata</w:t>
            </w:r>
            <w:proofErr w:type="spellEnd"/>
            <w:r w:rsidRPr="00062F7E">
              <w:rPr>
                <w:color w:val="222222"/>
                <w:sz w:val="20"/>
                <w:szCs w:val="20"/>
              </w:rPr>
              <w:t xml:space="preserve"> </w:t>
            </w:r>
            <w:proofErr w:type="spellStart"/>
            <w:r w:rsidRPr="00062F7E">
              <w:rPr>
                <w:color w:val="222222"/>
                <w:sz w:val="20"/>
                <w:szCs w:val="20"/>
              </w:rPr>
              <w:t>indet</w:t>
            </w:r>
            <w:proofErr w:type="spellEnd"/>
            <w:r w:rsidRPr="00062F7E">
              <w:rPr>
                <w:color w:val="222222"/>
                <w:sz w:val="20"/>
                <w:szCs w:val="20"/>
              </w:rPr>
              <w:t xml:space="preserve">. </w:t>
            </w:r>
          </w:p>
        </w:tc>
        <w:tc>
          <w:tcPr>
            <w:tcW w:w="1127" w:type="dxa"/>
          </w:tcPr>
          <w:p w14:paraId="2B2E4B4D" w14:textId="57B41FDD" w:rsidR="008F296A" w:rsidRPr="00062F7E" w:rsidRDefault="008F296A" w:rsidP="008F296A">
            <w:pPr>
              <w:rPr>
                <w:color w:val="222222"/>
                <w:sz w:val="20"/>
                <w:szCs w:val="20"/>
              </w:rPr>
            </w:pPr>
            <w:r w:rsidRPr="00062F7E">
              <w:rPr>
                <w:color w:val="222222"/>
                <w:sz w:val="20"/>
                <w:szCs w:val="20"/>
              </w:rPr>
              <w:t xml:space="preserve">Rage </w:t>
            </w:r>
            <w:r>
              <w:rPr>
                <w:color w:val="222222"/>
                <w:sz w:val="20"/>
                <w:szCs w:val="20"/>
              </w:rPr>
              <w:t>&amp;</w:t>
            </w:r>
            <w:r w:rsidRPr="00062F7E">
              <w:rPr>
                <w:color w:val="222222"/>
                <w:sz w:val="20"/>
                <w:szCs w:val="20"/>
              </w:rPr>
              <w:t xml:space="preserve"> Pickford, 2011</w:t>
            </w:r>
          </w:p>
        </w:tc>
        <w:tc>
          <w:tcPr>
            <w:tcW w:w="1377" w:type="dxa"/>
          </w:tcPr>
          <w:p w14:paraId="2A0B9148" w14:textId="77777777" w:rsidR="008F296A" w:rsidRPr="00062F7E" w:rsidRDefault="008F296A" w:rsidP="008F296A">
            <w:pPr>
              <w:jc w:val="center"/>
              <w:rPr>
                <w:color w:val="222222"/>
                <w:sz w:val="20"/>
                <w:szCs w:val="20"/>
              </w:rPr>
            </w:pPr>
            <w:r w:rsidRPr="00062F7E">
              <w:rPr>
                <w:color w:val="222222"/>
                <w:sz w:val="20"/>
                <w:szCs w:val="20"/>
              </w:rPr>
              <w:t>Miocene, ~19-20 M</w:t>
            </w:r>
            <w:r>
              <w:rPr>
                <w:color w:val="222222"/>
                <w:sz w:val="20"/>
                <w:szCs w:val="20"/>
              </w:rPr>
              <w:t>a</w:t>
            </w:r>
          </w:p>
        </w:tc>
        <w:tc>
          <w:tcPr>
            <w:tcW w:w="1611" w:type="dxa"/>
          </w:tcPr>
          <w:p w14:paraId="18D13580" w14:textId="77777777" w:rsidR="008F296A" w:rsidRPr="00062F7E" w:rsidRDefault="008F296A" w:rsidP="008F296A">
            <w:pPr>
              <w:jc w:val="center"/>
              <w:rPr>
                <w:color w:val="222222"/>
                <w:sz w:val="20"/>
                <w:szCs w:val="20"/>
              </w:rPr>
            </w:pPr>
            <w:proofErr w:type="spellStart"/>
            <w:r w:rsidRPr="00062F7E">
              <w:rPr>
                <w:color w:val="222222"/>
                <w:sz w:val="20"/>
                <w:szCs w:val="20"/>
              </w:rPr>
              <w:t>Napak</w:t>
            </w:r>
            <w:proofErr w:type="spellEnd"/>
            <w:r w:rsidRPr="00062F7E">
              <w:rPr>
                <w:color w:val="222222"/>
                <w:sz w:val="20"/>
                <w:szCs w:val="20"/>
              </w:rPr>
              <w:t>, Uganda</w:t>
            </w:r>
          </w:p>
        </w:tc>
        <w:tc>
          <w:tcPr>
            <w:tcW w:w="1890" w:type="dxa"/>
          </w:tcPr>
          <w:p w14:paraId="2CFE27C6" w14:textId="77777777" w:rsidR="008F296A" w:rsidRPr="00062F7E" w:rsidRDefault="008F296A" w:rsidP="008F296A">
            <w:pPr>
              <w:rPr>
                <w:color w:val="222222"/>
                <w:sz w:val="20"/>
                <w:szCs w:val="20"/>
              </w:rPr>
            </w:pPr>
            <w:r w:rsidRPr="00062F7E">
              <w:rPr>
                <w:color w:val="222222"/>
                <w:sz w:val="20"/>
                <w:szCs w:val="20"/>
              </w:rPr>
              <w:t>Equatorial Africa</w:t>
            </w:r>
          </w:p>
        </w:tc>
        <w:tc>
          <w:tcPr>
            <w:tcW w:w="1440" w:type="dxa"/>
          </w:tcPr>
          <w:p w14:paraId="2D489A37" w14:textId="77777777" w:rsidR="008F296A" w:rsidRPr="00062F7E" w:rsidRDefault="008F296A" w:rsidP="008F296A">
            <w:pPr>
              <w:jc w:val="center"/>
              <w:rPr>
                <w:color w:val="222222"/>
                <w:sz w:val="20"/>
                <w:szCs w:val="20"/>
              </w:rPr>
            </w:pPr>
            <w:r w:rsidRPr="00062F7E">
              <w:rPr>
                <w:color w:val="222222"/>
                <w:sz w:val="20"/>
                <w:szCs w:val="20"/>
              </w:rPr>
              <w:t>~5° S*</w:t>
            </w:r>
          </w:p>
        </w:tc>
        <w:tc>
          <w:tcPr>
            <w:tcW w:w="1980" w:type="dxa"/>
          </w:tcPr>
          <w:p w14:paraId="55510E2A" w14:textId="77777777" w:rsidR="008F296A" w:rsidRPr="00062F7E" w:rsidRDefault="008F296A" w:rsidP="008F296A">
            <w:pPr>
              <w:jc w:val="center"/>
              <w:rPr>
                <w:color w:val="222222"/>
                <w:sz w:val="20"/>
                <w:szCs w:val="20"/>
              </w:rPr>
            </w:pPr>
            <w:r w:rsidRPr="00062F7E">
              <w:rPr>
                <w:color w:val="222222"/>
                <w:sz w:val="20"/>
                <w:szCs w:val="20"/>
              </w:rPr>
              <w:t>1</w:t>
            </w:r>
          </w:p>
        </w:tc>
        <w:tc>
          <w:tcPr>
            <w:tcW w:w="1440" w:type="dxa"/>
          </w:tcPr>
          <w:p w14:paraId="21994776" w14:textId="77777777" w:rsidR="008F296A" w:rsidRPr="00062F7E" w:rsidRDefault="008F296A" w:rsidP="008F296A">
            <w:pPr>
              <w:rPr>
                <w:color w:val="222222"/>
                <w:sz w:val="20"/>
                <w:szCs w:val="20"/>
              </w:rPr>
            </w:pPr>
            <w:r w:rsidRPr="00062F7E">
              <w:rPr>
                <w:color w:val="222222"/>
                <w:sz w:val="20"/>
                <w:szCs w:val="20"/>
              </w:rPr>
              <w:t>Quarrying in-situ skeletons</w:t>
            </w:r>
          </w:p>
        </w:tc>
      </w:tr>
      <w:tr w:rsidR="008F296A" w:rsidRPr="00F462FB" w14:paraId="5991FF3C" w14:textId="77777777" w:rsidTr="009A7E71">
        <w:trPr>
          <w:trHeight w:val="207"/>
        </w:trPr>
        <w:tc>
          <w:tcPr>
            <w:tcW w:w="416" w:type="dxa"/>
          </w:tcPr>
          <w:p w14:paraId="7FCEA875" w14:textId="77777777" w:rsidR="008F296A" w:rsidRPr="00062F7E" w:rsidRDefault="008F296A" w:rsidP="008F296A">
            <w:pPr>
              <w:rPr>
                <w:color w:val="222222"/>
                <w:sz w:val="20"/>
                <w:szCs w:val="20"/>
              </w:rPr>
            </w:pPr>
            <w:r>
              <w:rPr>
                <w:color w:val="222222"/>
                <w:sz w:val="20"/>
                <w:szCs w:val="20"/>
              </w:rPr>
              <w:t>10</w:t>
            </w:r>
          </w:p>
        </w:tc>
        <w:tc>
          <w:tcPr>
            <w:tcW w:w="1494" w:type="dxa"/>
          </w:tcPr>
          <w:p w14:paraId="36219C8C" w14:textId="77777777" w:rsidR="008F296A" w:rsidRPr="00062F7E" w:rsidRDefault="008F296A" w:rsidP="008F296A">
            <w:pPr>
              <w:rPr>
                <w:i/>
                <w:iCs/>
                <w:color w:val="222222"/>
                <w:sz w:val="20"/>
                <w:szCs w:val="20"/>
              </w:rPr>
            </w:pPr>
            <w:r w:rsidRPr="00062F7E">
              <w:rPr>
                <w:color w:val="222222"/>
                <w:sz w:val="20"/>
                <w:szCs w:val="20"/>
              </w:rPr>
              <w:t>Gymnophiona indet.</w:t>
            </w:r>
          </w:p>
        </w:tc>
        <w:tc>
          <w:tcPr>
            <w:tcW w:w="1127" w:type="dxa"/>
          </w:tcPr>
          <w:p w14:paraId="427F6D11" w14:textId="77777777" w:rsidR="008F296A" w:rsidRPr="00062F7E" w:rsidRDefault="008F296A" w:rsidP="008F296A">
            <w:pPr>
              <w:rPr>
                <w:color w:val="222222"/>
                <w:sz w:val="20"/>
                <w:szCs w:val="20"/>
              </w:rPr>
            </w:pPr>
            <w:r w:rsidRPr="00062F7E">
              <w:rPr>
                <w:color w:val="222222"/>
                <w:sz w:val="20"/>
                <w:szCs w:val="20"/>
              </w:rPr>
              <w:t>Hecht &amp; LaDuke, 1997</w:t>
            </w:r>
          </w:p>
        </w:tc>
        <w:tc>
          <w:tcPr>
            <w:tcW w:w="1377" w:type="dxa"/>
          </w:tcPr>
          <w:p w14:paraId="2D880696" w14:textId="77777777" w:rsidR="008F296A" w:rsidRPr="00062F7E" w:rsidRDefault="008F296A" w:rsidP="008F296A">
            <w:pPr>
              <w:jc w:val="center"/>
              <w:rPr>
                <w:color w:val="222222"/>
                <w:sz w:val="20"/>
                <w:szCs w:val="20"/>
              </w:rPr>
            </w:pPr>
            <w:r w:rsidRPr="00062F7E">
              <w:rPr>
                <w:color w:val="222222"/>
                <w:sz w:val="20"/>
                <w:szCs w:val="20"/>
              </w:rPr>
              <w:t>Miocene, ~13.8-11.6 Ma</w:t>
            </w:r>
          </w:p>
        </w:tc>
        <w:tc>
          <w:tcPr>
            <w:tcW w:w="1611" w:type="dxa"/>
          </w:tcPr>
          <w:p w14:paraId="56716110" w14:textId="77777777" w:rsidR="008F296A" w:rsidRPr="00062F7E" w:rsidRDefault="008F296A" w:rsidP="008F296A">
            <w:pPr>
              <w:jc w:val="center"/>
              <w:rPr>
                <w:color w:val="222222"/>
                <w:sz w:val="20"/>
                <w:szCs w:val="20"/>
              </w:rPr>
            </w:pPr>
            <w:r w:rsidRPr="00062F7E">
              <w:rPr>
                <w:color w:val="222222"/>
                <w:sz w:val="20"/>
                <w:szCs w:val="20"/>
              </w:rPr>
              <w:t>Huila, Columbia</w:t>
            </w:r>
          </w:p>
        </w:tc>
        <w:tc>
          <w:tcPr>
            <w:tcW w:w="1890" w:type="dxa"/>
          </w:tcPr>
          <w:p w14:paraId="56A581F8" w14:textId="77777777" w:rsidR="008F296A" w:rsidRPr="00062F7E" w:rsidRDefault="008F296A" w:rsidP="008F296A">
            <w:pPr>
              <w:rPr>
                <w:color w:val="222222"/>
                <w:sz w:val="20"/>
                <w:szCs w:val="20"/>
              </w:rPr>
            </w:pPr>
            <w:r w:rsidRPr="00062F7E">
              <w:rPr>
                <w:color w:val="222222"/>
                <w:sz w:val="20"/>
                <w:szCs w:val="20"/>
              </w:rPr>
              <w:t>Equatorial South America</w:t>
            </w:r>
          </w:p>
        </w:tc>
        <w:tc>
          <w:tcPr>
            <w:tcW w:w="1440" w:type="dxa"/>
          </w:tcPr>
          <w:p w14:paraId="2677FB29" w14:textId="77777777" w:rsidR="008F296A" w:rsidRPr="00062F7E" w:rsidRDefault="008F296A" w:rsidP="008F296A">
            <w:pPr>
              <w:jc w:val="center"/>
              <w:rPr>
                <w:color w:val="222222"/>
                <w:sz w:val="20"/>
                <w:szCs w:val="20"/>
              </w:rPr>
            </w:pPr>
            <w:r w:rsidRPr="00062F7E">
              <w:rPr>
                <w:color w:val="222222"/>
                <w:sz w:val="20"/>
                <w:szCs w:val="20"/>
              </w:rPr>
              <w:t>~4° S</w:t>
            </w:r>
          </w:p>
        </w:tc>
        <w:tc>
          <w:tcPr>
            <w:tcW w:w="1980" w:type="dxa"/>
          </w:tcPr>
          <w:p w14:paraId="63EB153B" w14:textId="77777777" w:rsidR="008F296A" w:rsidRPr="00062F7E" w:rsidRDefault="008F296A" w:rsidP="008F296A">
            <w:pPr>
              <w:jc w:val="center"/>
              <w:rPr>
                <w:color w:val="222222"/>
                <w:sz w:val="20"/>
                <w:szCs w:val="20"/>
              </w:rPr>
            </w:pPr>
            <w:r w:rsidRPr="00062F7E">
              <w:rPr>
                <w:color w:val="222222"/>
                <w:sz w:val="20"/>
                <w:szCs w:val="20"/>
              </w:rPr>
              <w:t>1</w:t>
            </w:r>
          </w:p>
        </w:tc>
        <w:tc>
          <w:tcPr>
            <w:tcW w:w="1440" w:type="dxa"/>
          </w:tcPr>
          <w:p w14:paraId="4C9A6142" w14:textId="77777777" w:rsidR="008F296A" w:rsidRPr="00062F7E" w:rsidRDefault="008F296A" w:rsidP="008F296A">
            <w:pPr>
              <w:rPr>
                <w:color w:val="222222"/>
                <w:sz w:val="20"/>
                <w:szCs w:val="20"/>
              </w:rPr>
            </w:pPr>
            <w:proofErr w:type="spellStart"/>
            <w:r w:rsidRPr="00062F7E">
              <w:rPr>
                <w:color w:val="222222"/>
                <w:sz w:val="20"/>
                <w:szCs w:val="20"/>
              </w:rPr>
              <w:t>Screenwashing</w:t>
            </w:r>
            <w:proofErr w:type="spellEnd"/>
          </w:p>
        </w:tc>
      </w:tr>
      <w:tr w:rsidR="008F296A" w:rsidRPr="00F462FB" w14:paraId="175196BD" w14:textId="77777777" w:rsidTr="009A7E71">
        <w:trPr>
          <w:trHeight w:val="606"/>
        </w:trPr>
        <w:tc>
          <w:tcPr>
            <w:tcW w:w="416" w:type="dxa"/>
          </w:tcPr>
          <w:p w14:paraId="50F98DF7" w14:textId="77777777" w:rsidR="008F296A" w:rsidRPr="00662B68" w:rsidRDefault="008F296A" w:rsidP="008F296A">
            <w:pPr>
              <w:rPr>
                <w:color w:val="222222"/>
                <w:sz w:val="20"/>
                <w:szCs w:val="20"/>
              </w:rPr>
            </w:pPr>
            <w:r>
              <w:rPr>
                <w:color w:val="222222"/>
                <w:sz w:val="20"/>
                <w:szCs w:val="20"/>
              </w:rPr>
              <w:t>11</w:t>
            </w:r>
          </w:p>
        </w:tc>
        <w:tc>
          <w:tcPr>
            <w:tcW w:w="1494" w:type="dxa"/>
          </w:tcPr>
          <w:p w14:paraId="10C82F86" w14:textId="77777777" w:rsidR="008F296A" w:rsidRPr="00062F7E" w:rsidRDefault="008F296A" w:rsidP="008F296A">
            <w:pPr>
              <w:rPr>
                <w:color w:val="222222"/>
                <w:sz w:val="20"/>
                <w:szCs w:val="20"/>
              </w:rPr>
            </w:pPr>
            <w:proofErr w:type="spellStart"/>
            <w:r w:rsidRPr="00062F7E">
              <w:rPr>
                <w:i/>
                <w:iCs/>
                <w:color w:val="222222"/>
                <w:sz w:val="20"/>
                <w:szCs w:val="20"/>
              </w:rPr>
              <w:t>Dermophis</w:t>
            </w:r>
            <w:proofErr w:type="spellEnd"/>
            <w:r w:rsidRPr="00062F7E">
              <w:rPr>
                <w:i/>
                <w:iCs/>
                <w:color w:val="222222"/>
                <w:sz w:val="20"/>
                <w:szCs w:val="20"/>
              </w:rPr>
              <w:t xml:space="preserve"> mexicanus</w:t>
            </w:r>
          </w:p>
        </w:tc>
        <w:tc>
          <w:tcPr>
            <w:tcW w:w="1127" w:type="dxa"/>
          </w:tcPr>
          <w:p w14:paraId="6AD3E5A5" w14:textId="77777777" w:rsidR="008F296A" w:rsidRPr="00062F7E" w:rsidRDefault="008F296A" w:rsidP="008F296A">
            <w:pPr>
              <w:rPr>
                <w:color w:val="222222"/>
                <w:sz w:val="20"/>
                <w:szCs w:val="20"/>
              </w:rPr>
            </w:pPr>
            <w:r w:rsidRPr="00062F7E">
              <w:rPr>
                <w:color w:val="222222"/>
                <w:sz w:val="20"/>
                <w:szCs w:val="20"/>
              </w:rPr>
              <w:t>Wake et al., 1999</w:t>
            </w:r>
          </w:p>
        </w:tc>
        <w:tc>
          <w:tcPr>
            <w:tcW w:w="1377" w:type="dxa"/>
          </w:tcPr>
          <w:p w14:paraId="5E1DCD19" w14:textId="77777777" w:rsidR="008F296A" w:rsidRPr="00062F7E" w:rsidRDefault="008F296A" w:rsidP="008F296A">
            <w:pPr>
              <w:jc w:val="center"/>
              <w:rPr>
                <w:color w:val="222222"/>
                <w:sz w:val="20"/>
                <w:szCs w:val="20"/>
              </w:rPr>
            </w:pPr>
            <w:r w:rsidRPr="00062F7E">
              <w:rPr>
                <w:color w:val="222222"/>
                <w:sz w:val="20"/>
                <w:szCs w:val="20"/>
              </w:rPr>
              <w:t>1200-1350 B.C.</w:t>
            </w:r>
            <w:r>
              <w:rPr>
                <w:color w:val="222222"/>
                <w:sz w:val="20"/>
                <w:szCs w:val="20"/>
              </w:rPr>
              <w:t xml:space="preserve"> to recent</w:t>
            </w:r>
          </w:p>
        </w:tc>
        <w:tc>
          <w:tcPr>
            <w:tcW w:w="1611" w:type="dxa"/>
          </w:tcPr>
          <w:p w14:paraId="38521020" w14:textId="77777777" w:rsidR="008F296A" w:rsidRPr="00062F7E" w:rsidRDefault="008F296A" w:rsidP="008F296A">
            <w:pPr>
              <w:jc w:val="center"/>
              <w:rPr>
                <w:color w:val="222222"/>
                <w:sz w:val="20"/>
                <w:szCs w:val="20"/>
              </w:rPr>
            </w:pPr>
            <w:r w:rsidRPr="00062F7E">
              <w:rPr>
                <w:color w:val="222222"/>
                <w:sz w:val="20"/>
                <w:szCs w:val="20"/>
              </w:rPr>
              <w:t>Chiapas, Mexico</w:t>
            </w:r>
          </w:p>
        </w:tc>
        <w:tc>
          <w:tcPr>
            <w:tcW w:w="1890" w:type="dxa"/>
          </w:tcPr>
          <w:p w14:paraId="3F415F83" w14:textId="77777777" w:rsidR="008F296A" w:rsidRPr="00062F7E" w:rsidRDefault="008F296A" w:rsidP="008F296A">
            <w:pPr>
              <w:rPr>
                <w:color w:val="222222"/>
                <w:sz w:val="20"/>
                <w:szCs w:val="20"/>
              </w:rPr>
            </w:pPr>
            <w:r w:rsidRPr="00062F7E">
              <w:rPr>
                <w:color w:val="222222"/>
                <w:sz w:val="20"/>
                <w:szCs w:val="20"/>
              </w:rPr>
              <w:t>Equatorial Central America</w:t>
            </w:r>
          </w:p>
        </w:tc>
        <w:tc>
          <w:tcPr>
            <w:tcW w:w="1440" w:type="dxa"/>
          </w:tcPr>
          <w:p w14:paraId="49F9EDCB" w14:textId="77777777" w:rsidR="008F296A" w:rsidRPr="00062F7E" w:rsidRDefault="008F296A" w:rsidP="008F296A">
            <w:pPr>
              <w:jc w:val="center"/>
              <w:rPr>
                <w:color w:val="222222"/>
                <w:sz w:val="20"/>
                <w:szCs w:val="20"/>
              </w:rPr>
            </w:pPr>
            <w:r w:rsidRPr="00062F7E">
              <w:rPr>
                <w:color w:val="222222"/>
                <w:sz w:val="20"/>
                <w:szCs w:val="20"/>
              </w:rPr>
              <w:t>~16° N</w:t>
            </w:r>
          </w:p>
        </w:tc>
        <w:tc>
          <w:tcPr>
            <w:tcW w:w="1980" w:type="dxa"/>
          </w:tcPr>
          <w:p w14:paraId="14247059" w14:textId="77777777" w:rsidR="008F296A" w:rsidRPr="00062F7E" w:rsidRDefault="008F296A" w:rsidP="008F296A">
            <w:pPr>
              <w:jc w:val="center"/>
              <w:rPr>
                <w:color w:val="222222"/>
                <w:sz w:val="20"/>
                <w:szCs w:val="20"/>
              </w:rPr>
            </w:pPr>
            <w:r w:rsidRPr="00062F7E">
              <w:rPr>
                <w:color w:val="222222"/>
                <w:sz w:val="20"/>
                <w:szCs w:val="20"/>
              </w:rPr>
              <w:t>1</w:t>
            </w:r>
          </w:p>
        </w:tc>
        <w:tc>
          <w:tcPr>
            <w:tcW w:w="1440" w:type="dxa"/>
          </w:tcPr>
          <w:p w14:paraId="54F6B383" w14:textId="77777777" w:rsidR="008F296A" w:rsidRPr="00062F7E" w:rsidRDefault="008F296A" w:rsidP="008F296A">
            <w:pPr>
              <w:rPr>
                <w:color w:val="222222"/>
                <w:sz w:val="20"/>
                <w:szCs w:val="20"/>
              </w:rPr>
            </w:pPr>
            <w:proofErr w:type="spellStart"/>
            <w:r w:rsidRPr="00062F7E">
              <w:rPr>
                <w:color w:val="222222"/>
                <w:sz w:val="20"/>
                <w:szCs w:val="20"/>
              </w:rPr>
              <w:t>Screenwashing</w:t>
            </w:r>
            <w:proofErr w:type="spellEnd"/>
          </w:p>
        </w:tc>
      </w:tr>
    </w:tbl>
    <w:p w14:paraId="739FC1C3" w14:textId="77777777" w:rsidR="00C24271" w:rsidRDefault="00C24271" w:rsidP="009C1A18">
      <w:pPr>
        <w:rPr>
          <w:color w:val="222222"/>
        </w:rPr>
      </w:pPr>
      <w:r>
        <w:rPr>
          <w:color w:val="222222"/>
        </w:rPr>
        <w:t xml:space="preserve">Age data derived from Santos et al. (2020). Unless a citation is provided, paleolatitude estimates are derived from the </w:t>
      </w:r>
      <w:proofErr w:type="spellStart"/>
      <w:r>
        <w:rPr>
          <w:color w:val="222222"/>
        </w:rPr>
        <w:t>GPlates</w:t>
      </w:r>
      <w:proofErr w:type="spellEnd"/>
      <w:r>
        <w:rPr>
          <w:color w:val="222222"/>
        </w:rPr>
        <w:t xml:space="preserve"> model (</w:t>
      </w:r>
      <w:r w:rsidRPr="00F26F8E">
        <w:rPr>
          <w:color w:val="222222"/>
        </w:rPr>
        <w:t>Müller</w:t>
      </w:r>
      <w:r>
        <w:rPr>
          <w:color w:val="222222"/>
        </w:rPr>
        <w:t xml:space="preserve"> et al., 2018) accessed through the Paleobiology Database (</w:t>
      </w:r>
      <w:r w:rsidRPr="00F26F8E">
        <w:rPr>
          <w:color w:val="222222"/>
        </w:rPr>
        <w:t>https://paleobiodb.org/#/</w:t>
      </w:r>
      <w:r>
        <w:rPr>
          <w:color w:val="222222"/>
        </w:rPr>
        <w:t xml:space="preserve">). </w:t>
      </w:r>
    </w:p>
    <w:p w14:paraId="2480CA3D" w14:textId="69AB6FE8" w:rsidR="00E05CB7" w:rsidRDefault="00C24271" w:rsidP="009C1A18">
      <w:pPr>
        <w:rPr>
          <w:color w:val="222222"/>
        </w:rPr>
      </w:pPr>
      <w:r>
        <w:rPr>
          <w:b/>
          <w:bCs/>
          <w:color w:val="222222"/>
        </w:rPr>
        <w:t>*</w:t>
      </w:r>
      <w:r>
        <w:rPr>
          <w:color w:val="222222"/>
        </w:rPr>
        <w:t>Paleolatitude estimated using Paleolatitude.org (</w:t>
      </w:r>
      <w:proofErr w:type="spellStart"/>
      <w:r w:rsidR="00874806">
        <w:rPr>
          <w:color w:val="222222"/>
        </w:rPr>
        <w:t>Hinsbergen</w:t>
      </w:r>
      <w:proofErr w:type="spellEnd"/>
      <w:r w:rsidR="00874806">
        <w:rPr>
          <w:color w:val="222222"/>
        </w:rPr>
        <w:t xml:space="preserve"> </w:t>
      </w:r>
      <w:r>
        <w:rPr>
          <w:color w:val="222222"/>
        </w:rPr>
        <w:t xml:space="preserve">et al., 2015) using the </w:t>
      </w:r>
      <w:proofErr w:type="spellStart"/>
      <w:r>
        <w:rPr>
          <w:color w:val="222222"/>
        </w:rPr>
        <w:t>Torsvik</w:t>
      </w:r>
      <w:proofErr w:type="spellEnd"/>
      <w:r>
        <w:rPr>
          <w:color w:val="222222"/>
        </w:rPr>
        <w:t xml:space="preserve"> et al (2012) paleomagnetic reference frame</w:t>
      </w:r>
      <w:r w:rsidR="0013498C">
        <w:rPr>
          <w:color w:val="222222"/>
        </w:rPr>
        <w:t xml:space="preserve">. </w:t>
      </w:r>
    </w:p>
    <w:p w14:paraId="609AC78C" w14:textId="77777777" w:rsidR="009A7E71" w:rsidRDefault="009A7E71" w:rsidP="009C1A18">
      <w:pPr>
        <w:rPr>
          <w:color w:val="222222"/>
        </w:rPr>
        <w:sectPr w:rsidR="009A7E71" w:rsidSect="00EA65E2">
          <w:pgSz w:w="15840" w:h="12240" w:orient="landscape" w:code="1"/>
          <w:pgMar w:top="1440" w:right="1440" w:bottom="1440" w:left="1440" w:header="720" w:footer="720" w:gutter="0"/>
          <w:lnNumType w:countBy="1" w:restart="continuous"/>
          <w:cols w:space="720"/>
          <w:docGrid w:linePitch="360"/>
        </w:sectPr>
      </w:pPr>
    </w:p>
    <w:p w14:paraId="6DC176B7" w14:textId="03EB442B" w:rsidR="00C4602C" w:rsidRDefault="00C4602C" w:rsidP="00C4602C">
      <w:pPr>
        <w:rPr>
          <w:b/>
          <w:bCs/>
          <w:color w:val="222222"/>
        </w:rPr>
      </w:pPr>
      <w:bookmarkStart w:id="17" w:name="_Hlk98857824"/>
      <w:r>
        <w:rPr>
          <w:b/>
          <w:bCs/>
          <w:color w:val="222222"/>
        </w:rPr>
        <w:lastRenderedPageBreak/>
        <w:t>Supplementa</w:t>
      </w:r>
      <w:r w:rsidR="000D22D2">
        <w:rPr>
          <w:b/>
          <w:bCs/>
          <w:color w:val="222222"/>
        </w:rPr>
        <w:t>ry</w:t>
      </w:r>
      <w:r w:rsidR="00D50607">
        <w:rPr>
          <w:b/>
          <w:bCs/>
          <w:color w:val="222222"/>
        </w:rPr>
        <w:t xml:space="preserve"> </w:t>
      </w:r>
      <w:r>
        <w:rPr>
          <w:b/>
          <w:bCs/>
          <w:color w:val="222222"/>
        </w:rPr>
        <w:t xml:space="preserve">Table </w:t>
      </w:r>
      <w:r w:rsidR="00025444">
        <w:rPr>
          <w:b/>
          <w:bCs/>
          <w:color w:val="222222"/>
        </w:rPr>
        <w:t>3</w:t>
      </w:r>
      <w:r>
        <w:rPr>
          <w:b/>
          <w:bCs/>
          <w:color w:val="222222"/>
        </w:rPr>
        <w:t>. Triassic batrachian occurrences</w:t>
      </w:r>
      <w:bookmarkEnd w:id="17"/>
    </w:p>
    <w:p w14:paraId="73A2CF5A" w14:textId="77777777" w:rsidR="006E6B01" w:rsidRDefault="006E6B01" w:rsidP="00C4602C">
      <w:pPr>
        <w:rPr>
          <w:b/>
          <w:bCs/>
          <w:color w:val="222222"/>
        </w:rPr>
      </w:pPr>
    </w:p>
    <w:tbl>
      <w:tblPr>
        <w:tblStyle w:val="TableGrid"/>
        <w:tblW w:w="9487" w:type="dxa"/>
        <w:tblInd w:w="-5" w:type="dxa"/>
        <w:tblLook w:val="04A0" w:firstRow="1" w:lastRow="0" w:firstColumn="1" w:lastColumn="0" w:noHBand="0" w:noVBand="1"/>
      </w:tblPr>
      <w:tblGrid>
        <w:gridCol w:w="323"/>
        <w:gridCol w:w="1604"/>
        <w:gridCol w:w="1261"/>
        <w:gridCol w:w="1446"/>
        <w:gridCol w:w="1469"/>
        <w:gridCol w:w="1817"/>
        <w:gridCol w:w="1567"/>
      </w:tblGrid>
      <w:tr w:rsidR="00F36C83" w14:paraId="6AE65641" w14:textId="77777777" w:rsidTr="00662B68">
        <w:trPr>
          <w:trHeight w:val="723"/>
        </w:trPr>
        <w:tc>
          <w:tcPr>
            <w:tcW w:w="323" w:type="dxa"/>
            <w:tcBorders>
              <w:top w:val="single" w:sz="4" w:space="0" w:color="auto"/>
              <w:left w:val="single" w:sz="4" w:space="0" w:color="auto"/>
              <w:bottom w:val="single" w:sz="4" w:space="0" w:color="auto"/>
              <w:right w:val="single" w:sz="4" w:space="0" w:color="auto"/>
            </w:tcBorders>
          </w:tcPr>
          <w:p w14:paraId="31F42AEA" w14:textId="77777777" w:rsidR="00C4602C" w:rsidRDefault="00C4602C" w:rsidP="0017085C">
            <w:pPr>
              <w:jc w:val="center"/>
              <w:rPr>
                <w:b/>
                <w:bCs/>
                <w:color w:val="222222"/>
                <w:sz w:val="20"/>
                <w:szCs w:val="20"/>
              </w:rPr>
            </w:pPr>
          </w:p>
        </w:tc>
        <w:tc>
          <w:tcPr>
            <w:tcW w:w="1604" w:type="dxa"/>
            <w:tcBorders>
              <w:top w:val="single" w:sz="4" w:space="0" w:color="auto"/>
              <w:left w:val="single" w:sz="4" w:space="0" w:color="auto"/>
              <w:bottom w:val="single" w:sz="4" w:space="0" w:color="auto"/>
              <w:right w:val="single" w:sz="4" w:space="0" w:color="auto"/>
            </w:tcBorders>
            <w:hideMark/>
          </w:tcPr>
          <w:p w14:paraId="7F1F2427" w14:textId="77777777" w:rsidR="00C4602C" w:rsidRDefault="00C4602C" w:rsidP="0017085C">
            <w:pPr>
              <w:jc w:val="center"/>
              <w:rPr>
                <w:b/>
                <w:bCs/>
                <w:color w:val="222222"/>
                <w:sz w:val="20"/>
                <w:szCs w:val="20"/>
              </w:rPr>
            </w:pPr>
            <w:r>
              <w:rPr>
                <w:b/>
                <w:bCs/>
                <w:color w:val="222222"/>
                <w:sz w:val="20"/>
                <w:szCs w:val="20"/>
              </w:rPr>
              <w:t>Taxon</w:t>
            </w:r>
          </w:p>
        </w:tc>
        <w:tc>
          <w:tcPr>
            <w:tcW w:w="1261" w:type="dxa"/>
            <w:tcBorders>
              <w:top w:val="single" w:sz="4" w:space="0" w:color="auto"/>
              <w:left w:val="single" w:sz="4" w:space="0" w:color="auto"/>
              <w:bottom w:val="single" w:sz="4" w:space="0" w:color="auto"/>
              <w:right w:val="single" w:sz="4" w:space="0" w:color="auto"/>
            </w:tcBorders>
            <w:hideMark/>
          </w:tcPr>
          <w:p w14:paraId="68BAE181" w14:textId="77777777" w:rsidR="00C4602C" w:rsidRDefault="00C4602C" w:rsidP="0017085C">
            <w:pPr>
              <w:jc w:val="center"/>
              <w:rPr>
                <w:b/>
                <w:bCs/>
                <w:color w:val="222222"/>
                <w:sz w:val="20"/>
                <w:szCs w:val="20"/>
              </w:rPr>
            </w:pPr>
            <w:r>
              <w:rPr>
                <w:b/>
                <w:bCs/>
                <w:color w:val="222222"/>
                <w:sz w:val="20"/>
                <w:szCs w:val="20"/>
              </w:rPr>
              <w:t>Reference</w:t>
            </w:r>
          </w:p>
        </w:tc>
        <w:tc>
          <w:tcPr>
            <w:tcW w:w="1446" w:type="dxa"/>
            <w:tcBorders>
              <w:top w:val="single" w:sz="4" w:space="0" w:color="auto"/>
              <w:left w:val="single" w:sz="4" w:space="0" w:color="auto"/>
              <w:bottom w:val="single" w:sz="4" w:space="0" w:color="auto"/>
              <w:right w:val="single" w:sz="4" w:space="0" w:color="auto"/>
            </w:tcBorders>
            <w:hideMark/>
          </w:tcPr>
          <w:p w14:paraId="6469FD15" w14:textId="77777777" w:rsidR="00C4602C" w:rsidRDefault="00C4602C" w:rsidP="0017085C">
            <w:pPr>
              <w:jc w:val="center"/>
              <w:rPr>
                <w:b/>
                <w:bCs/>
                <w:color w:val="222222"/>
                <w:sz w:val="20"/>
                <w:szCs w:val="20"/>
              </w:rPr>
            </w:pPr>
            <w:r>
              <w:rPr>
                <w:b/>
                <w:bCs/>
                <w:color w:val="222222"/>
                <w:sz w:val="20"/>
                <w:szCs w:val="20"/>
              </w:rPr>
              <w:t>Age</w:t>
            </w:r>
          </w:p>
        </w:tc>
        <w:tc>
          <w:tcPr>
            <w:tcW w:w="1469" w:type="dxa"/>
            <w:tcBorders>
              <w:top w:val="single" w:sz="4" w:space="0" w:color="auto"/>
              <w:left w:val="single" w:sz="4" w:space="0" w:color="auto"/>
              <w:bottom w:val="single" w:sz="4" w:space="0" w:color="auto"/>
              <w:right w:val="single" w:sz="4" w:space="0" w:color="auto"/>
            </w:tcBorders>
            <w:hideMark/>
          </w:tcPr>
          <w:p w14:paraId="511F0C0F" w14:textId="77777777" w:rsidR="00C4602C" w:rsidRDefault="00C4602C" w:rsidP="0017085C">
            <w:pPr>
              <w:jc w:val="center"/>
              <w:rPr>
                <w:b/>
                <w:bCs/>
                <w:color w:val="222222"/>
                <w:sz w:val="20"/>
                <w:szCs w:val="20"/>
              </w:rPr>
            </w:pPr>
            <w:r>
              <w:rPr>
                <w:b/>
                <w:bCs/>
                <w:color w:val="222222"/>
                <w:sz w:val="20"/>
                <w:szCs w:val="20"/>
              </w:rPr>
              <w:t>Present day location</w:t>
            </w:r>
          </w:p>
        </w:tc>
        <w:tc>
          <w:tcPr>
            <w:tcW w:w="1817" w:type="dxa"/>
            <w:tcBorders>
              <w:top w:val="single" w:sz="4" w:space="0" w:color="auto"/>
              <w:left w:val="single" w:sz="4" w:space="0" w:color="auto"/>
              <w:bottom w:val="single" w:sz="4" w:space="0" w:color="auto"/>
              <w:right w:val="single" w:sz="4" w:space="0" w:color="auto"/>
            </w:tcBorders>
            <w:hideMark/>
          </w:tcPr>
          <w:p w14:paraId="2F1E77D6" w14:textId="77777777" w:rsidR="00C4602C" w:rsidRDefault="00C4602C" w:rsidP="0017085C">
            <w:pPr>
              <w:jc w:val="center"/>
              <w:rPr>
                <w:b/>
                <w:bCs/>
                <w:color w:val="222222"/>
                <w:sz w:val="20"/>
                <w:szCs w:val="20"/>
              </w:rPr>
            </w:pPr>
            <w:r>
              <w:rPr>
                <w:b/>
                <w:bCs/>
                <w:color w:val="222222"/>
                <w:sz w:val="20"/>
                <w:szCs w:val="20"/>
              </w:rPr>
              <w:t>Paleogeography</w:t>
            </w:r>
          </w:p>
        </w:tc>
        <w:tc>
          <w:tcPr>
            <w:tcW w:w="1567" w:type="dxa"/>
            <w:tcBorders>
              <w:top w:val="single" w:sz="4" w:space="0" w:color="auto"/>
              <w:left w:val="single" w:sz="4" w:space="0" w:color="auto"/>
              <w:bottom w:val="single" w:sz="4" w:space="0" w:color="auto"/>
              <w:right w:val="single" w:sz="4" w:space="0" w:color="auto"/>
            </w:tcBorders>
            <w:hideMark/>
          </w:tcPr>
          <w:p w14:paraId="3EE82528" w14:textId="77777777" w:rsidR="00C4602C" w:rsidRDefault="00C4602C" w:rsidP="0017085C">
            <w:pPr>
              <w:jc w:val="center"/>
              <w:rPr>
                <w:b/>
                <w:bCs/>
                <w:color w:val="222222"/>
                <w:sz w:val="20"/>
                <w:szCs w:val="20"/>
              </w:rPr>
            </w:pPr>
            <w:r>
              <w:rPr>
                <w:b/>
                <w:bCs/>
                <w:color w:val="222222"/>
                <w:sz w:val="20"/>
                <w:szCs w:val="20"/>
              </w:rPr>
              <w:t>Paleolatitude</w:t>
            </w:r>
          </w:p>
        </w:tc>
      </w:tr>
      <w:tr w:rsidR="00F36C83" w14:paraId="0BEDEBAC" w14:textId="77777777" w:rsidTr="00662B68">
        <w:trPr>
          <w:trHeight w:val="230"/>
        </w:trPr>
        <w:tc>
          <w:tcPr>
            <w:tcW w:w="323" w:type="dxa"/>
            <w:tcBorders>
              <w:top w:val="single" w:sz="4" w:space="0" w:color="auto"/>
              <w:left w:val="single" w:sz="4" w:space="0" w:color="auto"/>
              <w:bottom w:val="single" w:sz="4" w:space="0" w:color="auto"/>
              <w:right w:val="single" w:sz="4" w:space="0" w:color="auto"/>
            </w:tcBorders>
          </w:tcPr>
          <w:p w14:paraId="2187FCF1" w14:textId="77777777" w:rsidR="00C4602C" w:rsidRPr="001C2B1A" w:rsidRDefault="00C4602C" w:rsidP="0017085C">
            <w:pPr>
              <w:rPr>
                <w:color w:val="222222"/>
                <w:sz w:val="20"/>
                <w:szCs w:val="20"/>
              </w:rPr>
            </w:pPr>
            <w:r>
              <w:rPr>
                <w:color w:val="222222"/>
                <w:sz w:val="20"/>
                <w:szCs w:val="20"/>
              </w:rPr>
              <w:t>1</w:t>
            </w:r>
          </w:p>
        </w:tc>
        <w:tc>
          <w:tcPr>
            <w:tcW w:w="1604" w:type="dxa"/>
            <w:tcBorders>
              <w:top w:val="single" w:sz="4" w:space="0" w:color="auto"/>
              <w:left w:val="single" w:sz="4" w:space="0" w:color="auto"/>
              <w:bottom w:val="single" w:sz="4" w:space="0" w:color="auto"/>
              <w:right w:val="single" w:sz="4" w:space="0" w:color="auto"/>
            </w:tcBorders>
            <w:hideMark/>
          </w:tcPr>
          <w:p w14:paraId="78FF70CE" w14:textId="77777777" w:rsidR="00C4602C" w:rsidRDefault="00C4602C" w:rsidP="0017085C">
            <w:pPr>
              <w:rPr>
                <w:i/>
                <w:iCs/>
                <w:color w:val="222222"/>
                <w:sz w:val="20"/>
                <w:szCs w:val="20"/>
              </w:rPr>
            </w:pPr>
            <w:r>
              <w:rPr>
                <w:i/>
                <w:iCs/>
                <w:color w:val="222222"/>
                <w:sz w:val="20"/>
                <w:szCs w:val="20"/>
              </w:rPr>
              <w:t>Triadobatrachus massinoti</w:t>
            </w:r>
          </w:p>
        </w:tc>
        <w:tc>
          <w:tcPr>
            <w:tcW w:w="1261" w:type="dxa"/>
            <w:tcBorders>
              <w:top w:val="single" w:sz="4" w:space="0" w:color="auto"/>
              <w:left w:val="single" w:sz="4" w:space="0" w:color="auto"/>
              <w:bottom w:val="single" w:sz="4" w:space="0" w:color="auto"/>
              <w:right w:val="single" w:sz="4" w:space="0" w:color="auto"/>
            </w:tcBorders>
            <w:hideMark/>
          </w:tcPr>
          <w:p w14:paraId="7A978512" w14:textId="74C62603" w:rsidR="00C4602C" w:rsidRDefault="00C4602C" w:rsidP="0017085C">
            <w:pPr>
              <w:rPr>
                <w:color w:val="222222"/>
                <w:sz w:val="20"/>
                <w:szCs w:val="20"/>
              </w:rPr>
            </w:pPr>
            <w:r>
              <w:rPr>
                <w:color w:val="222222"/>
                <w:sz w:val="20"/>
                <w:szCs w:val="20"/>
              </w:rPr>
              <w:t xml:space="preserve">Rage </w:t>
            </w:r>
            <w:r w:rsidR="008F296A">
              <w:rPr>
                <w:color w:val="222222"/>
                <w:sz w:val="20"/>
                <w:szCs w:val="20"/>
              </w:rPr>
              <w:t xml:space="preserve">&amp; </w:t>
            </w:r>
            <w:proofErr w:type="spellStart"/>
            <w:r>
              <w:rPr>
                <w:color w:val="222222"/>
                <w:sz w:val="20"/>
                <w:szCs w:val="20"/>
              </w:rPr>
              <w:t>Rocek</w:t>
            </w:r>
            <w:proofErr w:type="spellEnd"/>
            <w:r>
              <w:rPr>
                <w:color w:val="222222"/>
                <w:sz w:val="20"/>
                <w:szCs w:val="20"/>
              </w:rPr>
              <w:t>, 1989</w:t>
            </w:r>
          </w:p>
        </w:tc>
        <w:tc>
          <w:tcPr>
            <w:tcW w:w="1446" w:type="dxa"/>
            <w:tcBorders>
              <w:top w:val="single" w:sz="4" w:space="0" w:color="auto"/>
              <w:left w:val="single" w:sz="4" w:space="0" w:color="auto"/>
              <w:bottom w:val="single" w:sz="4" w:space="0" w:color="auto"/>
              <w:right w:val="single" w:sz="4" w:space="0" w:color="auto"/>
            </w:tcBorders>
            <w:hideMark/>
          </w:tcPr>
          <w:p w14:paraId="21D8F5A8" w14:textId="77777777" w:rsidR="00C4602C" w:rsidRDefault="00C4602C" w:rsidP="0017085C">
            <w:pPr>
              <w:jc w:val="center"/>
              <w:rPr>
                <w:color w:val="222222"/>
                <w:sz w:val="20"/>
                <w:szCs w:val="20"/>
              </w:rPr>
            </w:pPr>
            <w:r>
              <w:rPr>
                <w:color w:val="222222"/>
                <w:sz w:val="20"/>
                <w:szCs w:val="20"/>
              </w:rPr>
              <w:t xml:space="preserve">Late </w:t>
            </w:r>
            <w:proofErr w:type="spellStart"/>
            <w:r>
              <w:rPr>
                <w:color w:val="222222"/>
                <w:sz w:val="20"/>
                <w:szCs w:val="20"/>
              </w:rPr>
              <w:t>Induan</w:t>
            </w:r>
            <w:proofErr w:type="spellEnd"/>
            <w:r>
              <w:rPr>
                <w:color w:val="222222"/>
                <w:sz w:val="20"/>
                <w:szCs w:val="20"/>
              </w:rPr>
              <w:t xml:space="preserve"> – early </w:t>
            </w:r>
            <w:proofErr w:type="spellStart"/>
            <w:r>
              <w:rPr>
                <w:color w:val="222222"/>
                <w:sz w:val="20"/>
                <w:szCs w:val="20"/>
              </w:rPr>
              <w:t>Olenekian</w:t>
            </w:r>
            <w:proofErr w:type="spellEnd"/>
          </w:p>
          <w:p w14:paraId="1B54FA16" w14:textId="77777777" w:rsidR="00C4602C" w:rsidRDefault="00C4602C" w:rsidP="0017085C">
            <w:pPr>
              <w:jc w:val="center"/>
              <w:rPr>
                <w:color w:val="222222"/>
                <w:sz w:val="20"/>
                <w:szCs w:val="20"/>
              </w:rPr>
            </w:pPr>
            <w:r>
              <w:rPr>
                <w:color w:val="222222"/>
                <w:sz w:val="20"/>
                <w:szCs w:val="20"/>
              </w:rPr>
              <w:t>252.3 – 247.2 Ma</w:t>
            </w:r>
          </w:p>
          <w:p w14:paraId="260ADF7B" w14:textId="77777777" w:rsidR="00C4602C" w:rsidRDefault="00C4602C" w:rsidP="0017085C">
            <w:pPr>
              <w:jc w:val="center"/>
              <w:rPr>
                <w:color w:val="222222"/>
                <w:sz w:val="20"/>
                <w:szCs w:val="20"/>
              </w:rPr>
            </w:pPr>
          </w:p>
        </w:tc>
        <w:tc>
          <w:tcPr>
            <w:tcW w:w="1469" w:type="dxa"/>
            <w:tcBorders>
              <w:top w:val="single" w:sz="4" w:space="0" w:color="auto"/>
              <w:left w:val="single" w:sz="4" w:space="0" w:color="auto"/>
              <w:bottom w:val="single" w:sz="4" w:space="0" w:color="auto"/>
              <w:right w:val="single" w:sz="4" w:space="0" w:color="auto"/>
            </w:tcBorders>
            <w:hideMark/>
          </w:tcPr>
          <w:p w14:paraId="0A2C4216" w14:textId="77777777" w:rsidR="00C4602C" w:rsidRDefault="00C4602C" w:rsidP="0017085C">
            <w:pPr>
              <w:jc w:val="center"/>
              <w:rPr>
                <w:color w:val="222222"/>
                <w:sz w:val="20"/>
                <w:szCs w:val="20"/>
              </w:rPr>
            </w:pPr>
            <w:r>
              <w:rPr>
                <w:color w:val="222222"/>
                <w:sz w:val="20"/>
                <w:szCs w:val="20"/>
              </w:rPr>
              <w:t>Diana, Madagascar</w:t>
            </w:r>
          </w:p>
        </w:tc>
        <w:tc>
          <w:tcPr>
            <w:tcW w:w="1817" w:type="dxa"/>
            <w:tcBorders>
              <w:top w:val="single" w:sz="4" w:space="0" w:color="auto"/>
              <w:left w:val="single" w:sz="4" w:space="0" w:color="auto"/>
              <w:bottom w:val="single" w:sz="4" w:space="0" w:color="auto"/>
              <w:right w:val="single" w:sz="4" w:space="0" w:color="auto"/>
            </w:tcBorders>
            <w:hideMark/>
          </w:tcPr>
          <w:p w14:paraId="5EEFF5A5" w14:textId="77777777" w:rsidR="00C4602C" w:rsidRDefault="00C4602C" w:rsidP="0017085C">
            <w:pPr>
              <w:rPr>
                <w:color w:val="222222"/>
                <w:sz w:val="20"/>
                <w:szCs w:val="20"/>
              </w:rPr>
            </w:pPr>
            <w:r>
              <w:rPr>
                <w:color w:val="222222"/>
                <w:sz w:val="20"/>
                <w:szCs w:val="20"/>
              </w:rPr>
              <w:t>Southern Pangaea</w:t>
            </w:r>
          </w:p>
        </w:tc>
        <w:tc>
          <w:tcPr>
            <w:tcW w:w="1567" w:type="dxa"/>
            <w:tcBorders>
              <w:top w:val="single" w:sz="4" w:space="0" w:color="auto"/>
              <w:left w:val="single" w:sz="4" w:space="0" w:color="auto"/>
              <w:bottom w:val="single" w:sz="4" w:space="0" w:color="auto"/>
              <w:right w:val="single" w:sz="4" w:space="0" w:color="auto"/>
            </w:tcBorders>
            <w:hideMark/>
          </w:tcPr>
          <w:p w14:paraId="36AFA8DD" w14:textId="77777777" w:rsidR="00C4602C" w:rsidRDefault="00C4602C" w:rsidP="0017085C">
            <w:pPr>
              <w:jc w:val="center"/>
              <w:rPr>
                <w:color w:val="222222"/>
                <w:sz w:val="20"/>
                <w:szCs w:val="20"/>
              </w:rPr>
            </w:pPr>
            <w:r>
              <w:rPr>
                <w:color w:val="222222"/>
                <w:sz w:val="20"/>
                <w:szCs w:val="20"/>
              </w:rPr>
              <w:t>~44° S</w:t>
            </w:r>
          </w:p>
        </w:tc>
      </w:tr>
      <w:tr w:rsidR="00F36C83" w14:paraId="4D6256AA" w14:textId="77777777" w:rsidTr="00662B68">
        <w:trPr>
          <w:trHeight w:val="230"/>
        </w:trPr>
        <w:tc>
          <w:tcPr>
            <w:tcW w:w="323" w:type="dxa"/>
            <w:tcBorders>
              <w:top w:val="single" w:sz="4" w:space="0" w:color="auto"/>
              <w:left w:val="single" w:sz="4" w:space="0" w:color="auto"/>
              <w:bottom w:val="single" w:sz="4" w:space="0" w:color="auto"/>
              <w:right w:val="single" w:sz="4" w:space="0" w:color="auto"/>
            </w:tcBorders>
          </w:tcPr>
          <w:p w14:paraId="4176E09A" w14:textId="77777777" w:rsidR="00C4602C" w:rsidRPr="001C2B1A" w:rsidRDefault="00C4602C" w:rsidP="0017085C">
            <w:pPr>
              <w:rPr>
                <w:color w:val="222222"/>
                <w:sz w:val="20"/>
                <w:szCs w:val="20"/>
              </w:rPr>
            </w:pPr>
            <w:r>
              <w:rPr>
                <w:color w:val="222222"/>
                <w:sz w:val="20"/>
                <w:szCs w:val="20"/>
              </w:rPr>
              <w:t>2</w:t>
            </w:r>
          </w:p>
        </w:tc>
        <w:tc>
          <w:tcPr>
            <w:tcW w:w="1604" w:type="dxa"/>
            <w:tcBorders>
              <w:top w:val="single" w:sz="4" w:space="0" w:color="auto"/>
              <w:left w:val="single" w:sz="4" w:space="0" w:color="auto"/>
              <w:bottom w:val="single" w:sz="4" w:space="0" w:color="auto"/>
              <w:right w:val="single" w:sz="4" w:space="0" w:color="auto"/>
            </w:tcBorders>
            <w:hideMark/>
          </w:tcPr>
          <w:p w14:paraId="089359DA" w14:textId="77777777" w:rsidR="00C4602C" w:rsidRPr="00097808" w:rsidRDefault="00C4602C" w:rsidP="0017085C">
            <w:pPr>
              <w:rPr>
                <w:color w:val="222222"/>
                <w:sz w:val="20"/>
                <w:szCs w:val="20"/>
              </w:rPr>
            </w:pPr>
            <w:proofErr w:type="spellStart"/>
            <w:r w:rsidRPr="00097808">
              <w:rPr>
                <w:i/>
                <w:iCs/>
                <w:color w:val="222222"/>
                <w:sz w:val="20"/>
                <w:szCs w:val="20"/>
              </w:rPr>
              <w:t>Czatkobatrachus</w:t>
            </w:r>
            <w:proofErr w:type="spellEnd"/>
            <w:r w:rsidRPr="00097808">
              <w:rPr>
                <w:i/>
                <w:iCs/>
                <w:color w:val="222222"/>
                <w:sz w:val="20"/>
                <w:szCs w:val="20"/>
              </w:rPr>
              <w:t xml:space="preserve"> </w:t>
            </w:r>
            <w:proofErr w:type="spellStart"/>
            <w:r w:rsidRPr="00097808">
              <w:rPr>
                <w:i/>
                <w:iCs/>
                <w:color w:val="222222"/>
                <w:sz w:val="20"/>
                <w:szCs w:val="20"/>
              </w:rPr>
              <w:t>polonicus</w:t>
            </w:r>
            <w:proofErr w:type="spellEnd"/>
          </w:p>
        </w:tc>
        <w:tc>
          <w:tcPr>
            <w:tcW w:w="1261" w:type="dxa"/>
            <w:tcBorders>
              <w:top w:val="single" w:sz="4" w:space="0" w:color="auto"/>
              <w:left w:val="single" w:sz="4" w:space="0" w:color="auto"/>
              <w:bottom w:val="single" w:sz="4" w:space="0" w:color="auto"/>
              <w:right w:val="single" w:sz="4" w:space="0" w:color="auto"/>
            </w:tcBorders>
            <w:hideMark/>
          </w:tcPr>
          <w:p w14:paraId="17EAB4DF" w14:textId="798BE508" w:rsidR="00C4602C" w:rsidRDefault="00C4602C" w:rsidP="0017085C">
            <w:pPr>
              <w:rPr>
                <w:color w:val="222222"/>
                <w:sz w:val="20"/>
                <w:szCs w:val="20"/>
              </w:rPr>
            </w:pPr>
            <w:r>
              <w:rPr>
                <w:color w:val="222222"/>
                <w:sz w:val="20"/>
                <w:szCs w:val="20"/>
              </w:rPr>
              <w:t xml:space="preserve">Evans </w:t>
            </w:r>
            <w:r w:rsidR="008F296A">
              <w:rPr>
                <w:color w:val="222222"/>
                <w:sz w:val="20"/>
                <w:szCs w:val="20"/>
              </w:rPr>
              <w:t xml:space="preserve">&amp; </w:t>
            </w:r>
            <w:r>
              <w:rPr>
                <w:color w:val="222222"/>
                <w:sz w:val="20"/>
                <w:szCs w:val="20"/>
              </w:rPr>
              <w:t>Borsuk-</w:t>
            </w:r>
            <w:proofErr w:type="spellStart"/>
            <w:r>
              <w:rPr>
                <w:color w:val="222222"/>
                <w:sz w:val="20"/>
                <w:szCs w:val="20"/>
              </w:rPr>
              <w:t>Bialynicka</w:t>
            </w:r>
            <w:proofErr w:type="spellEnd"/>
            <w:r>
              <w:rPr>
                <w:color w:val="222222"/>
                <w:sz w:val="20"/>
                <w:szCs w:val="20"/>
              </w:rPr>
              <w:t>, 1989</w:t>
            </w:r>
          </w:p>
        </w:tc>
        <w:tc>
          <w:tcPr>
            <w:tcW w:w="1446" w:type="dxa"/>
            <w:tcBorders>
              <w:top w:val="single" w:sz="4" w:space="0" w:color="auto"/>
              <w:left w:val="single" w:sz="4" w:space="0" w:color="auto"/>
              <w:bottom w:val="single" w:sz="4" w:space="0" w:color="auto"/>
              <w:right w:val="single" w:sz="4" w:space="0" w:color="auto"/>
            </w:tcBorders>
            <w:hideMark/>
          </w:tcPr>
          <w:p w14:paraId="22299D17" w14:textId="77777777" w:rsidR="00C4602C" w:rsidRDefault="00C4602C" w:rsidP="0017085C">
            <w:pPr>
              <w:jc w:val="center"/>
              <w:rPr>
                <w:color w:val="222222"/>
                <w:sz w:val="20"/>
                <w:szCs w:val="20"/>
              </w:rPr>
            </w:pPr>
            <w:proofErr w:type="spellStart"/>
            <w:r>
              <w:rPr>
                <w:color w:val="222222"/>
                <w:sz w:val="20"/>
                <w:szCs w:val="20"/>
              </w:rPr>
              <w:t>Olenekian</w:t>
            </w:r>
            <w:proofErr w:type="spellEnd"/>
          </w:p>
          <w:p w14:paraId="317C392C" w14:textId="77777777" w:rsidR="00C4602C" w:rsidRDefault="00C4602C" w:rsidP="0017085C">
            <w:pPr>
              <w:jc w:val="center"/>
              <w:rPr>
                <w:color w:val="222222"/>
                <w:sz w:val="20"/>
                <w:szCs w:val="20"/>
              </w:rPr>
            </w:pPr>
            <w:r>
              <w:rPr>
                <w:color w:val="222222"/>
                <w:sz w:val="20"/>
                <w:szCs w:val="20"/>
              </w:rPr>
              <w:t>251.3 to 247.2 Ma</w:t>
            </w:r>
          </w:p>
        </w:tc>
        <w:tc>
          <w:tcPr>
            <w:tcW w:w="1469" w:type="dxa"/>
            <w:tcBorders>
              <w:top w:val="single" w:sz="4" w:space="0" w:color="auto"/>
              <w:left w:val="single" w:sz="4" w:space="0" w:color="auto"/>
              <w:bottom w:val="single" w:sz="4" w:space="0" w:color="auto"/>
              <w:right w:val="single" w:sz="4" w:space="0" w:color="auto"/>
            </w:tcBorders>
            <w:hideMark/>
          </w:tcPr>
          <w:p w14:paraId="05AA2135" w14:textId="77777777" w:rsidR="00C4602C" w:rsidRDefault="00C4602C" w:rsidP="0017085C">
            <w:pPr>
              <w:jc w:val="center"/>
              <w:rPr>
                <w:color w:val="222222"/>
                <w:sz w:val="20"/>
                <w:szCs w:val="20"/>
              </w:rPr>
            </w:pPr>
            <w:proofErr w:type="spellStart"/>
            <w:r>
              <w:rPr>
                <w:color w:val="222222"/>
                <w:sz w:val="20"/>
                <w:szCs w:val="20"/>
              </w:rPr>
              <w:t>Malopolskie</w:t>
            </w:r>
            <w:proofErr w:type="spellEnd"/>
            <w:r>
              <w:rPr>
                <w:color w:val="222222"/>
                <w:sz w:val="20"/>
                <w:szCs w:val="20"/>
              </w:rPr>
              <w:t>, Poland</w:t>
            </w:r>
          </w:p>
        </w:tc>
        <w:tc>
          <w:tcPr>
            <w:tcW w:w="1817" w:type="dxa"/>
            <w:tcBorders>
              <w:top w:val="single" w:sz="4" w:space="0" w:color="auto"/>
              <w:left w:val="single" w:sz="4" w:space="0" w:color="auto"/>
              <w:bottom w:val="single" w:sz="4" w:space="0" w:color="auto"/>
              <w:right w:val="single" w:sz="4" w:space="0" w:color="auto"/>
            </w:tcBorders>
            <w:hideMark/>
          </w:tcPr>
          <w:p w14:paraId="6AC8A805" w14:textId="77777777" w:rsidR="00C4602C" w:rsidRDefault="00C4602C" w:rsidP="0017085C">
            <w:pPr>
              <w:rPr>
                <w:color w:val="222222"/>
                <w:sz w:val="20"/>
                <w:szCs w:val="20"/>
              </w:rPr>
            </w:pPr>
            <w:r>
              <w:rPr>
                <w:color w:val="222222"/>
                <w:sz w:val="20"/>
                <w:szCs w:val="20"/>
              </w:rPr>
              <w:t>Northern Pangaea</w:t>
            </w:r>
          </w:p>
        </w:tc>
        <w:tc>
          <w:tcPr>
            <w:tcW w:w="1567" w:type="dxa"/>
            <w:tcBorders>
              <w:top w:val="single" w:sz="4" w:space="0" w:color="auto"/>
              <w:left w:val="single" w:sz="4" w:space="0" w:color="auto"/>
              <w:bottom w:val="single" w:sz="4" w:space="0" w:color="auto"/>
              <w:right w:val="single" w:sz="4" w:space="0" w:color="auto"/>
            </w:tcBorders>
            <w:hideMark/>
          </w:tcPr>
          <w:p w14:paraId="2EE2C9BE" w14:textId="77777777" w:rsidR="00C4602C" w:rsidRDefault="00C4602C" w:rsidP="0017085C">
            <w:pPr>
              <w:jc w:val="center"/>
              <w:rPr>
                <w:color w:val="222222"/>
                <w:sz w:val="20"/>
                <w:szCs w:val="20"/>
              </w:rPr>
            </w:pPr>
            <w:r>
              <w:rPr>
                <w:color w:val="222222"/>
                <w:sz w:val="20"/>
                <w:szCs w:val="20"/>
              </w:rPr>
              <w:t xml:space="preserve">~18° N </w:t>
            </w:r>
          </w:p>
        </w:tc>
      </w:tr>
      <w:tr w:rsidR="00F36C83" w14:paraId="7ED0ABFA" w14:textId="77777777" w:rsidTr="00662B68">
        <w:trPr>
          <w:trHeight w:val="230"/>
        </w:trPr>
        <w:tc>
          <w:tcPr>
            <w:tcW w:w="323" w:type="dxa"/>
            <w:tcBorders>
              <w:top w:val="single" w:sz="4" w:space="0" w:color="auto"/>
              <w:left w:val="single" w:sz="4" w:space="0" w:color="auto"/>
              <w:bottom w:val="single" w:sz="4" w:space="0" w:color="auto"/>
              <w:right w:val="single" w:sz="4" w:space="0" w:color="auto"/>
            </w:tcBorders>
          </w:tcPr>
          <w:p w14:paraId="50A38D07" w14:textId="77777777" w:rsidR="00C4602C" w:rsidRPr="001C2B1A" w:rsidRDefault="00C4602C" w:rsidP="0017085C">
            <w:pPr>
              <w:rPr>
                <w:color w:val="222222"/>
                <w:sz w:val="20"/>
                <w:szCs w:val="20"/>
              </w:rPr>
            </w:pPr>
            <w:r>
              <w:rPr>
                <w:color w:val="222222"/>
                <w:sz w:val="20"/>
                <w:szCs w:val="20"/>
              </w:rPr>
              <w:t>3</w:t>
            </w:r>
          </w:p>
        </w:tc>
        <w:tc>
          <w:tcPr>
            <w:tcW w:w="1604" w:type="dxa"/>
            <w:tcBorders>
              <w:top w:val="single" w:sz="4" w:space="0" w:color="auto"/>
              <w:left w:val="single" w:sz="4" w:space="0" w:color="auto"/>
              <w:bottom w:val="single" w:sz="4" w:space="0" w:color="auto"/>
              <w:right w:val="single" w:sz="4" w:space="0" w:color="auto"/>
            </w:tcBorders>
            <w:hideMark/>
          </w:tcPr>
          <w:p w14:paraId="2D661425" w14:textId="77777777" w:rsidR="00C4602C" w:rsidRDefault="00C4602C" w:rsidP="0017085C">
            <w:pPr>
              <w:rPr>
                <w:color w:val="222222"/>
                <w:sz w:val="20"/>
                <w:szCs w:val="20"/>
              </w:rPr>
            </w:pPr>
            <w:r w:rsidRPr="00214057">
              <w:rPr>
                <w:i/>
                <w:iCs/>
                <w:color w:val="222222"/>
                <w:sz w:val="20"/>
                <w:szCs w:val="20"/>
              </w:rPr>
              <w:t>Triassurus sixtelae</w:t>
            </w:r>
          </w:p>
        </w:tc>
        <w:tc>
          <w:tcPr>
            <w:tcW w:w="1261" w:type="dxa"/>
            <w:tcBorders>
              <w:top w:val="single" w:sz="4" w:space="0" w:color="auto"/>
              <w:left w:val="single" w:sz="4" w:space="0" w:color="auto"/>
              <w:bottom w:val="single" w:sz="4" w:space="0" w:color="auto"/>
              <w:right w:val="single" w:sz="4" w:space="0" w:color="auto"/>
            </w:tcBorders>
            <w:hideMark/>
          </w:tcPr>
          <w:p w14:paraId="401F97AC" w14:textId="77777777" w:rsidR="00C4602C" w:rsidRDefault="00C4602C" w:rsidP="0017085C">
            <w:pPr>
              <w:rPr>
                <w:color w:val="222222"/>
                <w:sz w:val="20"/>
                <w:szCs w:val="20"/>
              </w:rPr>
            </w:pPr>
            <w:r>
              <w:rPr>
                <w:color w:val="222222"/>
                <w:sz w:val="20"/>
                <w:szCs w:val="20"/>
              </w:rPr>
              <w:t>Schoch et al., 2020</w:t>
            </w:r>
          </w:p>
        </w:tc>
        <w:tc>
          <w:tcPr>
            <w:tcW w:w="1446" w:type="dxa"/>
            <w:tcBorders>
              <w:top w:val="single" w:sz="4" w:space="0" w:color="auto"/>
              <w:left w:val="single" w:sz="4" w:space="0" w:color="auto"/>
              <w:bottom w:val="single" w:sz="4" w:space="0" w:color="auto"/>
              <w:right w:val="single" w:sz="4" w:space="0" w:color="auto"/>
            </w:tcBorders>
            <w:hideMark/>
          </w:tcPr>
          <w:p w14:paraId="170A7F39" w14:textId="77777777" w:rsidR="00C4602C" w:rsidRDefault="00C4602C" w:rsidP="0017085C">
            <w:pPr>
              <w:jc w:val="center"/>
              <w:rPr>
                <w:color w:val="222222"/>
                <w:sz w:val="20"/>
                <w:szCs w:val="20"/>
              </w:rPr>
            </w:pPr>
            <w:r>
              <w:rPr>
                <w:color w:val="222222"/>
                <w:sz w:val="20"/>
                <w:szCs w:val="20"/>
              </w:rPr>
              <w:t>Ladinian</w:t>
            </w:r>
          </w:p>
          <w:p w14:paraId="08BF6A1A" w14:textId="77777777" w:rsidR="00C4602C" w:rsidRDefault="00C4602C" w:rsidP="0017085C">
            <w:pPr>
              <w:jc w:val="center"/>
              <w:rPr>
                <w:color w:val="222222"/>
                <w:sz w:val="20"/>
                <w:szCs w:val="20"/>
              </w:rPr>
            </w:pPr>
            <w:r>
              <w:rPr>
                <w:color w:val="222222"/>
                <w:sz w:val="20"/>
                <w:szCs w:val="20"/>
              </w:rPr>
              <w:t>242.0 – 221.5 Ma</w:t>
            </w:r>
          </w:p>
        </w:tc>
        <w:tc>
          <w:tcPr>
            <w:tcW w:w="1469" w:type="dxa"/>
            <w:tcBorders>
              <w:top w:val="single" w:sz="4" w:space="0" w:color="auto"/>
              <w:left w:val="single" w:sz="4" w:space="0" w:color="auto"/>
              <w:bottom w:val="single" w:sz="4" w:space="0" w:color="auto"/>
              <w:right w:val="single" w:sz="4" w:space="0" w:color="auto"/>
            </w:tcBorders>
            <w:hideMark/>
          </w:tcPr>
          <w:p w14:paraId="32562A5C" w14:textId="77777777" w:rsidR="00C4602C" w:rsidRDefault="00C4602C" w:rsidP="0017085C">
            <w:pPr>
              <w:jc w:val="center"/>
              <w:rPr>
                <w:color w:val="222222"/>
                <w:sz w:val="20"/>
                <w:szCs w:val="20"/>
              </w:rPr>
            </w:pPr>
            <w:proofErr w:type="spellStart"/>
            <w:r>
              <w:rPr>
                <w:color w:val="222222"/>
                <w:sz w:val="20"/>
                <w:szCs w:val="20"/>
              </w:rPr>
              <w:t>Batken</w:t>
            </w:r>
            <w:proofErr w:type="spellEnd"/>
            <w:r>
              <w:rPr>
                <w:color w:val="222222"/>
                <w:sz w:val="20"/>
                <w:szCs w:val="20"/>
              </w:rPr>
              <w:t xml:space="preserve">, </w:t>
            </w:r>
            <w:proofErr w:type="spellStart"/>
            <w:r>
              <w:rPr>
                <w:color w:val="222222"/>
                <w:sz w:val="20"/>
                <w:szCs w:val="20"/>
              </w:rPr>
              <w:t>Kyrgystan</w:t>
            </w:r>
            <w:proofErr w:type="spellEnd"/>
          </w:p>
        </w:tc>
        <w:tc>
          <w:tcPr>
            <w:tcW w:w="1817" w:type="dxa"/>
            <w:tcBorders>
              <w:top w:val="single" w:sz="4" w:space="0" w:color="auto"/>
              <w:left w:val="single" w:sz="4" w:space="0" w:color="auto"/>
              <w:bottom w:val="single" w:sz="4" w:space="0" w:color="auto"/>
              <w:right w:val="single" w:sz="4" w:space="0" w:color="auto"/>
            </w:tcBorders>
            <w:hideMark/>
          </w:tcPr>
          <w:p w14:paraId="2EA3C6C4" w14:textId="77777777" w:rsidR="00C4602C" w:rsidRDefault="00C4602C" w:rsidP="0017085C">
            <w:pPr>
              <w:rPr>
                <w:color w:val="222222"/>
                <w:sz w:val="20"/>
                <w:szCs w:val="20"/>
              </w:rPr>
            </w:pPr>
            <w:r>
              <w:rPr>
                <w:color w:val="222222"/>
                <w:sz w:val="20"/>
                <w:szCs w:val="20"/>
              </w:rPr>
              <w:t>Northern Pangaea</w:t>
            </w:r>
          </w:p>
        </w:tc>
        <w:tc>
          <w:tcPr>
            <w:tcW w:w="1567" w:type="dxa"/>
            <w:tcBorders>
              <w:top w:val="single" w:sz="4" w:space="0" w:color="auto"/>
              <w:left w:val="single" w:sz="4" w:space="0" w:color="auto"/>
              <w:bottom w:val="single" w:sz="4" w:space="0" w:color="auto"/>
              <w:right w:val="single" w:sz="4" w:space="0" w:color="auto"/>
            </w:tcBorders>
            <w:hideMark/>
          </w:tcPr>
          <w:p w14:paraId="5C0D21A5" w14:textId="77777777" w:rsidR="00C4602C" w:rsidRDefault="00C4602C" w:rsidP="0017085C">
            <w:pPr>
              <w:jc w:val="center"/>
              <w:rPr>
                <w:color w:val="222222"/>
                <w:sz w:val="20"/>
                <w:szCs w:val="20"/>
              </w:rPr>
            </w:pPr>
            <w:r>
              <w:rPr>
                <w:color w:val="222222"/>
                <w:sz w:val="20"/>
                <w:szCs w:val="20"/>
              </w:rPr>
              <w:t>~40° N</w:t>
            </w:r>
          </w:p>
        </w:tc>
      </w:tr>
      <w:tr w:rsidR="00F36C83" w14:paraId="6A3E63D4" w14:textId="77777777" w:rsidTr="00662B68">
        <w:trPr>
          <w:trHeight w:val="230"/>
        </w:trPr>
        <w:tc>
          <w:tcPr>
            <w:tcW w:w="323" w:type="dxa"/>
            <w:tcBorders>
              <w:top w:val="single" w:sz="4" w:space="0" w:color="auto"/>
              <w:left w:val="single" w:sz="4" w:space="0" w:color="auto"/>
              <w:bottom w:val="single" w:sz="4" w:space="0" w:color="auto"/>
              <w:right w:val="single" w:sz="4" w:space="0" w:color="auto"/>
            </w:tcBorders>
          </w:tcPr>
          <w:p w14:paraId="26628B62" w14:textId="77777777" w:rsidR="00C4602C" w:rsidRDefault="00C4602C" w:rsidP="0017085C">
            <w:pPr>
              <w:rPr>
                <w:color w:val="222222"/>
                <w:sz w:val="20"/>
                <w:szCs w:val="20"/>
              </w:rPr>
            </w:pPr>
            <w:r>
              <w:rPr>
                <w:color w:val="222222"/>
                <w:sz w:val="20"/>
                <w:szCs w:val="20"/>
              </w:rPr>
              <w:t>4</w:t>
            </w:r>
          </w:p>
        </w:tc>
        <w:tc>
          <w:tcPr>
            <w:tcW w:w="1604" w:type="dxa"/>
            <w:tcBorders>
              <w:top w:val="single" w:sz="4" w:space="0" w:color="auto"/>
              <w:left w:val="single" w:sz="4" w:space="0" w:color="auto"/>
              <w:bottom w:val="single" w:sz="4" w:space="0" w:color="auto"/>
              <w:right w:val="single" w:sz="4" w:space="0" w:color="auto"/>
            </w:tcBorders>
          </w:tcPr>
          <w:p w14:paraId="2D8A084B" w14:textId="77777777" w:rsidR="00C4602C" w:rsidRDefault="00C4602C" w:rsidP="0017085C">
            <w:pPr>
              <w:rPr>
                <w:color w:val="222222"/>
                <w:sz w:val="20"/>
                <w:szCs w:val="20"/>
              </w:rPr>
            </w:pPr>
            <w:r>
              <w:rPr>
                <w:color w:val="222222"/>
                <w:sz w:val="20"/>
                <w:szCs w:val="20"/>
              </w:rPr>
              <w:t>Batrachia indet.</w:t>
            </w:r>
          </w:p>
        </w:tc>
        <w:tc>
          <w:tcPr>
            <w:tcW w:w="1261" w:type="dxa"/>
            <w:tcBorders>
              <w:top w:val="single" w:sz="4" w:space="0" w:color="auto"/>
              <w:left w:val="single" w:sz="4" w:space="0" w:color="auto"/>
              <w:bottom w:val="single" w:sz="4" w:space="0" w:color="auto"/>
              <w:right w:val="single" w:sz="4" w:space="0" w:color="auto"/>
            </w:tcBorders>
          </w:tcPr>
          <w:p w14:paraId="236CE8FC" w14:textId="77777777" w:rsidR="00C4602C" w:rsidRDefault="00C4602C" w:rsidP="0017085C">
            <w:pPr>
              <w:rPr>
                <w:color w:val="222222"/>
                <w:sz w:val="20"/>
                <w:szCs w:val="20"/>
              </w:rPr>
            </w:pPr>
            <w:r>
              <w:rPr>
                <w:color w:val="222222"/>
                <w:sz w:val="20"/>
                <w:szCs w:val="20"/>
              </w:rPr>
              <w:t>Heckert et al., 2012</w:t>
            </w:r>
          </w:p>
        </w:tc>
        <w:tc>
          <w:tcPr>
            <w:tcW w:w="1446" w:type="dxa"/>
            <w:tcBorders>
              <w:top w:val="single" w:sz="4" w:space="0" w:color="auto"/>
              <w:left w:val="single" w:sz="4" w:space="0" w:color="auto"/>
              <w:bottom w:val="single" w:sz="4" w:space="0" w:color="auto"/>
              <w:right w:val="single" w:sz="4" w:space="0" w:color="auto"/>
            </w:tcBorders>
          </w:tcPr>
          <w:p w14:paraId="2432C6D1" w14:textId="77777777" w:rsidR="00C4602C" w:rsidRDefault="00C4602C" w:rsidP="0017085C">
            <w:pPr>
              <w:jc w:val="center"/>
              <w:rPr>
                <w:color w:val="222222"/>
                <w:sz w:val="20"/>
                <w:szCs w:val="20"/>
              </w:rPr>
            </w:pPr>
            <w:r>
              <w:rPr>
                <w:color w:val="222222"/>
                <w:sz w:val="20"/>
                <w:szCs w:val="20"/>
              </w:rPr>
              <w:t>Norian</w:t>
            </w:r>
          </w:p>
          <w:p w14:paraId="4B020D67" w14:textId="77777777" w:rsidR="00C4602C" w:rsidRDefault="00C4602C" w:rsidP="0017085C">
            <w:pPr>
              <w:jc w:val="center"/>
              <w:rPr>
                <w:color w:val="222222"/>
                <w:sz w:val="20"/>
                <w:szCs w:val="20"/>
              </w:rPr>
            </w:pPr>
            <w:r>
              <w:rPr>
                <w:color w:val="222222"/>
                <w:sz w:val="20"/>
                <w:szCs w:val="20"/>
              </w:rPr>
              <w:t>~225 Ma (</w:t>
            </w:r>
            <w:r w:rsidRPr="00402EDD">
              <w:rPr>
                <w:color w:val="222222"/>
                <w:sz w:val="20"/>
                <w:szCs w:val="20"/>
              </w:rPr>
              <w:t>Whiteside et al., 2011).</w:t>
            </w:r>
          </w:p>
        </w:tc>
        <w:tc>
          <w:tcPr>
            <w:tcW w:w="1469" w:type="dxa"/>
            <w:tcBorders>
              <w:top w:val="single" w:sz="4" w:space="0" w:color="auto"/>
              <w:left w:val="single" w:sz="4" w:space="0" w:color="auto"/>
              <w:bottom w:val="single" w:sz="4" w:space="0" w:color="auto"/>
              <w:right w:val="single" w:sz="4" w:space="0" w:color="auto"/>
            </w:tcBorders>
          </w:tcPr>
          <w:p w14:paraId="28C8FB37" w14:textId="77777777" w:rsidR="00C4602C" w:rsidRDefault="00C4602C" w:rsidP="0017085C">
            <w:pPr>
              <w:jc w:val="center"/>
              <w:rPr>
                <w:color w:val="222222"/>
                <w:sz w:val="20"/>
                <w:szCs w:val="20"/>
              </w:rPr>
            </w:pPr>
            <w:r>
              <w:rPr>
                <w:color w:val="222222"/>
                <w:sz w:val="20"/>
                <w:szCs w:val="20"/>
              </w:rPr>
              <w:t>North Carolina, USA</w:t>
            </w:r>
          </w:p>
        </w:tc>
        <w:tc>
          <w:tcPr>
            <w:tcW w:w="1817" w:type="dxa"/>
            <w:tcBorders>
              <w:top w:val="single" w:sz="4" w:space="0" w:color="auto"/>
              <w:left w:val="single" w:sz="4" w:space="0" w:color="auto"/>
              <w:bottom w:val="single" w:sz="4" w:space="0" w:color="auto"/>
              <w:right w:val="single" w:sz="4" w:space="0" w:color="auto"/>
            </w:tcBorders>
          </w:tcPr>
          <w:p w14:paraId="415A3BCE" w14:textId="77777777" w:rsidR="00C4602C" w:rsidRDefault="00C4602C" w:rsidP="0017085C">
            <w:pPr>
              <w:rPr>
                <w:color w:val="222222"/>
                <w:sz w:val="20"/>
                <w:szCs w:val="20"/>
              </w:rPr>
            </w:pPr>
            <w:r>
              <w:rPr>
                <w:color w:val="222222"/>
                <w:sz w:val="20"/>
                <w:szCs w:val="20"/>
              </w:rPr>
              <w:t>Equatorial Pangaea</w:t>
            </w:r>
          </w:p>
        </w:tc>
        <w:tc>
          <w:tcPr>
            <w:tcW w:w="1567" w:type="dxa"/>
            <w:tcBorders>
              <w:top w:val="single" w:sz="4" w:space="0" w:color="auto"/>
              <w:left w:val="single" w:sz="4" w:space="0" w:color="auto"/>
              <w:bottom w:val="single" w:sz="4" w:space="0" w:color="auto"/>
              <w:right w:val="single" w:sz="4" w:space="0" w:color="auto"/>
            </w:tcBorders>
          </w:tcPr>
          <w:p w14:paraId="3DB52AF9" w14:textId="77777777" w:rsidR="00C4602C" w:rsidRDefault="00C4602C" w:rsidP="0017085C">
            <w:pPr>
              <w:jc w:val="center"/>
              <w:rPr>
                <w:color w:val="222222"/>
                <w:sz w:val="20"/>
                <w:szCs w:val="20"/>
              </w:rPr>
            </w:pPr>
            <w:r>
              <w:rPr>
                <w:color w:val="222222"/>
                <w:sz w:val="20"/>
                <w:szCs w:val="20"/>
              </w:rPr>
              <w:t>~10° N</w:t>
            </w:r>
          </w:p>
        </w:tc>
      </w:tr>
      <w:tr w:rsidR="00F36C83" w14:paraId="62FDCF44" w14:textId="77777777" w:rsidTr="00662B68">
        <w:trPr>
          <w:trHeight w:val="230"/>
        </w:trPr>
        <w:tc>
          <w:tcPr>
            <w:tcW w:w="323" w:type="dxa"/>
            <w:tcBorders>
              <w:top w:val="single" w:sz="4" w:space="0" w:color="auto"/>
              <w:left w:val="single" w:sz="4" w:space="0" w:color="auto"/>
              <w:bottom w:val="single" w:sz="4" w:space="0" w:color="auto"/>
              <w:right w:val="single" w:sz="4" w:space="0" w:color="auto"/>
            </w:tcBorders>
          </w:tcPr>
          <w:p w14:paraId="76889FE4" w14:textId="77777777" w:rsidR="00C4602C" w:rsidRDefault="00C4602C" w:rsidP="0017085C">
            <w:pPr>
              <w:rPr>
                <w:color w:val="222222"/>
                <w:sz w:val="20"/>
                <w:szCs w:val="20"/>
              </w:rPr>
            </w:pPr>
            <w:r>
              <w:rPr>
                <w:color w:val="222222"/>
                <w:sz w:val="20"/>
                <w:szCs w:val="20"/>
              </w:rPr>
              <w:t>5</w:t>
            </w:r>
          </w:p>
        </w:tc>
        <w:tc>
          <w:tcPr>
            <w:tcW w:w="1604" w:type="dxa"/>
            <w:tcBorders>
              <w:top w:val="single" w:sz="4" w:space="0" w:color="auto"/>
              <w:left w:val="single" w:sz="4" w:space="0" w:color="auto"/>
              <w:bottom w:val="single" w:sz="4" w:space="0" w:color="auto"/>
              <w:right w:val="single" w:sz="4" w:space="0" w:color="auto"/>
            </w:tcBorders>
            <w:hideMark/>
          </w:tcPr>
          <w:p w14:paraId="726AF2E6" w14:textId="77777777" w:rsidR="00C4602C" w:rsidRDefault="00C4602C" w:rsidP="0017085C">
            <w:pPr>
              <w:rPr>
                <w:color w:val="222222"/>
                <w:sz w:val="20"/>
                <w:szCs w:val="20"/>
              </w:rPr>
            </w:pPr>
            <w:r>
              <w:rPr>
                <w:color w:val="222222"/>
                <w:sz w:val="20"/>
                <w:szCs w:val="20"/>
              </w:rPr>
              <w:t>Salientia indet.</w:t>
            </w:r>
          </w:p>
        </w:tc>
        <w:tc>
          <w:tcPr>
            <w:tcW w:w="1261" w:type="dxa"/>
            <w:tcBorders>
              <w:top w:val="single" w:sz="4" w:space="0" w:color="auto"/>
              <w:left w:val="single" w:sz="4" w:space="0" w:color="auto"/>
              <w:bottom w:val="single" w:sz="4" w:space="0" w:color="auto"/>
              <w:right w:val="single" w:sz="4" w:space="0" w:color="auto"/>
            </w:tcBorders>
            <w:hideMark/>
          </w:tcPr>
          <w:p w14:paraId="0BF5522D" w14:textId="77777777" w:rsidR="00C4602C" w:rsidRDefault="00C4602C" w:rsidP="0017085C">
            <w:pPr>
              <w:rPr>
                <w:color w:val="222222"/>
                <w:sz w:val="20"/>
                <w:szCs w:val="20"/>
              </w:rPr>
            </w:pPr>
            <w:r>
              <w:rPr>
                <w:color w:val="222222"/>
                <w:sz w:val="20"/>
                <w:szCs w:val="20"/>
              </w:rPr>
              <w:t>Stocker et al., 2019</w:t>
            </w:r>
          </w:p>
        </w:tc>
        <w:tc>
          <w:tcPr>
            <w:tcW w:w="1446" w:type="dxa"/>
            <w:tcBorders>
              <w:top w:val="single" w:sz="4" w:space="0" w:color="auto"/>
              <w:left w:val="single" w:sz="4" w:space="0" w:color="auto"/>
              <w:bottom w:val="single" w:sz="4" w:space="0" w:color="auto"/>
              <w:right w:val="single" w:sz="4" w:space="0" w:color="auto"/>
            </w:tcBorders>
            <w:hideMark/>
          </w:tcPr>
          <w:p w14:paraId="5D5E3C1F" w14:textId="77777777" w:rsidR="00C4602C" w:rsidRDefault="00C4602C" w:rsidP="0017085C">
            <w:pPr>
              <w:jc w:val="center"/>
              <w:rPr>
                <w:color w:val="222222"/>
                <w:sz w:val="20"/>
                <w:szCs w:val="20"/>
              </w:rPr>
            </w:pPr>
            <w:r>
              <w:rPr>
                <w:color w:val="222222"/>
                <w:sz w:val="20"/>
                <w:szCs w:val="20"/>
              </w:rPr>
              <w:t>Norian</w:t>
            </w:r>
          </w:p>
          <w:p w14:paraId="03355ED0" w14:textId="11281B10" w:rsidR="00C4602C" w:rsidRDefault="00C4602C" w:rsidP="0017085C">
            <w:pPr>
              <w:jc w:val="center"/>
              <w:rPr>
                <w:color w:val="222222"/>
                <w:sz w:val="20"/>
                <w:szCs w:val="20"/>
              </w:rPr>
            </w:pPr>
            <w:r w:rsidRPr="00214057">
              <w:rPr>
                <w:color w:val="222222"/>
                <w:sz w:val="20"/>
                <w:szCs w:val="20"/>
              </w:rPr>
              <w:t xml:space="preserve">223.036 ± 0.059 </w:t>
            </w:r>
            <w:r>
              <w:rPr>
                <w:color w:val="222222"/>
                <w:sz w:val="20"/>
                <w:szCs w:val="20"/>
              </w:rPr>
              <w:t>-</w:t>
            </w:r>
            <w:r w:rsidRPr="00214057">
              <w:rPr>
                <w:color w:val="222222"/>
                <w:sz w:val="20"/>
                <w:szCs w:val="20"/>
              </w:rPr>
              <w:t xml:space="preserve"> 220.123 ± 0.068 Ma</w:t>
            </w:r>
            <w:r>
              <w:rPr>
                <w:color w:val="222222"/>
                <w:sz w:val="20"/>
                <w:szCs w:val="20"/>
              </w:rPr>
              <w:t xml:space="preserve"> (</w:t>
            </w:r>
            <w:proofErr w:type="spellStart"/>
            <w:r>
              <w:rPr>
                <w:color w:val="222222"/>
                <w:sz w:val="20"/>
                <w:szCs w:val="20"/>
              </w:rPr>
              <w:t>Ramezani</w:t>
            </w:r>
            <w:proofErr w:type="spellEnd"/>
            <w:r>
              <w:rPr>
                <w:color w:val="222222"/>
                <w:sz w:val="20"/>
                <w:szCs w:val="20"/>
              </w:rPr>
              <w:t xml:space="preserve"> et al., 201</w:t>
            </w:r>
            <w:r w:rsidR="007B6572">
              <w:rPr>
                <w:color w:val="222222"/>
                <w:sz w:val="20"/>
                <w:szCs w:val="20"/>
              </w:rPr>
              <w:t>1</w:t>
            </w:r>
            <w:r>
              <w:rPr>
                <w:color w:val="222222"/>
                <w:sz w:val="20"/>
                <w:szCs w:val="20"/>
              </w:rPr>
              <w:t xml:space="preserve">) </w:t>
            </w:r>
          </w:p>
        </w:tc>
        <w:tc>
          <w:tcPr>
            <w:tcW w:w="1469" w:type="dxa"/>
            <w:tcBorders>
              <w:top w:val="single" w:sz="4" w:space="0" w:color="auto"/>
              <w:left w:val="single" w:sz="4" w:space="0" w:color="auto"/>
              <w:bottom w:val="single" w:sz="4" w:space="0" w:color="auto"/>
              <w:right w:val="single" w:sz="4" w:space="0" w:color="auto"/>
            </w:tcBorders>
            <w:hideMark/>
          </w:tcPr>
          <w:p w14:paraId="3182F41B" w14:textId="77777777" w:rsidR="00C4602C" w:rsidRDefault="00C4602C" w:rsidP="0017085C">
            <w:pPr>
              <w:jc w:val="center"/>
              <w:rPr>
                <w:color w:val="222222"/>
                <w:sz w:val="20"/>
                <w:szCs w:val="20"/>
              </w:rPr>
            </w:pPr>
            <w:r>
              <w:rPr>
                <w:color w:val="222222"/>
                <w:sz w:val="20"/>
                <w:szCs w:val="20"/>
              </w:rPr>
              <w:t>Arizona, USA</w:t>
            </w:r>
          </w:p>
        </w:tc>
        <w:tc>
          <w:tcPr>
            <w:tcW w:w="1817" w:type="dxa"/>
            <w:tcBorders>
              <w:top w:val="single" w:sz="4" w:space="0" w:color="auto"/>
              <w:left w:val="single" w:sz="4" w:space="0" w:color="auto"/>
              <w:bottom w:val="single" w:sz="4" w:space="0" w:color="auto"/>
              <w:right w:val="single" w:sz="4" w:space="0" w:color="auto"/>
            </w:tcBorders>
            <w:hideMark/>
          </w:tcPr>
          <w:p w14:paraId="07DB7F8A" w14:textId="77777777" w:rsidR="00C4602C" w:rsidRDefault="00C4602C" w:rsidP="0017085C">
            <w:pPr>
              <w:rPr>
                <w:color w:val="222222"/>
                <w:sz w:val="20"/>
                <w:szCs w:val="20"/>
              </w:rPr>
            </w:pPr>
            <w:r>
              <w:rPr>
                <w:color w:val="222222"/>
                <w:sz w:val="20"/>
                <w:szCs w:val="20"/>
              </w:rPr>
              <w:t>Equatorial Pangaea</w:t>
            </w:r>
          </w:p>
        </w:tc>
        <w:tc>
          <w:tcPr>
            <w:tcW w:w="1567" w:type="dxa"/>
            <w:tcBorders>
              <w:top w:val="single" w:sz="4" w:space="0" w:color="auto"/>
              <w:left w:val="single" w:sz="4" w:space="0" w:color="auto"/>
              <w:bottom w:val="single" w:sz="4" w:space="0" w:color="auto"/>
              <w:right w:val="single" w:sz="4" w:space="0" w:color="auto"/>
            </w:tcBorders>
            <w:hideMark/>
          </w:tcPr>
          <w:p w14:paraId="0AB87F71" w14:textId="4903F14C" w:rsidR="00C4602C" w:rsidRDefault="00C4602C" w:rsidP="0017085C">
            <w:pPr>
              <w:jc w:val="center"/>
              <w:rPr>
                <w:color w:val="222222"/>
                <w:sz w:val="20"/>
                <w:szCs w:val="20"/>
              </w:rPr>
            </w:pPr>
            <w:r>
              <w:rPr>
                <w:color w:val="222222"/>
                <w:sz w:val="20"/>
                <w:szCs w:val="20"/>
              </w:rPr>
              <w:t xml:space="preserve">~6° N (Kent </w:t>
            </w:r>
            <w:r w:rsidR="008F296A">
              <w:rPr>
                <w:color w:val="222222"/>
                <w:sz w:val="20"/>
                <w:szCs w:val="20"/>
              </w:rPr>
              <w:t xml:space="preserve">&amp; </w:t>
            </w:r>
            <w:r>
              <w:rPr>
                <w:color w:val="222222"/>
                <w:sz w:val="20"/>
                <w:szCs w:val="20"/>
              </w:rPr>
              <w:t>Irving, 2010)</w:t>
            </w:r>
          </w:p>
        </w:tc>
      </w:tr>
      <w:tr w:rsidR="00F36C83" w14:paraId="28C74B36" w14:textId="77777777" w:rsidTr="00662B68">
        <w:trPr>
          <w:trHeight w:val="230"/>
        </w:trPr>
        <w:tc>
          <w:tcPr>
            <w:tcW w:w="323" w:type="dxa"/>
            <w:tcBorders>
              <w:top w:val="single" w:sz="4" w:space="0" w:color="auto"/>
              <w:left w:val="single" w:sz="4" w:space="0" w:color="auto"/>
              <w:bottom w:val="single" w:sz="4" w:space="0" w:color="auto"/>
              <w:right w:val="single" w:sz="4" w:space="0" w:color="auto"/>
            </w:tcBorders>
          </w:tcPr>
          <w:p w14:paraId="3E054CE7" w14:textId="77777777" w:rsidR="00C4602C" w:rsidRDefault="00C4602C" w:rsidP="0017085C">
            <w:pPr>
              <w:rPr>
                <w:color w:val="222222"/>
                <w:sz w:val="20"/>
                <w:szCs w:val="20"/>
              </w:rPr>
            </w:pPr>
            <w:r>
              <w:rPr>
                <w:color w:val="222222"/>
                <w:sz w:val="20"/>
                <w:szCs w:val="20"/>
              </w:rPr>
              <w:t>6</w:t>
            </w:r>
          </w:p>
        </w:tc>
        <w:tc>
          <w:tcPr>
            <w:tcW w:w="1604" w:type="dxa"/>
            <w:tcBorders>
              <w:top w:val="single" w:sz="4" w:space="0" w:color="auto"/>
              <w:left w:val="single" w:sz="4" w:space="0" w:color="auto"/>
              <w:bottom w:val="single" w:sz="4" w:space="0" w:color="auto"/>
              <w:right w:val="single" w:sz="4" w:space="0" w:color="auto"/>
            </w:tcBorders>
            <w:hideMark/>
          </w:tcPr>
          <w:p w14:paraId="6C6414A7" w14:textId="77777777" w:rsidR="00C4602C" w:rsidRDefault="00C4602C" w:rsidP="0017085C">
            <w:pPr>
              <w:rPr>
                <w:i/>
                <w:iCs/>
                <w:color w:val="222222"/>
                <w:sz w:val="20"/>
                <w:szCs w:val="20"/>
              </w:rPr>
            </w:pPr>
            <w:r>
              <w:rPr>
                <w:color w:val="222222"/>
                <w:sz w:val="20"/>
                <w:szCs w:val="20"/>
              </w:rPr>
              <w:t xml:space="preserve">Salientia indet. </w:t>
            </w:r>
          </w:p>
        </w:tc>
        <w:tc>
          <w:tcPr>
            <w:tcW w:w="1261" w:type="dxa"/>
            <w:tcBorders>
              <w:top w:val="single" w:sz="4" w:space="0" w:color="auto"/>
              <w:left w:val="single" w:sz="4" w:space="0" w:color="auto"/>
              <w:bottom w:val="single" w:sz="4" w:space="0" w:color="auto"/>
              <w:right w:val="single" w:sz="4" w:space="0" w:color="auto"/>
            </w:tcBorders>
            <w:hideMark/>
          </w:tcPr>
          <w:p w14:paraId="56794998" w14:textId="77777777" w:rsidR="00C4602C" w:rsidRDefault="00C4602C" w:rsidP="0017085C">
            <w:pPr>
              <w:rPr>
                <w:color w:val="222222"/>
                <w:sz w:val="20"/>
                <w:szCs w:val="20"/>
              </w:rPr>
            </w:pPr>
            <w:r>
              <w:rPr>
                <w:color w:val="222222"/>
                <w:sz w:val="20"/>
                <w:szCs w:val="20"/>
              </w:rPr>
              <w:t>Stocker et al., 2019</w:t>
            </w:r>
          </w:p>
        </w:tc>
        <w:tc>
          <w:tcPr>
            <w:tcW w:w="1446" w:type="dxa"/>
            <w:tcBorders>
              <w:top w:val="single" w:sz="4" w:space="0" w:color="auto"/>
              <w:left w:val="single" w:sz="4" w:space="0" w:color="auto"/>
              <w:bottom w:val="single" w:sz="4" w:space="0" w:color="auto"/>
              <w:right w:val="single" w:sz="4" w:space="0" w:color="auto"/>
            </w:tcBorders>
            <w:hideMark/>
          </w:tcPr>
          <w:p w14:paraId="06094109" w14:textId="77777777" w:rsidR="00C4602C" w:rsidRDefault="00C4602C" w:rsidP="0017085C">
            <w:pPr>
              <w:jc w:val="center"/>
              <w:rPr>
                <w:color w:val="222222"/>
                <w:sz w:val="20"/>
                <w:szCs w:val="20"/>
              </w:rPr>
            </w:pPr>
            <w:r>
              <w:rPr>
                <w:color w:val="222222"/>
                <w:sz w:val="20"/>
                <w:szCs w:val="20"/>
              </w:rPr>
              <w:t>Norian</w:t>
            </w:r>
          </w:p>
          <w:p w14:paraId="2C10B091" w14:textId="77777777" w:rsidR="00C4602C" w:rsidRDefault="00C4602C" w:rsidP="0017085C">
            <w:pPr>
              <w:jc w:val="center"/>
              <w:rPr>
                <w:color w:val="222222"/>
                <w:sz w:val="20"/>
                <w:szCs w:val="20"/>
              </w:rPr>
            </w:pPr>
            <w:r w:rsidRPr="009B663A">
              <w:rPr>
                <w:color w:val="222222"/>
                <w:sz w:val="20"/>
                <w:szCs w:val="20"/>
              </w:rPr>
              <w:t> 219.39 ± 0.16 Ma</w:t>
            </w:r>
            <w:r>
              <w:rPr>
                <w:color w:val="222222"/>
                <w:sz w:val="20"/>
                <w:szCs w:val="20"/>
              </w:rPr>
              <w:t xml:space="preserve"> (</w:t>
            </w:r>
            <w:proofErr w:type="spellStart"/>
            <w:r>
              <w:rPr>
                <w:color w:val="222222"/>
                <w:sz w:val="20"/>
                <w:szCs w:val="20"/>
              </w:rPr>
              <w:t>Ramezani</w:t>
            </w:r>
            <w:proofErr w:type="spellEnd"/>
            <w:r>
              <w:rPr>
                <w:color w:val="222222"/>
                <w:sz w:val="20"/>
                <w:szCs w:val="20"/>
              </w:rPr>
              <w:t xml:space="preserve"> et al., 2014)</w:t>
            </w:r>
          </w:p>
        </w:tc>
        <w:tc>
          <w:tcPr>
            <w:tcW w:w="1469" w:type="dxa"/>
            <w:tcBorders>
              <w:top w:val="single" w:sz="4" w:space="0" w:color="auto"/>
              <w:left w:val="single" w:sz="4" w:space="0" w:color="auto"/>
              <w:bottom w:val="single" w:sz="4" w:space="0" w:color="auto"/>
              <w:right w:val="single" w:sz="4" w:space="0" w:color="auto"/>
            </w:tcBorders>
            <w:hideMark/>
          </w:tcPr>
          <w:p w14:paraId="17526A4B" w14:textId="77777777" w:rsidR="00C4602C" w:rsidRDefault="00C4602C" w:rsidP="0017085C">
            <w:pPr>
              <w:jc w:val="center"/>
              <w:rPr>
                <w:color w:val="222222"/>
                <w:sz w:val="20"/>
                <w:szCs w:val="20"/>
              </w:rPr>
            </w:pPr>
            <w:r>
              <w:rPr>
                <w:color w:val="222222"/>
                <w:sz w:val="20"/>
                <w:szCs w:val="20"/>
              </w:rPr>
              <w:t>Arizona, USA</w:t>
            </w:r>
          </w:p>
        </w:tc>
        <w:tc>
          <w:tcPr>
            <w:tcW w:w="1817" w:type="dxa"/>
            <w:tcBorders>
              <w:top w:val="single" w:sz="4" w:space="0" w:color="auto"/>
              <w:left w:val="single" w:sz="4" w:space="0" w:color="auto"/>
              <w:bottom w:val="single" w:sz="4" w:space="0" w:color="auto"/>
              <w:right w:val="single" w:sz="4" w:space="0" w:color="auto"/>
            </w:tcBorders>
            <w:hideMark/>
          </w:tcPr>
          <w:p w14:paraId="4FC47AE3" w14:textId="77777777" w:rsidR="00C4602C" w:rsidRDefault="00C4602C" w:rsidP="0017085C">
            <w:pPr>
              <w:tabs>
                <w:tab w:val="center" w:pos="732"/>
              </w:tabs>
              <w:rPr>
                <w:color w:val="222222"/>
                <w:sz w:val="20"/>
                <w:szCs w:val="20"/>
              </w:rPr>
            </w:pPr>
            <w:r>
              <w:rPr>
                <w:color w:val="222222"/>
                <w:sz w:val="20"/>
                <w:szCs w:val="20"/>
              </w:rPr>
              <w:t>Equatorial Pangaea</w:t>
            </w:r>
          </w:p>
        </w:tc>
        <w:tc>
          <w:tcPr>
            <w:tcW w:w="1567" w:type="dxa"/>
            <w:tcBorders>
              <w:top w:val="single" w:sz="4" w:space="0" w:color="auto"/>
              <w:left w:val="single" w:sz="4" w:space="0" w:color="auto"/>
              <w:bottom w:val="single" w:sz="4" w:space="0" w:color="auto"/>
              <w:right w:val="single" w:sz="4" w:space="0" w:color="auto"/>
            </w:tcBorders>
            <w:hideMark/>
          </w:tcPr>
          <w:p w14:paraId="3FAB46C8" w14:textId="752F6210" w:rsidR="00C4602C" w:rsidRDefault="00C4602C" w:rsidP="0017085C">
            <w:pPr>
              <w:jc w:val="center"/>
              <w:rPr>
                <w:color w:val="222222"/>
                <w:sz w:val="20"/>
                <w:szCs w:val="20"/>
              </w:rPr>
            </w:pPr>
            <w:r>
              <w:rPr>
                <w:color w:val="222222"/>
                <w:sz w:val="20"/>
                <w:szCs w:val="20"/>
              </w:rPr>
              <w:t xml:space="preserve">~6° N (Kent </w:t>
            </w:r>
            <w:r w:rsidR="008F296A">
              <w:rPr>
                <w:color w:val="222222"/>
                <w:sz w:val="20"/>
                <w:szCs w:val="20"/>
              </w:rPr>
              <w:t xml:space="preserve">&amp; </w:t>
            </w:r>
            <w:r>
              <w:rPr>
                <w:color w:val="222222"/>
                <w:sz w:val="20"/>
                <w:szCs w:val="20"/>
              </w:rPr>
              <w:t>Irving, 2010)</w:t>
            </w:r>
          </w:p>
        </w:tc>
      </w:tr>
      <w:tr w:rsidR="00F36C83" w14:paraId="03D3422F" w14:textId="77777777" w:rsidTr="00662B68">
        <w:trPr>
          <w:trHeight w:val="230"/>
        </w:trPr>
        <w:tc>
          <w:tcPr>
            <w:tcW w:w="323" w:type="dxa"/>
            <w:tcBorders>
              <w:top w:val="single" w:sz="4" w:space="0" w:color="auto"/>
              <w:left w:val="single" w:sz="4" w:space="0" w:color="auto"/>
              <w:bottom w:val="single" w:sz="4" w:space="0" w:color="auto"/>
              <w:right w:val="single" w:sz="4" w:space="0" w:color="auto"/>
            </w:tcBorders>
          </w:tcPr>
          <w:p w14:paraId="009D2752" w14:textId="77777777" w:rsidR="00C4602C" w:rsidRDefault="00C4602C" w:rsidP="0017085C">
            <w:pPr>
              <w:rPr>
                <w:color w:val="222222"/>
                <w:sz w:val="20"/>
                <w:szCs w:val="20"/>
              </w:rPr>
            </w:pPr>
            <w:r>
              <w:rPr>
                <w:color w:val="222222"/>
                <w:sz w:val="20"/>
                <w:szCs w:val="20"/>
              </w:rPr>
              <w:t>7</w:t>
            </w:r>
          </w:p>
        </w:tc>
        <w:tc>
          <w:tcPr>
            <w:tcW w:w="1604" w:type="dxa"/>
            <w:tcBorders>
              <w:top w:val="single" w:sz="4" w:space="0" w:color="auto"/>
              <w:left w:val="single" w:sz="4" w:space="0" w:color="auto"/>
              <w:bottom w:val="single" w:sz="4" w:space="0" w:color="auto"/>
              <w:right w:val="single" w:sz="4" w:space="0" w:color="auto"/>
            </w:tcBorders>
            <w:hideMark/>
          </w:tcPr>
          <w:p w14:paraId="27FA19F5" w14:textId="77777777" w:rsidR="00C4602C" w:rsidRDefault="00C4602C" w:rsidP="0017085C">
            <w:pPr>
              <w:rPr>
                <w:i/>
                <w:iCs/>
                <w:color w:val="222222"/>
                <w:sz w:val="20"/>
                <w:szCs w:val="20"/>
              </w:rPr>
            </w:pPr>
            <w:r>
              <w:rPr>
                <w:color w:val="222222"/>
                <w:sz w:val="20"/>
                <w:szCs w:val="20"/>
              </w:rPr>
              <w:t>Salientia indet.</w:t>
            </w:r>
          </w:p>
        </w:tc>
        <w:tc>
          <w:tcPr>
            <w:tcW w:w="1261" w:type="dxa"/>
            <w:tcBorders>
              <w:top w:val="single" w:sz="4" w:space="0" w:color="auto"/>
              <w:left w:val="single" w:sz="4" w:space="0" w:color="auto"/>
              <w:bottom w:val="single" w:sz="4" w:space="0" w:color="auto"/>
              <w:right w:val="single" w:sz="4" w:space="0" w:color="auto"/>
            </w:tcBorders>
            <w:hideMark/>
          </w:tcPr>
          <w:p w14:paraId="40C28314" w14:textId="77777777" w:rsidR="00C4602C" w:rsidRDefault="00C4602C" w:rsidP="0017085C">
            <w:pPr>
              <w:rPr>
                <w:color w:val="222222"/>
                <w:sz w:val="20"/>
                <w:szCs w:val="20"/>
              </w:rPr>
            </w:pPr>
            <w:r>
              <w:rPr>
                <w:color w:val="222222"/>
                <w:sz w:val="20"/>
                <w:szCs w:val="20"/>
              </w:rPr>
              <w:t>Stocker et al., 2019</w:t>
            </w:r>
          </w:p>
        </w:tc>
        <w:tc>
          <w:tcPr>
            <w:tcW w:w="1446" w:type="dxa"/>
            <w:tcBorders>
              <w:top w:val="single" w:sz="4" w:space="0" w:color="auto"/>
              <w:left w:val="single" w:sz="4" w:space="0" w:color="auto"/>
              <w:bottom w:val="single" w:sz="4" w:space="0" w:color="auto"/>
              <w:right w:val="single" w:sz="4" w:space="0" w:color="auto"/>
            </w:tcBorders>
            <w:hideMark/>
          </w:tcPr>
          <w:p w14:paraId="012B68A7" w14:textId="77777777" w:rsidR="00C4602C" w:rsidRDefault="00C4602C" w:rsidP="0017085C">
            <w:pPr>
              <w:jc w:val="center"/>
              <w:rPr>
                <w:color w:val="222222"/>
                <w:sz w:val="20"/>
                <w:szCs w:val="20"/>
              </w:rPr>
            </w:pPr>
            <w:r>
              <w:rPr>
                <w:color w:val="222222"/>
                <w:sz w:val="20"/>
                <w:szCs w:val="20"/>
              </w:rPr>
              <w:t>Norian</w:t>
            </w:r>
          </w:p>
          <w:p w14:paraId="795A8A4F" w14:textId="599C6509" w:rsidR="00C4602C" w:rsidRDefault="00C4602C" w:rsidP="0017085C">
            <w:pPr>
              <w:jc w:val="center"/>
              <w:rPr>
                <w:color w:val="222222"/>
                <w:sz w:val="20"/>
                <w:szCs w:val="20"/>
              </w:rPr>
            </w:pPr>
            <w:r w:rsidRPr="009B663A">
              <w:rPr>
                <w:rFonts w:ascii="Cambria Math" w:hAnsi="Cambria Math" w:cs="Cambria Math"/>
                <w:color w:val="222222"/>
                <w:sz w:val="20"/>
                <w:szCs w:val="20"/>
              </w:rPr>
              <w:t>∼</w:t>
            </w:r>
            <w:r w:rsidRPr="009B663A">
              <w:rPr>
                <w:color w:val="222222"/>
                <w:sz w:val="20"/>
                <w:szCs w:val="20"/>
              </w:rPr>
              <w:t xml:space="preserve">217.7 Ma </w:t>
            </w:r>
            <w:r>
              <w:rPr>
                <w:color w:val="222222"/>
                <w:sz w:val="20"/>
                <w:szCs w:val="20"/>
              </w:rPr>
              <w:t>-</w:t>
            </w:r>
            <w:r w:rsidRPr="009B663A">
              <w:rPr>
                <w:color w:val="222222"/>
                <w:sz w:val="20"/>
                <w:szCs w:val="20"/>
              </w:rPr>
              <w:t xml:space="preserve"> 213.870 ± 0.078 Ma</w:t>
            </w:r>
            <w:r>
              <w:rPr>
                <w:color w:val="222222"/>
                <w:sz w:val="20"/>
                <w:szCs w:val="20"/>
              </w:rPr>
              <w:t xml:space="preserve"> (</w:t>
            </w:r>
            <w:proofErr w:type="spellStart"/>
            <w:r>
              <w:rPr>
                <w:color w:val="222222"/>
                <w:sz w:val="20"/>
                <w:szCs w:val="20"/>
              </w:rPr>
              <w:t>Ramezani</w:t>
            </w:r>
            <w:proofErr w:type="spellEnd"/>
            <w:r>
              <w:rPr>
                <w:color w:val="222222"/>
                <w:sz w:val="20"/>
                <w:szCs w:val="20"/>
              </w:rPr>
              <w:t xml:space="preserve"> et al., 201</w:t>
            </w:r>
            <w:r w:rsidR="007B6572">
              <w:rPr>
                <w:color w:val="222222"/>
                <w:sz w:val="20"/>
                <w:szCs w:val="20"/>
              </w:rPr>
              <w:t>1</w:t>
            </w:r>
            <w:r>
              <w:rPr>
                <w:color w:val="222222"/>
                <w:sz w:val="20"/>
                <w:szCs w:val="20"/>
              </w:rPr>
              <w:t>)</w:t>
            </w:r>
          </w:p>
        </w:tc>
        <w:tc>
          <w:tcPr>
            <w:tcW w:w="1469" w:type="dxa"/>
            <w:tcBorders>
              <w:top w:val="single" w:sz="4" w:space="0" w:color="auto"/>
              <w:left w:val="single" w:sz="4" w:space="0" w:color="auto"/>
              <w:bottom w:val="single" w:sz="4" w:space="0" w:color="auto"/>
              <w:right w:val="single" w:sz="4" w:space="0" w:color="auto"/>
            </w:tcBorders>
            <w:hideMark/>
          </w:tcPr>
          <w:p w14:paraId="2178E905" w14:textId="77777777" w:rsidR="00C4602C" w:rsidRDefault="00C4602C" w:rsidP="0017085C">
            <w:pPr>
              <w:jc w:val="center"/>
              <w:rPr>
                <w:color w:val="222222"/>
                <w:sz w:val="20"/>
                <w:szCs w:val="20"/>
              </w:rPr>
            </w:pPr>
            <w:r>
              <w:rPr>
                <w:color w:val="222222"/>
                <w:sz w:val="20"/>
                <w:szCs w:val="20"/>
              </w:rPr>
              <w:t>Arizona, USA</w:t>
            </w:r>
          </w:p>
        </w:tc>
        <w:tc>
          <w:tcPr>
            <w:tcW w:w="1817" w:type="dxa"/>
            <w:tcBorders>
              <w:top w:val="single" w:sz="4" w:space="0" w:color="auto"/>
              <w:left w:val="single" w:sz="4" w:space="0" w:color="auto"/>
              <w:bottom w:val="single" w:sz="4" w:space="0" w:color="auto"/>
              <w:right w:val="single" w:sz="4" w:space="0" w:color="auto"/>
            </w:tcBorders>
            <w:hideMark/>
          </w:tcPr>
          <w:p w14:paraId="36902E9F" w14:textId="77777777" w:rsidR="00C4602C" w:rsidRDefault="00C4602C" w:rsidP="0017085C">
            <w:pPr>
              <w:rPr>
                <w:color w:val="222222"/>
                <w:sz w:val="20"/>
                <w:szCs w:val="20"/>
              </w:rPr>
            </w:pPr>
            <w:r>
              <w:rPr>
                <w:color w:val="222222"/>
                <w:sz w:val="20"/>
                <w:szCs w:val="20"/>
              </w:rPr>
              <w:t>Equatorial Pangea</w:t>
            </w:r>
          </w:p>
        </w:tc>
        <w:tc>
          <w:tcPr>
            <w:tcW w:w="1567" w:type="dxa"/>
            <w:tcBorders>
              <w:top w:val="single" w:sz="4" w:space="0" w:color="auto"/>
              <w:left w:val="single" w:sz="4" w:space="0" w:color="auto"/>
              <w:bottom w:val="single" w:sz="4" w:space="0" w:color="auto"/>
              <w:right w:val="single" w:sz="4" w:space="0" w:color="auto"/>
            </w:tcBorders>
            <w:hideMark/>
          </w:tcPr>
          <w:p w14:paraId="54596061" w14:textId="4093A963" w:rsidR="00C4602C" w:rsidRDefault="00C4602C" w:rsidP="0017085C">
            <w:pPr>
              <w:rPr>
                <w:color w:val="222222"/>
                <w:sz w:val="20"/>
                <w:szCs w:val="20"/>
              </w:rPr>
            </w:pPr>
            <w:r>
              <w:rPr>
                <w:color w:val="222222"/>
                <w:sz w:val="20"/>
                <w:szCs w:val="20"/>
              </w:rPr>
              <w:t xml:space="preserve">~6° N (Kent </w:t>
            </w:r>
            <w:r w:rsidR="008F296A">
              <w:rPr>
                <w:color w:val="222222"/>
                <w:sz w:val="20"/>
                <w:szCs w:val="20"/>
              </w:rPr>
              <w:t xml:space="preserve">&amp; </w:t>
            </w:r>
            <w:r>
              <w:rPr>
                <w:color w:val="222222"/>
                <w:sz w:val="20"/>
                <w:szCs w:val="20"/>
              </w:rPr>
              <w:t>Irving, 2010)</w:t>
            </w:r>
          </w:p>
        </w:tc>
      </w:tr>
    </w:tbl>
    <w:p w14:paraId="5A9EA97D" w14:textId="75FDB03B" w:rsidR="00C4602C" w:rsidRDefault="00C4602C" w:rsidP="00C4602C">
      <w:pPr>
        <w:rPr>
          <w:color w:val="222222"/>
        </w:rPr>
      </w:pPr>
      <w:r>
        <w:rPr>
          <w:color w:val="222222"/>
        </w:rPr>
        <w:t>Age and palaeolatitudinal data derived from the Paleobiology Database (</w:t>
      </w:r>
      <w:r w:rsidR="00F704AD" w:rsidRPr="00F26F8E">
        <w:rPr>
          <w:color w:val="222222"/>
        </w:rPr>
        <w:t>https://paleobiodb.org/#/</w:t>
      </w:r>
      <w:r>
        <w:rPr>
          <w:color w:val="222222"/>
        </w:rPr>
        <w:t>) unless citation is provided.</w:t>
      </w:r>
    </w:p>
    <w:p w14:paraId="205ECF0E" w14:textId="3EC551AD" w:rsidR="00DE2A0F" w:rsidRDefault="00DE2A0F" w:rsidP="00C4602C">
      <w:pPr>
        <w:rPr>
          <w:color w:val="222222"/>
        </w:rPr>
      </w:pPr>
    </w:p>
    <w:p w14:paraId="32DB2321" w14:textId="64F3DCC0" w:rsidR="00DE2A0F" w:rsidRDefault="00DE2A0F" w:rsidP="00C4602C">
      <w:pPr>
        <w:rPr>
          <w:color w:val="222222"/>
        </w:rPr>
      </w:pPr>
    </w:p>
    <w:p w14:paraId="7A688F08" w14:textId="4747E346" w:rsidR="00DE2A0F" w:rsidRDefault="00DE2A0F" w:rsidP="00C4602C">
      <w:pPr>
        <w:rPr>
          <w:color w:val="222222"/>
        </w:rPr>
      </w:pPr>
    </w:p>
    <w:p w14:paraId="2BE6DF0E" w14:textId="7653EEDB" w:rsidR="00DE2A0F" w:rsidRDefault="00DE2A0F" w:rsidP="00C4602C">
      <w:pPr>
        <w:rPr>
          <w:color w:val="222222"/>
        </w:rPr>
      </w:pPr>
    </w:p>
    <w:p w14:paraId="0CFF4584" w14:textId="19025956" w:rsidR="00DE2A0F" w:rsidRDefault="00DE2A0F" w:rsidP="00C4602C">
      <w:pPr>
        <w:rPr>
          <w:color w:val="222222"/>
        </w:rPr>
      </w:pPr>
    </w:p>
    <w:p w14:paraId="0A29FCC3" w14:textId="7A37BEDC" w:rsidR="00DE2A0F" w:rsidRDefault="00DE2A0F" w:rsidP="00C4602C">
      <w:pPr>
        <w:rPr>
          <w:color w:val="222222"/>
        </w:rPr>
      </w:pPr>
    </w:p>
    <w:p w14:paraId="47A20278" w14:textId="23808F6B" w:rsidR="00DE2A0F" w:rsidRDefault="00DE2A0F" w:rsidP="00C4602C">
      <w:pPr>
        <w:rPr>
          <w:color w:val="222222"/>
        </w:rPr>
      </w:pPr>
    </w:p>
    <w:p w14:paraId="160ABA5D" w14:textId="77777777" w:rsidR="00DE2A0F" w:rsidRDefault="00DE2A0F" w:rsidP="00C4602C">
      <w:pPr>
        <w:rPr>
          <w:color w:val="222222"/>
        </w:rPr>
      </w:pPr>
    </w:p>
    <w:p w14:paraId="13D904E4" w14:textId="629AC6E0" w:rsidR="00C4602C" w:rsidRDefault="00C4602C" w:rsidP="00C4602C">
      <w:pPr>
        <w:rPr>
          <w:b/>
          <w:bCs/>
          <w:color w:val="222222"/>
        </w:rPr>
      </w:pPr>
    </w:p>
    <w:p w14:paraId="66CC5B03" w14:textId="77777777" w:rsidR="00DE2A0F" w:rsidRDefault="00DE2A0F" w:rsidP="00C4602C">
      <w:pPr>
        <w:rPr>
          <w:b/>
          <w:bCs/>
          <w:color w:val="222222"/>
        </w:rPr>
      </w:pPr>
    </w:p>
    <w:p w14:paraId="6C610309" w14:textId="65661031" w:rsidR="00025444" w:rsidRPr="00C2583E" w:rsidRDefault="00025444" w:rsidP="00025444">
      <w:pPr>
        <w:rPr>
          <w:b/>
          <w:bCs/>
          <w:color w:val="222222"/>
        </w:rPr>
      </w:pPr>
      <w:bookmarkStart w:id="18" w:name="_Hlk98857831"/>
      <w:r>
        <w:rPr>
          <w:b/>
          <w:bCs/>
          <w:color w:val="222222"/>
        </w:rPr>
        <w:lastRenderedPageBreak/>
        <w:t xml:space="preserve">Supplementary Table </w:t>
      </w:r>
      <w:r w:rsidR="00EC0DA7">
        <w:rPr>
          <w:b/>
          <w:bCs/>
          <w:color w:val="222222"/>
        </w:rPr>
        <w:t>4</w:t>
      </w:r>
      <w:r>
        <w:rPr>
          <w:b/>
          <w:bCs/>
          <w:color w:val="222222"/>
        </w:rPr>
        <w:t xml:space="preserve">: </w:t>
      </w:r>
      <w:r w:rsidRPr="00062F7E">
        <w:rPr>
          <w:b/>
          <w:bCs/>
          <w:color w:val="222222"/>
        </w:rPr>
        <w:t xml:space="preserve">Molecular clock estimates of </w:t>
      </w:r>
      <w:r>
        <w:rPr>
          <w:b/>
          <w:bCs/>
          <w:color w:val="222222"/>
        </w:rPr>
        <w:t>G</w:t>
      </w:r>
      <w:r w:rsidRPr="00062F7E">
        <w:rPr>
          <w:b/>
          <w:bCs/>
          <w:color w:val="222222"/>
        </w:rPr>
        <w:t>ymnophionomorph</w:t>
      </w:r>
      <w:r>
        <w:rPr>
          <w:b/>
          <w:bCs/>
          <w:color w:val="222222"/>
        </w:rPr>
        <w:t>a</w:t>
      </w:r>
      <w:r w:rsidRPr="00062F7E">
        <w:rPr>
          <w:b/>
          <w:bCs/>
          <w:color w:val="222222"/>
        </w:rPr>
        <w:t>-</w:t>
      </w:r>
      <w:r>
        <w:rPr>
          <w:b/>
          <w:bCs/>
          <w:color w:val="222222"/>
        </w:rPr>
        <w:t>B</w:t>
      </w:r>
      <w:r w:rsidRPr="00062F7E">
        <w:rPr>
          <w:b/>
          <w:bCs/>
          <w:color w:val="222222"/>
        </w:rPr>
        <w:t>atrachia divergence</w:t>
      </w:r>
      <w:r>
        <w:rPr>
          <w:b/>
          <w:bCs/>
          <w:color w:val="222222"/>
        </w:rPr>
        <w:t xml:space="preserve"> without </w:t>
      </w:r>
      <w:r w:rsidRPr="00662B68">
        <w:rPr>
          <w:b/>
          <w:bCs/>
          <w:i/>
          <w:iCs/>
          <w:color w:val="222222"/>
        </w:rPr>
        <w:t>Gerobatrachus</w:t>
      </w:r>
      <w:r>
        <w:rPr>
          <w:b/>
          <w:bCs/>
          <w:color w:val="222222"/>
        </w:rPr>
        <w:t xml:space="preserve"> calibration </w:t>
      </w:r>
      <w:bookmarkEnd w:id="18"/>
    </w:p>
    <w:tbl>
      <w:tblPr>
        <w:tblStyle w:val="TableGrid"/>
        <w:tblW w:w="0" w:type="auto"/>
        <w:tblLook w:val="04A0" w:firstRow="1" w:lastRow="0" w:firstColumn="1" w:lastColumn="0" w:noHBand="0" w:noVBand="1"/>
      </w:tblPr>
      <w:tblGrid>
        <w:gridCol w:w="3116"/>
        <w:gridCol w:w="3117"/>
      </w:tblGrid>
      <w:tr w:rsidR="00025444" w14:paraId="7EB87035" w14:textId="77777777" w:rsidTr="00A30351">
        <w:tc>
          <w:tcPr>
            <w:tcW w:w="3116" w:type="dxa"/>
          </w:tcPr>
          <w:p w14:paraId="60BE6322" w14:textId="77777777" w:rsidR="00025444" w:rsidRDefault="00025444" w:rsidP="00A30351">
            <w:pPr>
              <w:rPr>
                <w:b/>
                <w:bCs/>
                <w:color w:val="222222"/>
              </w:rPr>
            </w:pPr>
            <w:r>
              <w:rPr>
                <w:b/>
                <w:bCs/>
                <w:color w:val="222222"/>
              </w:rPr>
              <w:t>Age (Ma)</w:t>
            </w:r>
          </w:p>
        </w:tc>
        <w:tc>
          <w:tcPr>
            <w:tcW w:w="3117" w:type="dxa"/>
          </w:tcPr>
          <w:p w14:paraId="02EDFABA" w14:textId="77777777" w:rsidR="00025444" w:rsidRDefault="00025444" w:rsidP="00A30351">
            <w:pPr>
              <w:rPr>
                <w:b/>
                <w:bCs/>
                <w:color w:val="222222"/>
              </w:rPr>
            </w:pPr>
            <w:r>
              <w:rPr>
                <w:b/>
                <w:bCs/>
                <w:color w:val="222222"/>
              </w:rPr>
              <w:t>Reference</w:t>
            </w:r>
          </w:p>
        </w:tc>
      </w:tr>
      <w:tr w:rsidR="00025444" w14:paraId="2679BB58" w14:textId="77777777" w:rsidTr="00A30351">
        <w:tc>
          <w:tcPr>
            <w:tcW w:w="3116" w:type="dxa"/>
          </w:tcPr>
          <w:p w14:paraId="04B59BC5" w14:textId="77777777" w:rsidR="00025444" w:rsidRPr="000A1A3C" w:rsidRDefault="00025444" w:rsidP="00A30351">
            <w:pPr>
              <w:rPr>
                <w:color w:val="222222"/>
              </w:rPr>
            </w:pPr>
            <w:r w:rsidRPr="000A1A3C">
              <w:rPr>
                <w:color w:val="222222"/>
              </w:rPr>
              <w:t>314.8</w:t>
            </w:r>
            <w:r>
              <w:rPr>
                <w:color w:val="222222"/>
              </w:rPr>
              <w:t xml:space="preserve"> </w:t>
            </w:r>
          </w:p>
        </w:tc>
        <w:tc>
          <w:tcPr>
            <w:tcW w:w="3117" w:type="dxa"/>
          </w:tcPr>
          <w:p w14:paraId="46257802" w14:textId="77777777" w:rsidR="00025444" w:rsidRPr="000A1A3C" w:rsidRDefault="00025444" w:rsidP="00A30351">
            <w:pPr>
              <w:rPr>
                <w:color w:val="222222"/>
              </w:rPr>
            </w:pPr>
            <w:r w:rsidRPr="000A1A3C">
              <w:rPr>
                <w:color w:val="222222"/>
              </w:rPr>
              <w:t>Shen et al., 2012</w:t>
            </w:r>
          </w:p>
        </w:tc>
      </w:tr>
      <w:tr w:rsidR="00025444" w14:paraId="0320C3B8" w14:textId="77777777" w:rsidTr="00A30351">
        <w:tc>
          <w:tcPr>
            <w:tcW w:w="3116" w:type="dxa"/>
          </w:tcPr>
          <w:p w14:paraId="2714F7E9" w14:textId="77777777" w:rsidR="00025444" w:rsidRDefault="00025444" w:rsidP="00A30351">
            <w:pPr>
              <w:rPr>
                <w:b/>
                <w:bCs/>
                <w:color w:val="222222"/>
              </w:rPr>
            </w:pPr>
            <w:r w:rsidRPr="000A1A3C">
              <w:rPr>
                <w:color w:val="222222"/>
              </w:rPr>
              <w:t>316.9</w:t>
            </w:r>
            <w:r>
              <w:rPr>
                <w:color w:val="222222"/>
              </w:rPr>
              <w:t xml:space="preserve"> </w:t>
            </w:r>
          </w:p>
        </w:tc>
        <w:tc>
          <w:tcPr>
            <w:tcW w:w="3117" w:type="dxa"/>
          </w:tcPr>
          <w:p w14:paraId="6A77706C" w14:textId="77777777" w:rsidR="00025444" w:rsidRDefault="00025444" w:rsidP="00A30351">
            <w:pPr>
              <w:rPr>
                <w:b/>
                <w:bCs/>
                <w:color w:val="222222"/>
              </w:rPr>
            </w:pPr>
            <w:r w:rsidRPr="000A1A3C">
              <w:rPr>
                <w:color w:val="222222"/>
              </w:rPr>
              <w:t>San Mauro, 2010</w:t>
            </w:r>
          </w:p>
        </w:tc>
      </w:tr>
      <w:tr w:rsidR="00025444" w14:paraId="396544C5" w14:textId="77777777" w:rsidTr="00A30351">
        <w:tc>
          <w:tcPr>
            <w:tcW w:w="3116" w:type="dxa"/>
          </w:tcPr>
          <w:p w14:paraId="1B010D36" w14:textId="77777777" w:rsidR="00025444" w:rsidRDefault="00025444" w:rsidP="00A30351">
            <w:pPr>
              <w:rPr>
                <w:b/>
                <w:bCs/>
                <w:color w:val="222222"/>
              </w:rPr>
            </w:pPr>
            <w:r w:rsidRPr="000A1A3C">
              <w:rPr>
                <w:color w:val="222222"/>
              </w:rPr>
              <w:t>318.1</w:t>
            </w:r>
            <w:r>
              <w:rPr>
                <w:color w:val="222222"/>
              </w:rPr>
              <w:t xml:space="preserve"> </w:t>
            </w:r>
          </w:p>
        </w:tc>
        <w:tc>
          <w:tcPr>
            <w:tcW w:w="3117" w:type="dxa"/>
          </w:tcPr>
          <w:p w14:paraId="1264A045" w14:textId="77777777" w:rsidR="00025444" w:rsidRDefault="00025444" w:rsidP="00A30351">
            <w:pPr>
              <w:rPr>
                <w:b/>
                <w:bCs/>
                <w:color w:val="222222"/>
              </w:rPr>
            </w:pPr>
            <w:proofErr w:type="spellStart"/>
            <w:r w:rsidRPr="000A1A3C">
              <w:rPr>
                <w:color w:val="222222"/>
              </w:rPr>
              <w:t>Kumazawa</w:t>
            </w:r>
            <w:proofErr w:type="spellEnd"/>
            <w:r w:rsidRPr="000A1A3C">
              <w:rPr>
                <w:color w:val="222222"/>
              </w:rPr>
              <w:t>, 2007</w:t>
            </w:r>
          </w:p>
        </w:tc>
      </w:tr>
      <w:tr w:rsidR="00025444" w14:paraId="154A4F5C" w14:textId="77777777" w:rsidTr="00A30351">
        <w:tc>
          <w:tcPr>
            <w:tcW w:w="3116" w:type="dxa"/>
          </w:tcPr>
          <w:p w14:paraId="7D0BFAE7" w14:textId="77777777" w:rsidR="00025444" w:rsidRDefault="00025444" w:rsidP="00A30351">
            <w:pPr>
              <w:rPr>
                <w:b/>
                <w:bCs/>
                <w:color w:val="222222"/>
              </w:rPr>
            </w:pPr>
            <w:r w:rsidRPr="000A1A3C">
              <w:rPr>
                <w:color w:val="222222"/>
              </w:rPr>
              <w:t>319.7</w:t>
            </w:r>
            <w:r>
              <w:rPr>
                <w:color w:val="222222"/>
              </w:rPr>
              <w:t xml:space="preserve"> </w:t>
            </w:r>
          </w:p>
        </w:tc>
        <w:tc>
          <w:tcPr>
            <w:tcW w:w="3117" w:type="dxa"/>
          </w:tcPr>
          <w:p w14:paraId="4FA558BE" w14:textId="77777777" w:rsidR="00025444" w:rsidRDefault="00025444" w:rsidP="00A30351">
            <w:pPr>
              <w:rPr>
                <w:b/>
                <w:bCs/>
                <w:color w:val="222222"/>
              </w:rPr>
            </w:pPr>
            <w:r w:rsidRPr="000A1A3C">
              <w:rPr>
                <w:color w:val="222222"/>
              </w:rPr>
              <w:t>Shen et al., 2011</w:t>
            </w:r>
          </w:p>
        </w:tc>
      </w:tr>
      <w:tr w:rsidR="00025444" w14:paraId="21272616" w14:textId="77777777" w:rsidTr="00A30351">
        <w:tc>
          <w:tcPr>
            <w:tcW w:w="3116" w:type="dxa"/>
          </w:tcPr>
          <w:p w14:paraId="5ED34A32" w14:textId="77777777" w:rsidR="00025444" w:rsidRPr="000A1A3C" w:rsidRDefault="00025444" w:rsidP="00A30351">
            <w:pPr>
              <w:rPr>
                <w:color w:val="222222"/>
              </w:rPr>
            </w:pPr>
            <w:r w:rsidRPr="000A1A3C">
              <w:rPr>
                <w:color w:val="222222"/>
              </w:rPr>
              <w:t>320.9</w:t>
            </w:r>
            <w:r>
              <w:rPr>
                <w:color w:val="222222"/>
              </w:rPr>
              <w:t xml:space="preserve"> </w:t>
            </w:r>
          </w:p>
        </w:tc>
        <w:tc>
          <w:tcPr>
            <w:tcW w:w="3117" w:type="dxa"/>
          </w:tcPr>
          <w:p w14:paraId="6AD24ED5" w14:textId="77777777" w:rsidR="00025444" w:rsidRPr="000A1A3C" w:rsidRDefault="00025444" w:rsidP="00A30351">
            <w:pPr>
              <w:rPr>
                <w:color w:val="222222"/>
              </w:rPr>
            </w:pPr>
            <w:proofErr w:type="spellStart"/>
            <w:r w:rsidRPr="000A1A3C">
              <w:rPr>
                <w:color w:val="222222"/>
              </w:rPr>
              <w:t>Irisarri</w:t>
            </w:r>
            <w:proofErr w:type="spellEnd"/>
            <w:r w:rsidRPr="000A1A3C">
              <w:rPr>
                <w:color w:val="222222"/>
              </w:rPr>
              <w:t xml:space="preserve"> et al., 2012</w:t>
            </w:r>
          </w:p>
        </w:tc>
      </w:tr>
      <w:tr w:rsidR="00025444" w14:paraId="7695F13E" w14:textId="77777777" w:rsidTr="00A30351">
        <w:tc>
          <w:tcPr>
            <w:tcW w:w="3116" w:type="dxa"/>
          </w:tcPr>
          <w:p w14:paraId="75ECD243" w14:textId="77777777" w:rsidR="00025444" w:rsidRDefault="00025444" w:rsidP="00A30351">
            <w:pPr>
              <w:rPr>
                <w:b/>
                <w:bCs/>
                <w:color w:val="222222"/>
              </w:rPr>
            </w:pPr>
            <w:r w:rsidRPr="000A1A3C">
              <w:rPr>
                <w:color w:val="222222"/>
              </w:rPr>
              <w:t>322.0</w:t>
            </w:r>
            <w:r>
              <w:rPr>
                <w:color w:val="222222"/>
              </w:rPr>
              <w:t xml:space="preserve"> </w:t>
            </w:r>
          </w:p>
        </w:tc>
        <w:tc>
          <w:tcPr>
            <w:tcW w:w="3117" w:type="dxa"/>
          </w:tcPr>
          <w:p w14:paraId="194B3DFE" w14:textId="77777777" w:rsidR="00025444" w:rsidRDefault="00025444" w:rsidP="00A30351">
            <w:pPr>
              <w:rPr>
                <w:b/>
                <w:bCs/>
                <w:color w:val="222222"/>
              </w:rPr>
            </w:pPr>
            <w:proofErr w:type="spellStart"/>
            <w:r w:rsidRPr="000A1A3C">
              <w:rPr>
                <w:color w:val="222222"/>
              </w:rPr>
              <w:t>Hugall</w:t>
            </w:r>
            <w:proofErr w:type="spellEnd"/>
            <w:r w:rsidRPr="000A1A3C">
              <w:rPr>
                <w:color w:val="222222"/>
              </w:rPr>
              <w:t xml:space="preserve"> et al., 2007</w:t>
            </w:r>
          </w:p>
        </w:tc>
      </w:tr>
      <w:tr w:rsidR="00025444" w14:paraId="30396755" w14:textId="77777777" w:rsidTr="00A30351">
        <w:tc>
          <w:tcPr>
            <w:tcW w:w="3116" w:type="dxa"/>
          </w:tcPr>
          <w:p w14:paraId="7154CBA9" w14:textId="77777777" w:rsidR="00025444" w:rsidRPr="000A1A3C" w:rsidRDefault="00025444" w:rsidP="00A30351">
            <w:pPr>
              <w:rPr>
                <w:color w:val="222222"/>
              </w:rPr>
            </w:pPr>
            <w:r w:rsidRPr="000A1A3C">
              <w:rPr>
                <w:color w:val="222222"/>
              </w:rPr>
              <w:t>323.4</w:t>
            </w:r>
            <w:r>
              <w:rPr>
                <w:color w:val="222222"/>
              </w:rPr>
              <w:t xml:space="preserve"> </w:t>
            </w:r>
          </w:p>
        </w:tc>
        <w:tc>
          <w:tcPr>
            <w:tcW w:w="3117" w:type="dxa"/>
          </w:tcPr>
          <w:p w14:paraId="5D160136" w14:textId="77777777" w:rsidR="00025444" w:rsidRPr="000A1A3C" w:rsidRDefault="00025444" w:rsidP="00A30351">
            <w:pPr>
              <w:rPr>
                <w:color w:val="222222"/>
              </w:rPr>
            </w:pPr>
            <w:proofErr w:type="spellStart"/>
            <w:r w:rsidRPr="000A1A3C">
              <w:rPr>
                <w:color w:val="222222"/>
              </w:rPr>
              <w:t>Okajima</w:t>
            </w:r>
            <w:proofErr w:type="spellEnd"/>
            <w:r w:rsidRPr="000A1A3C">
              <w:rPr>
                <w:color w:val="222222"/>
              </w:rPr>
              <w:t xml:space="preserve"> </w:t>
            </w:r>
            <w:r>
              <w:rPr>
                <w:color w:val="222222"/>
              </w:rPr>
              <w:t xml:space="preserve">&amp; </w:t>
            </w:r>
            <w:proofErr w:type="spellStart"/>
            <w:r w:rsidRPr="007F3D7F">
              <w:rPr>
                <w:color w:val="222222"/>
              </w:rPr>
              <w:t>Kumazawa</w:t>
            </w:r>
            <w:proofErr w:type="spellEnd"/>
            <w:r w:rsidRPr="000A1A3C">
              <w:rPr>
                <w:color w:val="222222"/>
              </w:rPr>
              <w:t>, 2010</w:t>
            </w:r>
          </w:p>
        </w:tc>
      </w:tr>
      <w:tr w:rsidR="00025444" w14:paraId="79FE2F33" w14:textId="77777777" w:rsidTr="00A30351">
        <w:tc>
          <w:tcPr>
            <w:tcW w:w="3116" w:type="dxa"/>
          </w:tcPr>
          <w:p w14:paraId="253E053E" w14:textId="77777777" w:rsidR="00025444" w:rsidRDefault="00025444" w:rsidP="00A30351">
            <w:pPr>
              <w:rPr>
                <w:b/>
                <w:bCs/>
                <w:color w:val="222222"/>
              </w:rPr>
            </w:pPr>
            <w:r w:rsidRPr="000A1A3C">
              <w:rPr>
                <w:color w:val="222222"/>
              </w:rPr>
              <w:t>325.6</w:t>
            </w:r>
            <w:r>
              <w:rPr>
                <w:color w:val="222222"/>
              </w:rPr>
              <w:t xml:space="preserve"> </w:t>
            </w:r>
          </w:p>
        </w:tc>
        <w:tc>
          <w:tcPr>
            <w:tcW w:w="3117" w:type="dxa"/>
          </w:tcPr>
          <w:p w14:paraId="575BDB70" w14:textId="77777777" w:rsidR="00025444" w:rsidRDefault="00025444" w:rsidP="00A30351">
            <w:pPr>
              <w:rPr>
                <w:b/>
                <w:bCs/>
                <w:color w:val="222222"/>
              </w:rPr>
            </w:pPr>
            <w:proofErr w:type="spellStart"/>
            <w:r w:rsidRPr="000A1A3C">
              <w:rPr>
                <w:color w:val="222222"/>
              </w:rPr>
              <w:t>Okajima</w:t>
            </w:r>
            <w:proofErr w:type="spellEnd"/>
            <w:r w:rsidRPr="000A1A3C">
              <w:rPr>
                <w:color w:val="222222"/>
              </w:rPr>
              <w:t xml:space="preserve"> </w:t>
            </w:r>
            <w:r>
              <w:rPr>
                <w:color w:val="222222"/>
              </w:rPr>
              <w:t xml:space="preserve">&amp; </w:t>
            </w:r>
            <w:proofErr w:type="spellStart"/>
            <w:r w:rsidRPr="007F3D7F">
              <w:rPr>
                <w:color w:val="222222"/>
              </w:rPr>
              <w:t>Kumazawa</w:t>
            </w:r>
            <w:proofErr w:type="spellEnd"/>
            <w:r w:rsidRPr="000A1A3C" w:rsidDel="007F3D7F">
              <w:rPr>
                <w:color w:val="222222"/>
              </w:rPr>
              <w:t xml:space="preserve"> </w:t>
            </w:r>
            <w:r w:rsidRPr="000A1A3C">
              <w:rPr>
                <w:color w:val="222222"/>
              </w:rPr>
              <w:t>, 2009</w:t>
            </w:r>
          </w:p>
        </w:tc>
      </w:tr>
      <w:tr w:rsidR="00025444" w14:paraId="0EDFD4D3" w14:textId="77777777" w:rsidTr="00A30351">
        <w:tc>
          <w:tcPr>
            <w:tcW w:w="3116" w:type="dxa"/>
          </w:tcPr>
          <w:p w14:paraId="2765BDBA" w14:textId="77777777" w:rsidR="00025444" w:rsidRDefault="00025444" w:rsidP="00A30351">
            <w:pPr>
              <w:rPr>
                <w:b/>
                <w:bCs/>
                <w:color w:val="222222"/>
              </w:rPr>
            </w:pPr>
            <w:r w:rsidRPr="000A1A3C">
              <w:rPr>
                <w:color w:val="222222"/>
              </w:rPr>
              <w:t>335.0</w:t>
            </w:r>
            <w:r>
              <w:rPr>
                <w:color w:val="222222"/>
              </w:rPr>
              <w:t xml:space="preserve"> </w:t>
            </w:r>
          </w:p>
        </w:tc>
        <w:tc>
          <w:tcPr>
            <w:tcW w:w="3117" w:type="dxa"/>
          </w:tcPr>
          <w:p w14:paraId="052C4857" w14:textId="77777777" w:rsidR="00025444" w:rsidRDefault="00025444" w:rsidP="00A30351">
            <w:pPr>
              <w:rPr>
                <w:b/>
                <w:bCs/>
                <w:color w:val="222222"/>
              </w:rPr>
            </w:pPr>
            <w:proofErr w:type="spellStart"/>
            <w:r w:rsidRPr="000A1A3C">
              <w:rPr>
                <w:color w:val="222222"/>
              </w:rPr>
              <w:t>Igawa</w:t>
            </w:r>
            <w:proofErr w:type="spellEnd"/>
            <w:r w:rsidRPr="000A1A3C">
              <w:rPr>
                <w:color w:val="222222"/>
              </w:rPr>
              <w:t xml:space="preserve"> et al., 2008</w:t>
            </w:r>
          </w:p>
        </w:tc>
      </w:tr>
      <w:tr w:rsidR="00025444" w14:paraId="0C242103" w14:textId="77777777" w:rsidTr="00A30351">
        <w:tc>
          <w:tcPr>
            <w:tcW w:w="3116" w:type="dxa"/>
          </w:tcPr>
          <w:p w14:paraId="3BF4645D" w14:textId="77777777" w:rsidR="00025444" w:rsidRDefault="00025444" w:rsidP="00A30351">
            <w:pPr>
              <w:rPr>
                <w:b/>
                <w:bCs/>
                <w:color w:val="222222"/>
              </w:rPr>
            </w:pPr>
            <w:r w:rsidRPr="000A1A3C">
              <w:rPr>
                <w:color w:val="222222"/>
              </w:rPr>
              <w:t>337.0</w:t>
            </w:r>
            <w:r>
              <w:rPr>
                <w:color w:val="222222"/>
              </w:rPr>
              <w:t xml:space="preserve"> </w:t>
            </w:r>
          </w:p>
        </w:tc>
        <w:tc>
          <w:tcPr>
            <w:tcW w:w="3117" w:type="dxa"/>
          </w:tcPr>
          <w:p w14:paraId="29BB2917" w14:textId="77777777" w:rsidR="00025444" w:rsidRDefault="00025444" w:rsidP="00A30351">
            <w:pPr>
              <w:rPr>
                <w:b/>
                <w:bCs/>
                <w:color w:val="222222"/>
              </w:rPr>
            </w:pPr>
            <w:r w:rsidRPr="000A1A3C">
              <w:rPr>
                <w:color w:val="222222"/>
              </w:rPr>
              <w:t>Zhang et al., 2005</w:t>
            </w:r>
            <w:r>
              <w:rPr>
                <w:color w:val="222222"/>
              </w:rPr>
              <w:t>a</w:t>
            </w:r>
          </w:p>
        </w:tc>
      </w:tr>
      <w:tr w:rsidR="00025444" w14:paraId="752395C7" w14:textId="77777777" w:rsidTr="00A30351">
        <w:tc>
          <w:tcPr>
            <w:tcW w:w="3116" w:type="dxa"/>
          </w:tcPr>
          <w:p w14:paraId="611338C5" w14:textId="77777777" w:rsidR="00025444" w:rsidRPr="000A1A3C" w:rsidRDefault="00025444" w:rsidP="00A30351">
            <w:pPr>
              <w:rPr>
                <w:color w:val="222222"/>
              </w:rPr>
            </w:pPr>
            <w:r w:rsidRPr="000A1A3C">
              <w:rPr>
                <w:color w:val="222222"/>
              </w:rPr>
              <w:t>341.0</w:t>
            </w:r>
            <w:r>
              <w:rPr>
                <w:color w:val="222222"/>
              </w:rPr>
              <w:t xml:space="preserve"> </w:t>
            </w:r>
          </w:p>
        </w:tc>
        <w:tc>
          <w:tcPr>
            <w:tcW w:w="3117" w:type="dxa"/>
          </w:tcPr>
          <w:p w14:paraId="3975BEC0" w14:textId="77777777" w:rsidR="00025444" w:rsidRPr="000A1A3C" w:rsidRDefault="00025444" w:rsidP="00A30351">
            <w:pPr>
              <w:rPr>
                <w:color w:val="222222"/>
              </w:rPr>
            </w:pPr>
            <w:r w:rsidRPr="000A1A3C">
              <w:rPr>
                <w:color w:val="222222"/>
              </w:rPr>
              <w:t>Zhang et al., 2005b</w:t>
            </w:r>
          </w:p>
        </w:tc>
      </w:tr>
      <w:tr w:rsidR="00025444" w14:paraId="50CF34B6" w14:textId="77777777" w:rsidTr="00A30351">
        <w:tc>
          <w:tcPr>
            <w:tcW w:w="3116" w:type="dxa"/>
          </w:tcPr>
          <w:p w14:paraId="7135DED0" w14:textId="77777777" w:rsidR="00025444" w:rsidRPr="000A1A3C" w:rsidRDefault="00025444" w:rsidP="00A30351">
            <w:pPr>
              <w:rPr>
                <w:color w:val="222222"/>
              </w:rPr>
            </w:pPr>
            <w:r w:rsidRPr="000A1A3C">
              <w:rPr>
                <w:color w:val="222222"/>
              </w:rPr>
              <w:t>351.6</w:t>
            </w:r>
            <w:r>
              <w:rPr>
                <w:color w:val="222222"/>
              </w:rPr>
              <w:t xml:space="preserve"> </w:t>
            </w:r>
          </w:p>
        </w:tc>
        <w:tc>
          <w:tcPr>
            <w:tcW w:w="3117" w:type="dxa"/>
          </w:tcPr>
          <w:p w14:paraId="3AB1C494" w14:textId="77777777" w:rsidR="00025444" w:rsidRPr="000A1A3C" w:rsidRDefault="00025444" w:rsidP="00A30351">
            <w:pPr>
              <w:rPr>
                <w:color w:val="222222"/>
              </w:rPr>
            </w:pPr>
            <w:proofErr w:type="spellStart"/>
            <w:r w:rsidRPr="000A1A3C">
              <w:rPr>
                <w:color w:val="222222"/>
              </w:rPr>
              <w:t>Roelants</w:t>
            </w:r>
            <w:proofErr w:type="spellEnd"/>
            <w:r w:rsidRPr="000A1A3C">
              <w:rPr>
                <w:color w:val="222222"/>
              </w:rPr>
              <w:t xml:space="preserve"> et al., 2007</w:t>
            </w:r>
          </w:p>
        </w:tc>
      </w:tr>
      <w:tr w:rsidR="00025444" w14:paraId="061EAAFA" w14:textId="77777777" w:rsidTr="00A30351">
        <w:tc>
          <w:tcPr>
            <w:tcW w:w="3116" w:type="dxa"/>
          </w:tcPr>
          <w:p w14:paraId="382606E1" w14:textId="77777777" w:rsidR="00025444" w:rsidRPr="000A1A3C" w:rsidRDefault="00025444" w:rsidP="00A30351">
            <w:pPr>
              <w:rPr>
                <w:color w:val="222222"/>
              </w:rPr>
            </w:pPr>
            <w:r w:rsidRPr="000A1A3C">
              <w:rPr>
                <w:color w:val="222222"/>
              </w:rPr>
              <w:t>352.0</w:t>
            </w:r>
            <w:r>
              <w:rPr>
                <w:color w:val="222222"/>
              </w:rPr>
              <w:t xml:space="preserve"> </w:t>
            </w:r>
          </w:p>
        </w:tc>
        <w:tc>
          <w:tcPr>
            <w:tcW w:w="3117" w:type="dxa"/>
          </w:tcPr>
          <w:p w14:paraId="25E2BAA2" w14:textId="77777777" w:rsidR="00025444" w:rsidRPr="000A1A3C" w:rsidRDefault="00025444" w:rsidP="00A30351">
            <w:pPr>
              <w:rPr>
                <w:color w:val="222222"/>
              </w:rPr>
            </w:pPr>
            <w:r>
              <w:rPr>
                <w:color w:val="222222"/>
              </w:rPr>
              <w:t>Santos</w:t>
            </w:r>
            <w:r w:rsidRPr="000A1A3C">
              <w:rPr>
                <w:color w:val="222222"/>
              </w:rPr>
              <w:t xml:space="preserve"> et al., 200</w:t>
            </w:r>
            <w:r>
              <w:rPr>
                <w:color w:val="222222"/>
              </w:rPr>
              <w:t>9</w:t>
            </w:r>
          </w:p>
        </w:tc>
      </w:tr>
      <w:tr w:rsidR="00025444" w14:paraId="308FBC2C" w14:textId="77777777" w:rsidTr="00A30351">
        <w:tc>
          <w:tcPr>
            <w:tcW w:w="3116" w:type="dxa"/>
          </w:tcPr>
          <w:p w14:paraId="6191EF4B" w14:textId="77777777" w:rsidR="00025444" w:rsidRPr="000A1A3C" w:rsidRDefault="00025444" w:rsidP="00A30351">
            <w:pPr>
              <w:rPr>
                <w:color w:val="222222"/>
              </w:rPr>
            </w:pPr>
            <w:r w:rsidRPr="000A1A3C">
              <w:rPr>
                <w:color w:val="222222"/>
              </w:rPr>
              <w:t xml:space="preserve">356.9 </w:t>
            </w:r>
          </w:p>
        </w:tc>
        <w:tc>
          <w:tcPr>
            <w:tcW w:w="3117" w:type="dxa"/>
          </w:tcPr>
          <w:p w14:paraId="3695EC1C" w14:textId="77777777" w:rsidR="00025444" w:rsidRPr="000A1A3C" w:rsidRDefault="00025444" w:rsidP="00A30351">
            <w:pPr>
              <w:rPr>
                <w:color w:val="222222"/>
              </w:rPr>
            </w:pPr>
            <w:proofErr w:type="spellStart"/>
            <w:r w:rsidRPr="000A1A3C">
              <w:rPr>
                <w:color w:val="222222"/>
              </w:rPr>
              <w:t>Crottini</w:t>
            </w:r>
            <w:proofErr w:type="spellEnd"/>
            <w:r w:rsidRPr="000A1A3C">
              <w:rPr>
                <w:color w:val="222222"/>
              </w:rPr>
              <w:t xml:space="preserve"> et al., 2012</w:t>
            </w:r>
          </w:p>
        </w:tc>
      </w:tr>
      <w:tr w:rsidR="00025444" w14:paraId="129DFBA0" w14:textId="77777777" w:rsidTr="00A30351">
        <w:tc>
          <w:tcPr>
            <w:tcW w:w="3116" w:type="dxa"/>
          </w:tcPr>
          <w:p w14:paraId="1532C133" w14:textId="77777777" w:rsidR="00025444" w:rsidRPr="000A1A3C" w:rsidRDefault="00025444" w:rsidP="00A30351">
            <w:pPr>
              <w:rPr>
                <w:color w:val="222222"/>
              </w:rPr>
            </w:pPr>
            <w:r w:rsidRPr="000A1A3C">
              <w:rPr>
                <w:color w:val="222222"/>
              </w:rPr>
              <w:t>367.0</w:t>
            </w:r>
            <w:r>
              <w:rPr>
                <w:color w:val="222222"/>
              </w:rPr>
              <w:t xml:space="preserve"> </w:t>
            </w:r>
          </w:p>
        </w:tc>
        <w:tc>
          <w:tcPr>
            <w:tcW w:w="3117" w:type="dxa"/>
          </w:tcPr>
          <w:p w14:paraId="572A7381" w14:textId="77777777" w:rsidR="00025444" w:rsidRPr="000A1A3C" w:rsidRDefault="00025444" w:rsidP="00A30351">
            <w:pPr>
              <w:rPr>
                <w:color w:val="222222"/>
              </w:rPr>
            </w:pPr>
            <w:r w:rsidRPr="000A1A3C">
              <w:rPr>
                <w:color w:val="222222"/>
              </w:rPr>
              <w:t>San Mauro et al., 2005</w:t>
            </w:r>
          </w:p>
        </w:tc>
      </w:tr>
      <w:tr w:rsidR="00025444" w14:paraId="6F470890" w14:textId="77777777" w:rsidTr="00A30351">
        <w:tc>
          <w:tcPr>
            <w:tcW w:w="6233" w:type="dxa"/>
            <w:gridSpan w:val="2"/>
          </w:tcPr>
          <w:p w14:paraId="51CAE1D8" w14:textId="77777777" w:rsidR="00025444" w:rsidRPr="000A1A3C" w:rsidRDefault="00025444" w:rsidP="00A30351">
            <w:pPr>
              <w:rPr>
                <w:color w:val="222222"/>
              </w:rPr>
            </w:pPr>
            <w:r w:rsidRPr="00C2583E">
              <w:rPr>
                <w:b/>
                <w:bCs/>
                <w:color w:val="222222"/>
              </w:rPr>
              <w:t>Mean age</w:t>
            </w:r>
            <w:r>
              <w:rPr>
                <w:color w:val="222222"/>
              </w:rPr>
              <w:t xml:space="preserve"> = 333.5 Ma</w:t>
            </w:r>
          </w:p>
        </w:tc>
      </w:tr>
    </w:tbl>
    <w:p w14:paraId="13206823" w14:textId="77777777" w:rsidR="00025444" w:rsidRPr="00392F1F" w:rsidRDefault="00025444" w:rsidP="00025444">
      <w:pPr>
        <w:rPr>
          <w:color w:val="222222"/>
        </w:rPr>
      </w:pPr>
      <w:r>
        <w:rPr>
          <w:color w:val="222222"/>
        </w:rPr>
        <w:t xml:space="preserve">Only studies using a monophyletic Lissamphibia topology without the use of </w:t>
      </w:r>
      <w:r w:rsidRPr="00392F1F">
        <w:rPr>
          <w:i/>
          <w:iCs/>
          <w:color w:val="222222"/>
        </w:rPr>
        <w:t>Gerobatrachus hottoni</w:t>
      </w:r>
      <w:r>
        <w:rPr>
          <w:i/>
          <w:iCs/>
          <w:color w:val="222222"/>
        </w:rPr>
        <w:t xml:space="preserve"> </w:t>
      </w:r>
      <w:r>
        <w:rPr>
          <w:color w:val="222222"/>
        </w:rPr>
        <w:t xml:space="preserve">as a node calibration shown. </w:t>
      </w:r>
      <w:bookmarkStart w:id="19" w:name="_Hlk99316379"/>
      <w:r>
        <w:rPr>
          <w:color w:val="222222"/>
        </w:rPr>
        <w:t>Reported a</w:t>
      </w:r>
      <w:r w:rsidRPr="00392F1F">
        <w:rPr>
          <w:color w:val="222222"/>
        </w:rPr>
        <w:t>ge</w:t>
      </w:r>
      <w:r>
        <w:rPr>
          <w:color w:val="222222"/>
        </w:rPr>
        <w:t xml:space="preserve">s </w:t>
      </w:r>
      <w:r w:rsidRPr="00392F1F">
        <w:rPr>
          <w:color w:val="222222"/>
        </w:rPr>
        <w:t>derived from timetree.org.</w:t>
      </w:r>
      <w:bookmarkEnd w:id="19"/>
    </w:p>
    <w:p w14:paraId="5D47C8E0" w14:textId="77777777" w:rsidR="00025444" w:rsidRDefault="00025444" w:rsidP="00025444">
      <w:pPr>
        <w:rPr>
          <w:b/>
          <w:bCs/>
          <w:color w:val="222222"/>
        </w:rPr>
      </w:pPr>
    </w:p>
    <w:p w14:paraId="70A3EA65" w14:textId="67BF6624" w:rsidR="00001691" w:rsidRDefault="00001691" w:rsidP="009C1A18">
      <w:pPr>
        <w:rPr>
          <w:color w:val="222222"/>
        </w:rPr>
      </w:pPr>
    </w:p>
    <w:p w14:paraId="34BE5FBA" w14:textId="18278D63" w:rsidR="00DE2A0F" w:rsidRDefault="00DE2A0F" w:rsidP="009C1A18">
      <w:pPr>
        <w:rPr>
          <w:color w:val="222222"/>
        </w:rPr>
      </w:pPr>
    </w:p>
    <w:p w14:paraId="4067BB79" w14:textId="0DFD15A4" w:rsidR="00DE2A0F" w:rsidRDefault="00DE2A0F" w:rsidP="009C1A18">
      <w:pPr>
        <w:rPr>
          <w:color w:val="222222"/>
        </w:rPr>
      </w:pPr>
    </w:p>
    <w:p w14:paraId="4133F89D" w14:textId="455E6C18" w:rsidR="00DE2A0F" w:rsidRDefault="00DE2A0F" w:rsidP="009C1A18">
      <w:pPr>
        <w:rPr>
          <w:color w:val="222222"/>
        </w:rPr>
      </w:pPr>
    </w:p>
    <w:p w14:paraId="5265B527" w14:textId="5F5CC269" w:rsidR="00DE2A0F" w:rsidRDefault="00DE2A0F" w:rsidP="009C1A18">
      <w:pPr>
        <w:rPr>
          <w:color w:val="222222"/>
        </w:rPr>
      </w:pPr>
    </w:p>
    <w:p w14:paraId="049B18FB" w14:textId="1DCCFBEC" w:rsidR="00DE2A0F" w:rsidRDefault="00DE2A0F" w:rsidP="009C1A18">
      <w:pPr>
        <w:rPr>
          <w:color w:val="222222"/>
        </w:rPr>
      </w:pPr>
    </w:p>
    <w:p w14:paraId="5BE94873" w14:textId="666C5B14" w:rsidR="00DE2A0F" w:rsidRDefault="00DE2A0F" w:rsidP="009C1A18">
      <w:pPr>
        <w:rPr>
          <w:color w:val="222222"/>
        </w:rPr>
      </w:pPr>
    </w:p>
    <w:p w14:paraId="65EEF571" w14:textId="4CD89E39" w:rsidR="00DE2A0F" w:rsidRDefault="00DE2A0F" w:rsidP="009C1A18">
      <w:pPr>
        <w:rPr>
          <w:color w:val="222222"/>
        </w:rPr>
      </w:pPr>
    </w:p>
    <w:p w14:paraId="2D3AE149" w14:textId="558E905A" w:rsidR="00DE2A0F" w:rsidRDefault="00DE2A0F" w:rsidP="009C1A18">
      <w:pPr>
        <w:rPr>
          <w:color w:val="222222"/>
        </w:rPr>
      </w:pPr>
    </w:p>
    <w:p w14:paraId="5944C1F5" w14:textId="5B665392" w:rsidR="00DE2A0F" w:rsidRDefault="00DE2A0F" w:rsidP="009C1A18">
      <w:pPr>
        <w:rPr>
          <w:color w:val="222222"/>
        </w:rPr>
      </w:pPr>
    </w:p>
    <w:p w14:paraId="7FA0E446" w14:textId="012D40A8" w:rsidR="00DE2A0F" w:rsidRDefault="00DE2A0F" w:rsidP="009C1A18">
      <w:pPr>
        <w:rPr>
          <w:color w:val="222222"/>
        </w:rPr>
      </w:pPr>
    </w:p>
    <w:p w14:paraId="40161438" w14:textId="05975AEC" w:rsidR="00DE2A0F" w:rsidRDefault="00DE2A0F" w:rsidP="009C1A18">
      <w:pPr>
        <w:rPr>
          <w:color w:val="222222"/>
        </w:rPr>
      </w:pPr>
    </w:p>
    <w:p w14:paraId="1A87BBB8" w14:textId="0E46D681" w:rsidR="00DE2A0F" w:rsidRDefault="00DE2A0F" w:rsidP="009C1A18">
      <w:pPr>
        <w:rPr>
          <w:color w:val="222222"/>
        </w:rPr>
      </w:pPr>
    </w:p>
    <w:p w14:paraId="4E9FD95F" w14:textId="29F7B5EA" w:rsidR="00DE2A0F" w:rsidRDefault="00DE2A0F" w:rsidP="009C1A18">
      <w:pPr>
        <w:rPr>
          <w:color w:val="222222"/>
        </w:rPr>
      </w:pPr>
    </w:p>
    <w:p w14:paraId="1F0A8915" w14:textId="426E94DD" w:rsidR="00DE2A0F" w:rsidRDefault="00DE2A0F" w:rsidP="009C1A18">
      <w:pPr>
        <w:rPr>
          <w:color w:val="222222"/>
        </w:rPr>
      </w:pPr>
    </w:p>
    <w:p w14:paraId="2751BF7F" w14:textId="4F95DCE6" w:rsidR="00DE2A0F" w:rsidRDefault="00DE2A0F" w:rsidP="009C1A18">
      <w:pPr>
        <w:rPr>
          <w:color w:val="222222"/>
        </w:rPr>
      </w:pPr>
    </w:p>
    <w:p w14:paraId="434835D3" w14:textId="73379B1F" w:rsidR="00DE2A0F" w:rsidRDefault="00DE2A0F" w:rsidP="009C1A18">
      <w:pPr>
        <w:rPr>
          <w:color w:val="222222"/>
        </w:rPr>
      </w:pPr>
    </w:p>
    <w:p w14:paraId="3746FA62" w14:textId="67D53FEF" w:rsidR="00DE2A0F" w:rsidRDefault="00DE2A0F" w:rsidP="009C1A18">
      <w:pPr>
        <w:rPr>
          <w:color w:val="222222"/>
        </w:rPr>
      </w:pPr>
    </w:p>
    <w:p w14:paraId="7B029514" w14:textId="1B5830AD" w:rsidR="00DE2A0F" w:rsidRDefault="00DE2A0F" w:rsidP="009C1A18">
      <w:pPr>
        <w:rPr>
          <w:color w:val="222222"/>
        </w:rPr>
      </w:pPr>
    </w:p>
    <w:p w14:paraId="215014F9" w14:textId="17F41AC2" w:rsidR="00DE2A0F" w:rsidRDefault="00DE2A0F" w:rsidP="009C1A18">
      <w:pPr>
        <w:rPr>
          <w:color w:val="222222"/>
        </w:rPr>
      </w:pPr>
    </w:p>
    <w:p w14:paraId="0AB33422" w14:textId="501E84AA" w:rsidR="00DE2A0F" w:rsidRDefault="00DE2A0F" w:rsidP="009C1A18">
      <w:pPr>
        <w:rPr>
          <w:color w:val="222222"/>
        </w:rPr>
      </w:pPr>
    </w:p>
    <w:p w14:paraId="3DD44640" w14:textId="296D2BDE" w:rsidR="00DE2A0F" w:rsidRDefault="00DE2A0F" w:rsidP="009C1A18">
      <w:pPr>
        <w:rPr>
          <w:color w:val="222222"/>
        </w:rPr>
      </w:pPr>
    </w:p>
    <w:p w14:paraId="5C38B16C" w14:textId="77777777" w:rsidR="00DE2A0F" w:rsidRDefault="00DE2A0F" w:rsidP="009C1A18">
      <w:pPr>
        <w:rPr>
          <w:color w:val="222222"/>
        </w:rPr>
      </w:pPr>
    </w:p>
    <w:p w14:paraId="4D15472B" w14:textId="6308369E" w:rsidR="00070137" w:rsidRDefault="00001691" w:rsidP="00001691">
      <w:pPr>
        <w:rPr>
          <w:b/>
          <w:bCs/>
          <w:color w:val="222222"/>
        </w:rPr>
      </w:pPr>
      <w:bookmarkStart w:id="20" w:name="_Hlk98857840"/>
      <w:r w:rsidRPr="00001691">
        <w:rPr>
          <w:b/>
          <w:bCs/>
          <w:color w:val="222222"/>
        </w:rPr>
        <w:lastRenderedPageBreak/>
        <w:t xml:space="preserve">Supplementary Table </w:t>
      </w:r>
      <w:r w:rsidR="00EC0DA7">
        <w:rPr>
          <w:b/>
          <w:bCs/>
          <w:color w:val="222222"/>
        </w:rPr>
        <w:t>5</w:t>
      </w:r>
      <w:r w:rsidRPr="00001691">
        <w:rPr>
          <w:b/>
          <w:bCs/>
          <w:color w:val="222222"/>
        </w:rPr>
        <w:t>: Gymnophionomorpha-Batrachia divergence data</w:t>
      </w:r>
      <w:r w:rsidR="00070137">
        <w:rPr>
          <w:b/>
          <w:bCs/>
          <w:color w:val="222222"/>
        </w:rPr>
        <w:t xml:space="preserve"> with </w:t>
      </w:r>
      <w:r w:rsidR="00070137" w:rsidRPr="00F36C83">
        <w:rPr>
          <w:b/>
          <w:bCs/>
          <w:i/>
          <w:iCs/>
          <w:color w:val="222222"/>
        </w:rPr>
        <w:t>Gerobatrachus</w:t>
      </w:r>
      <w:r w:rsidR="00070137">
        <w:rPr>
          <w:b/>
          <w:bCs/>
          <w:color w:val="222222"/>
        </w:rPr>
        <w:t xml:space="preserve"> calibration</w:t>
      </w:r>
    </w:p>
    <w:p w14:paraId="4D243F50" w14:textId="77777777" w:rsidR="006E6B01" w:rsidRDefault="006E6B01" w:rsidP="00001691">
      <w:pPr>
        <w:rPr>
          <w:b/>
          <w:bCs/>
          <w:color w:val="222222"/>
        </w:rPr>
      </w:pPr>
    </w:p>
    <w:tbl>
      <w:tblPr>
        <w:tblStyle w:val="TableGrid"/>
        <w:tblW w:w="0" w:type="auto"/>
        <w:tblLook w:val="04A0" w:firstRow="1" w:lastRow="0" w:firstColumn="1" w:lastColumn="0" w:noHBand="0" w:noVBand="1"/>
      </w:tblPr>
      <w:tblGrid>
        <w:gridCol w:w="3145"/>
        <w:gridCol w:w="3127"/>
      </w:tblGrid>
      <w:tr w:rsidR="00B64DA6" w:rsidRPr="00B0073B" w14:paraId="35265356" w14:textId="77777777" w:rsidTr="00662B68">
        <w:trPr>
          <w:trHeight w:val="289"/>
        </w:trPr>
        <w:tc>
          <w:tcPr>
            <w:tcW w:w="3145" w:type="dxa"/>
            <w:noWrap/>
          </w:tcPr>
          <w:bookmarkEnd w:id="20"/>
          <w:p w14:paraId="20D0DAA8" w14:textId="7E01CE37" w:rsidR="00B64DA6" w:rsidRPr="00662B68" w:rsidRDefault="00B64DA6" w:rsidP="00B64DA6">
            <w:pPr>
              <w:rPr>
                <w:color w:val="222222"/>
              </w:rPr>
            </w:pPr>
            <w:r>
              <w:rPr>
                <w:b/>
                <w:bCs/>
                <w:color w:val="222222"/>
              </w:rPr>
              <w:t>Age (Ma)</w:t>
            </w:r>
          </w:p>
        </w:tc>
        <w:tc>
          <w:tcPr>
            <w:tcW w:w="3127" w:type="dxa"/>
            <w:noWrap/>
          </w:tcPr>
          <w:p w14:paraId="0761271E" w14:textId="614F4EA9" w:rsidR="00B64DA6" w:rsidRPr="00662B68" w:rsidRDefault="00B64DA6" w:rsidP="00B64DA6">
            <w:pPr>
              <w:rPr>
                <w:color w:val="222222"/>
              </w:rPr>
            </w:pPr>
            <w:r>
              <w:rPr>
                <w:b/>
                <w:bCs/>
                <w:color w:val="222222"/>
              </w:rPr>
              <w:t>Reference</w:t>
            </w:r>
          </w:p>
        </w:tc>
      </w:tr>
      <w:tr w:rsidR="00B64DA6" w:rsidRPr="00B0073B" w14:paraId="47354F6F" w14:textId="77777777" w:rsidTr="00662B68">
        <w:trPr>
          <w:trHeight w:val="289"/>
        </w:trPr>
        <w:tc>
          <w:tcPr>
            <w:tcW w:w="3145" w:type="dxa"/>
            <w:noWrap/>
            <w:hideMark/>
          </w:tcPr>
          <w:p w14:paraId="62B17AF8" w14:textId="77777777" w:rsidR="00B64DA6" w:rsidRPr="00662B68" w:rsidRDefault="00B64DA6" w:rsidP="00B64DA6">
            <w:pPr>
              <w:rPr>
                <w:color w:val="222222"/>
              </w:rPr>
            </w:pPr>
            <w:r w:rsidRPr="00662B68">
              <w:rPr>
                <w:color w:val="222222"/>
              </w:rPr>
              <w:t>270.9</w:t>
            </w:r>
          </w:p>
        </w:tc>
        <w:tc>
          <w:tcPr>
            <w:tcW w:w="3127" w:type="dxa"/>
            <w:noWrap/>
            <w:hideMark/>
          </w:tcPr>
          <w:p w14:paraId="73ACD91A" w14:textId="46FE2F90" w:rsidR="00B64DA6" w:rsidRPr="00662B68" w:rsidRDefault="00B64DA6" w:rsidP="00B64DA6">
            <w:pPr>
              <w:rPr>
                <w:color w:val="222222"/>
              </w:rPr>
            </w:pPr>
            <w:r w:rsidRPr="00662B68">
              <w:rPr>
                <w:color w:val="222222"/>
              </w:rPr>
              <w:t>Pyron</w:t>
            </w:r>
            <w:r>
              <w:rPr>
                <w:color w:val="222222"/>
              </w:rPr>
              <w:t xml:space="preserve">, </w:t>
            </w:r>
            <w:r w:rsidRPr="00662B68">
              <w:rPr>
                <w:color w:val="222222"/>
              </w:rPr>
              <w:t>2014</w:t>
            </w:r>
          </w:p>
        </w:tc>
      </w:tr>
      <w:tr w:rsidR="00B64DA6" w:rsidRPr="00B0073B" w14:paraId="67AF05F1" w14:textId="77777777" w:rsidTr="00662B68">
        <w:trPr>
          <w:trHeight w:val="289"/>
        </w:trPr>
        <w:tc>
          <w:tcPr>
            <w:tcW w:w="3145" w:type="dxa"/>
            <w:noWrap/>
            <w:hideMark/>
          </w:tcPr>
          <w:p w14:paraId="633520B3" w14:textId="77777777" w:rsidR="00B64DA6" w:rsidRPr="00662B68" w:rsidRDefault="00B64DA6" w:rsidP="00B64DA6">
            <w:pPr>
              <w:rPr>
                <w:color w:val="222222"/>
              </w:rPr>
            </w:pPr>
            <w:r w:rsidRPr="00662B68">
              <w:rPr>
                <w:color w:val="222222"/>
              </w:rPr>
              <w:t>282</w:t>
            </w:r>
          </w:p>
        </w:tc>
        <w:tc>
          <w:tcPr>
            <w:tcW w:w="3127" w:type="dxa"/>
            <w:noWrap/>
            <w:hideMark/>
          </w:tcPr>
          <w:p w14:paraId="2E25804A" w14:textId="383833BE" w:rsidR="00B64DA6" w:rsidRPr="00662B68" w:rsidRDefault="00B64DA6" w:rsidP="00B64DA6">
            <w:pPr>
              <w:rPr>
                <w:color w:val="222222"/>
              </w:rPr>
            </w:pPr>
            <w:r w:rsidRPr="00662B68">
              <w:rPr>
                <w:color w:val="222222"/>
              </w:rPr>
              <w:t>Marjanović et al.</w:t>
            </w:r>
            <w:r>
              <w:rPr>
                <w:color w:val="222222"/>
              </w:rPr>
              <w:t xml:space="preserve">, </w:t>
            </w:r>
            <w:r w:rsidRPr="00662B68">
              <w:rPr>
                <w:color w:val="222222"/>
              </w:rPr>
              <w:t>2007</w:t>
            </w:r>
          </w:p>
        </w:tc>
      </w:tr>
      <w:tr w:rsidR="00B64DA6" w:rsidRPr="00B0073B" w14:paraId="4247D72B" w14:textId="77777777" w:rsidTr="00662B68">
        <w:trPr>
          <w:trHeight w:val="289"/>
        </w:trPr>
        <w:tc>
          <w:tcPr>
            <w:tcW w:w="3145" w:type="dxa"/>
            <w:noWrap/>
            <w:hideMark/>
          </w:tcPr>
          <w:p w14:paraId="4083E59D" w14:textId="77777777" w:rsidR="00B64DA6" w:rsidRPr="00662B68" w:rsidRDefault="00B64DA6" w:rsidP="00B64DA6">
            <w:pPr>
              <w:rPr>
                <w:color w:val="222222"/>
              </w:rPr>
            </w:pPr>
            <w:r w:rsidRPr="00662B68">
              <w:rPr>
                <w:color w:val="222222"/>
              </w:rPr>
              <w:t>294</w:t>
            </w:r>
          </w:p>
        </w:tc>
        <w:tc>
          <w:tcPr>
            <w:tcW w:w="3127" w:type="dxa"/>
            <w:noWrap/>
            <w:hideMark/>
          </w:tcPr>
          <w:p w14:paraId="6DFC74A1" w14:textId="4789F963" w:rsidR="00B64DA6" w:rsidRPr="00662B68" w:rsidRDefault="00B64DA6" w:rsidP="00B64DA6">
            <w:pPr>
              <w:rPr>
                <w:color w:val="222222"/>
              </w:rPr>
            </w:pPr>
            <w:r w:rsidRPr="00662B68">
              <w:rPr>
                <w:color w:val="222222"/>
              </w:rPr>
              <w:t xml:space="preserve">Hedges </w:t>
            </w:r>
            <w:r>
              <w:rPr>
                <w:color w:val="222222"/>
              </w:rPr>
              <w:t xml:space="preserve">&amp; Kumar, </w:t>
            </w:r>
            <w:r w:rsidRPr="00662B68">
              <w:rPr>
                <w:color w:val="222222"/>
              </w:rPr>
              <w:t>2009</w:t>
            </w:r>
          </w:p>
        </w:tc>
      </w:tr>
      <w:tr w:rsidR="00B64DA6" w:rsidRPr="00B0073B" w14:paraId="000817B2" w14:textId="77777777" w:rsidTr="00662B68">
        <w:trPr>
          <w:trHeight w:val="289"/>
        </w:trPr>
        <w:tc>
          <w:tcPr>
            <w:tcW w:w="3145" w:type="dxa"/>
            <w:noWrap/>
            <w:hideMark/>
          </w:tcPr>
          <w:p w14:paraId="5916761E" w14:textId="77777777" w:rsidR="00B64DA6" w:rsidRPr="00662B68" w:rsidRDefault="00B64DA6" w:rsidP="00B64DA6">
            <w:pPr>
              <w:rPr>
                <w:color w:val="222222"/>
              </w:rPr>
            </w:pPr>
            <w:r w:rsidRPr="00662B68">
              <w:rPr>
                <w:color w:val="222222"/>
              </w:rPr>
              <w:t>295</w:t>
            </w:r>
          </w:p>
        </w:tc>
        <w:tc>
          <w:tcPr>
            <w:tcW w:w="3127" w:type="dxa"/>
            <w:noWrap/>
            <w:hideMark/>
          </w:tcPr>
          <w:p w14:paraId="4038E649" w14:textId="4B5C1BDB" w:rsidR="00B64DA6" w:rsidRPr="00662B68" w:rsidRDefault="00B64DA6" w:rsidP="00B64DA6">
            <w:pPr>
              <w:rPr>
                <w:color w:val="222222"/>
              </w:rPr>
            </w:pPr>
            <w:r w:rsidRPr="00662B68">
              <w:rPr>
                <w:color w:val="222222"/>
              </w:rPr>
              <w:t xml:space="preserve">Zhang </w:t>
            </w:r>
            <w:r>
              <w:rPr>
                <w:color w:val="222222"/>
              </w:rPr>
              <w:t xml:space="preserve">&amp; Wake, </w:t>
            </w:r>
            <w:r w:rsidRPr="00662B68">
              <w:rPr>
                <w:color w:val="222222"/>
              </w:rPr>
              <w:t>2009</w:t>
            </w:r>
            <w:r>
              <w:rPr>
                <w:color w:val="222222"/>
              </w:rPr>
              <w:t>a</w:t>
            </w:r>
          </w:p>
        </w:tc>
      </w:tr>
      <w:tr w:rsidR="00B64DA6" w:rsidRPr="00B0073B" w14:paraId="6AA88066" w14:textId="77777777" w:rsidTr="00662B68">
        <w:trPr>
          <w:trHeight w:val="289"/>
        </w:trPr>
        <w:tc>
          <w:tcPr>
            <w:tcW w:w="3145" w:type="dxa"/>
            <w:noWrap/>
            <w:hideMark/>
          </w:tcPr>
          <w:p w14:paraId="5181CA0D" w14:textId="77777777" w:rsidR="00B64DA6" w:rsidRPr="00662B68" w:rsidRDefault="00B64DA6" w:rsidP="00B64DA6">
            <w:pPr>
              <w:rPr>
                <w:color w:val="222222"/>
              </w:rPr>
            </w:pPr>
            <w:r w:rsidRPr="00662B68">
              <w:rPr>
                <w:color w:val="222222"/>
              </w:rPr>
              <w:t>297.3</w:t>
            </w:r>
          </w:p>
        </w:tc>
        <w:tc>
          <w:tcPr>
            <w:tcW w:w="3127" w:type="dxa"/>
            <w:noWrap/>
            <w:hideMark/>
          </w:tcPr>
          <w:p w14:paraId="48F38444" w14:textId="27DD03BD" w:rsidR="00B64DA6" w:rsidRPr="00662B68" w:rsidRDefault="00B64DA6" w:rsidP="00B64DA6">
            <w:pPr>
              <w:rPr>
                <w:color w:val="222222"/>
              </w:rPr>
            </w:pPr>
            <w:r w:rsidRPr="00662B68">
              <w:rPr>
                <w:color w:val="222222"/>
              </w:rPr>
              <w:t>Feng et al.</w:t>
            </w:r>
            <w:r>
              <w:rPr>
                <w:color w:val="222222"/>
              </w:rPr>
              <w:t xml:space="preserve">, </w:t>
            </w:r>
            <w:r w:rsidRPr="00662B68">
              <w:rPr>
                <w:color w:val="222222"/>
              </w:rPr>
              <w:t xml:space="preserve">2017 </w:t>
            </w:r>
          </w:p>
        </w:tc>
      </w:tr>
      <w:tr w:rsidR="00B64DA6" w:rsidRPr="00B0073B" w14:paraId="22AD6BD0" w14:textId="77777777" w:rsidTr="00662B68">
        <w:trPr>
          <w:trHeight w:val="289"/>
        </w:trPr>
        <w:tc>
          <w:tcPr>
            <w:tcW w:w="3145" w:type="dxa"/>
            <w:noWrap/>
            <w:hideMark/>
          </w:tcPr>
          <w:p w14:paraId="5D52AB0F" w14:textId="77777777" w:rsidR="00B64DA6" w:rsidRPr="00662B68" w:rsidRDefault="00B64DA6" w:rsidP="00B64DA6">
            <w:pPr>
              <w:rPr>
                <w:color w:val="222222"/>
              </w:rPr>
            </w:pPr>
            <w:r w:rsidRPr="00662B68">
              <w:rPr>
                <w:color w:val="222222"/>
              </w:rPr>
              <w:t>297.9</w:t>
            </w:r>
          </w:p>
        </w:tc>
        <w:tc>
          <w:tcPr>
            <w:tcW w:w="3127" w:type="dxa"/>
            <w:noWrap/>
            <w:hideMark/>
          </w:tcPr>
          <w:p w14:paraId="1E4A782D" w14:textId="4911DE19" w:rsidR="00B64DA6" w:rsidRPr="00662B68" w:rsidRDefault="00B64DA6" w:rsidP="00B64DA6">
            <w:pPr>
              <w:rPr>
                <w:color w:val="222222"/>
              </w:rPr>
            </w:pPr>
            <w:r w:rsidRPr="00662B68">
              <w:rPr>
                <w:color w:val="222222"/>
              </w:rPr>
              <w:t>Laurin et al.</w:t>
            </w:r>
            <w:r>
              <w:rPr>
                <w:color w:val="222222"/>
              </w:rPr>
              <w:t xml:space="preserve">, </w:t>
            </w:r>
            <w:r w:rsidRPr="00662B68">
              <w:rPr>
                <w:color w:val="222222"/>
              </w:rPr>
              <w:t>201</w:t>
            </w:r>
            <w:r>
              <w:rPr>
                <w:color w:val="222222"/>
              </w:rPr>
              <w:t>9</w:t>
            </w:r>
            <w:r w:rsidRPr="00662B68">
              <w:rPr>
                <w:color w:val="222222"/>
              </w:rPr>
              <w:t xml:space="preserve"> </w:t>
            </w:r>
          </w:p>
        </w:tc>
      </w:tr>
      <w:tr w:rsidR="00B64DA6" w:rsidRPr="00B0073B" w14:paraId="03323D3D" w14:textId="77777777" w:rsidTr="00662B68">
        <w:trPr>
          <w:trHeight w:val="289"/>
        </w:trPr>
        <w:tc>
          <w:tcPr>
            <w:tcW w:w="3145" w:type="dxa"/>
            <w:noWrap/>
            <w:hideMark/>
          </w:tcPr>
          <w:p w14:paraId="720DD171" w14:textId="77777777" w:rsidR="00B64DA6" w:rsidRPr="00662B68" w:rsidRDefault="00B64DA6" w:rsidP="00B64DA6">
            <w:pPr>
              <w:rPr>
                <w:color w:val="222222"/>
              </w:rPr>
            </w:pPr>
            <w:r w:rsidRPr="00662B68">
              <w:rPr>
                <w:color w:val="222222"/>
              </w:rPr>
              <w:t>305.8</w:t>
            </w:r>
          </w:p>
        </w:tc>
        <w:tc>
          <w:tcPr>
            <w:tcW w:w="3127" w:type="dxa"/>
            <w:noWrap/>
            <w:hideMark/>
          </w:tcPr>
          <w:p w14:paraId="3D5FC62F" w14:textId="034E43FE" w:rsidR="00B64DA6" w:rsidRPr="00662B68" w:rsidRDefault="00B64DA6" w:rsidP="00B64DA6">
            <w:pPr>
              <w:rPr>
                <w:color w:val="222222"/>
              </w:rPr>
            </w:pPr>
            <w:r w:rsidRPr="00662B68">
              <w:rPr>
                <w:color w:val="222222"/>
              </w:rPr>
              <w:t>Pyron</w:t>
            </w:r>
            <w:r>
              <w:rPr>
                <w:color w:val="222222"/>
              </w:rPr>
              <w:t xml:space="preserve">, </w:t>
            </w:r>
            <w:r w:rsidRPr="00662B68">
              <w:rPr>
                <w:color w:val="222222"/>
              </w:rPr>
              <w:t>2011</w:t>
            </w:r>
          </w:p>
        </w:tc>
      </w:tr>
      <w:tr w:rsidR="00B64DA6" w:rsidRPr="00B0073B" w14:paraId="502F68B1" w14:textId="77777777" w:rsidTr="00662B68">
        <w:trPr>
          <w:trHeight w:val="289"/>
        </w:trPr>
        <w:tc>
          <w:tcPr>
            <w:tcW w:w="3145" w:type="dxa"/>
            <w:noWrap/>
            <w:hideMark/>
          </w:tcPr>
          <w:p w14:paraId="3963F699" w14:textId="77777777" w:rsidR="00B64DA6" w:rsidRPr="00662B68" w:rsidRDefault="00B64DA6" w:rsidP="00B64DA6">
            <w:pPr>
              <w:rPr>
                <w:color w:val="222222"/>
              </w:rPr>
            </w:pPr>
            <w:r w:rsidRPr="00662B68">
              <w:rPr>
                <w:color w:val="222222"/>
              </w:rPr>
              <w:t>308</w:t>
            </w:r>
          </w:p>
        </w:tc>
        <w:tc>
          <w:tcPr>
            <w:tcW w:w="3127" w:type="dxa"/>
            <w:noWrap/>
            <w:hideMark/>
          </w:tcPr>
          <w:p w14:paraId="097A13EA" w14:textId="36E7AA0B" w:rsidR="00B64DA6" w:rsidRPr="00662B68" w:rsidRDefault="00B64DA6" w:rsidP="00B64DA6">
            <w:pPr>
              <w:rPr>
                <w:color w:val="222222"/>
              </w:rPr>
            </w:pPr>
            <w:r w:rsidRPr="00662B68">
              <w:rPr>
                <w:color w:val="222222"/>
              </w:rPr>
              <w:t xml:space="preserve">Zhang </w:t>
            </w:r>
            <w:r>
              <w:rPr>
                <w:color w:val="222222"/>
              </w:rPr>
              <w:t xml:space="preserve">&amp; Wake, </w:t>
            </w:r>
            <w:r w:rsidRPr="00662B68">
              <w:rPr>
                <w:color w:val="222222"/>
              </w:rPr>
              <w:t>2009</w:t>
            </w:r>
            <w:r>
              <w:rPr>
                <w:color w:val="222222"/>
              </w:rPr>
              <w:t>b</w:t>
            </w:r>
          </w:p>
        </w:tc>
      </w:tr>
      <w:tr w:rsidR="00B64DA6" w:rsidRPr="00B0073B" w14:paraId="3EE2F959" w14:textId="77777777" w:rsidTr="00662B68">
        <w:trPr>
          <w:trHeight w:val="289"/>
        </w:trPr>
        <w:tc>
          <w:tcPr>
            <w:tcW w:w="3145" w:type="dxa"/>
            <w:noWrap/>
            <w:hideMark/>
          </w:tcPr>
          <w:p w14:paraId="45D039BF" w14:textId="77777777" w:rsidR="00B64DA6" w:rsidRPr="00662B68" w:rsidRDefault="00B64DA6" w:rsidP="00B64DA6">
            <w:pPr>
              <w:rPr>
                <w:color w:val="222222"/>
              </w:rPr>
            </w:pPr>
            <w:r w:rsidRPr="00662B68">
              <w:rPr>
                <w:color w:val="222222"/>
              </w:rPr>
              <w:t>314.8</w:t>
            </w:r>
          </w:p>
        </w:tc>
        <w:tc>
          <w:tcPr>
            <w:tcW w:w="3127" w:type="dxa"/>
            <w:noWrap/>
            <w:hideMark/>
          </w:tcPr>
          <w:p w14:paraId="1F53C3F5" w14:textId="225C6AC6" w:rsidR="00B64DA6" w:rsidRPr="00662B68" w:rsidRDefault="00B64DA6" w:rsidP="00B64DA6">
            <w:pPr>
              <w:rPr>
                <w:color w:val="222222"/>
              </w:rPr>
            </w:pPr>
            <w:r w:rsidRPr="00662B68">
              <w:rPr>
                <w:color w:val="222222"/>
              </w:rPr>
              <w:t>Shen et al.</w:t>
            </w:r>
            <w:r>
              <w:rPr>
                <w:color w:val="222222"/>
              </w:rPr>
              <w:t xml:space="preserve">, </w:t>
            </w:r>
            <w:r w:rsidRPr="00662B68">
              <w:rPr>
                <w:color w:val="222222"/>
              </w:rPr>
              <w:t>2012</w:t>
            </w:r>
          </w:p>
        </w:tc>
      </w:tr>
      <w:tr w:rsidR="00B64DA6" w:rsidRPr="00B0073B" w14:paraId="4FDBB505" w14:textId="77777777" w:rsidTr="00662B68">
        <w:trPr>
          <w:trHeight w:val="289"/>
        </w:trPr>
        <w:tc>
          <w:tcPr>
            <w:tcW w:w="3145" w:type="dxa"/>
            <w:noWrap/>
            <w:hideMark/>
          </w:tcPr>
          <w:p w14:paraId="24849823" w14:textId="77777777" w:rsidR="00B64DA6" w:rsidRPr="00662B68" w:rsidRDefault="00B64DA6" w:rsidP="00B64DA6">
            <w:pPr>
              <w:rPr>
                <w:color w:val="222222"/>
              </w:rPr>
            </w:pPr>
            <w:r w:rsidRPr="00662B68">
              <w:rPr>
                <w:color w:val="222222"/>
              </w:rPr>
              <w:t>316.9</w:t>
            </w:r>
          </w:p>
        </w:tc>
        <w:tc>
          <w:tcPr>
            <w:tcW w:w="3127" w:type="dxa"/>
            <w:noWrap/>
            <w:hideMark/>
          </w:tcPr>
          <w:p w14:paraId="2334522E" w14:textId="75E74403" w:rsidR="00B64DA6" w:rsidRPr="00662B68" w:rsidRDefault="00B64DA6" w:rsidP="00B64DA6">
            <w:pPr>
              <w:rPr>
                <w:color w:val="222222"/>
              </w:rPr>
            </w:pPr>
            <w:r w:rsidRPr="00662B68">
              <w:rPr>
                <w:color w:val="222222"/>
              </w:rPr>
              <w:t>San Mauro</w:t>
            </w:r>
            <w:r>
              <w:rPr>
                <w:color w:val="222222"/>
              </w:rPr>
              <w:t>, 2</w:t>
            </w:r>
            <w:r w:rsidRPr="00662B68">
              <w:rPr>
                <w:color w:val="222222"/>
              </w:rPr>
              <w:t>010</w:t>
            </w:r>
          </w:p>
        </w:tc>
      </w:tr>
      <w:tr w:rsidR="00B64DA6" w:rsidRPr="00B0073B" w14:paraId="16958883" w14:textId="77777777" w:rsidTr="00662B68">
        <w:trPr>
          <w:trHeight w:val="289"/>
        </w:trPr>
        <w:tc>
          <w:tcPr>
            <w:tcW w:w="3145" w:type="dxa"/>
            <w:noWrap/>
            <w:hideMark/>
          </w:tcPr>
          <w:p w14:paraId="3ABC4EAB" w14:textId="77777777" w:rsidR="00B64DA6" w:rsidRPr="00662B68" w:rsidRDefault="00B64DA6" w:rsidP="00B64DA6">
            <w:pPr>
              <w:rPr>
                <w:color w:val="222222"/>
              </w:rPr>
            </w:pPr>
            <w:r w:rsidRPr="00662B68">
              <w:rPr>
                <w:color w:val="222222"/>
              </w:rPr>
              <w:t>317.5</w:t>
            </w:r>
          </w:p>
        </w:tc>
        <w:tc>
          <w:tcPr>
            <w:tcW w:w="3127" w:type="dxa"/>
            <w:noWrap/>
            <w:hideMark/>
          </w:tcPr>
          <w:p w14:paraId="2B742071" w14:textId="73E00514" w:rsidR="00B64DA6" w:rsidRPr="00662B68" w:rsidRDefault="00B64DA6" w:rsidP="00B64DA6">
            <w:pPr>
              <w:rPr>
                <w:color w:val="222222"/>
              </w:rPr>
            </w:pPr>
            <w:proofErr w:type="spellStart"/>
            <w:r w:rsidRPr="00662B68">
              <w:rPr>
                <w:color w:val="222222"/>
              </w:rPr>
              <w:t>Bonett</w:t>
            </w:r>
            <w:proofErr w:type="spellEnd"/>
            <w:r w:rsidRPr="00662B68">
              <w:rPr>
                <w:color w:val="222222"/>
              </w:rPr>
              <w:t xml:space="preserve"> et al.</w:t>
            </w:r>
            <w:r>
              <w:rPr>
                <w:color w:val="222222"/>
              </w:rPr>
              <w:t xml:space="preserve">, </w:t>
            </w:r>
            <w:r w:rsidRPr="00662B68">
              <w:rPr>
                <w:color w:val="222222"/>
              </w:rPr>
              <w:t>2013</w:t>
            </w:r>
          </w:p>
        </w:tc>
      </w:tr>
      <w:tr w:rsidR="00B64DA6" w:rsidRPr="00B0073B" w14:paraId="2210CB90" w14:textId="77777777" w:rsidTr="00662B68">
        <w:trPr>
          <w:trHeight w:val="289"/>
        </w:trPr>
        <w:tc>
          <w:tcPr>
            <w:tcW w:w="3145" w:type="dxa"/>
            <w:noWrap/>
            <w:hideMark/>
          </w:tcPr>
          <w:p w14:paraId="01A2C23D" w14:textId="77777777" w:rsidR="00B64DA6" w:rsidRPr="00662B68" w:rsidRDefault="00B64DA6" w:rsidP="00B64DA6">
            <w:pPr>
              <w:rPr>
                <w:color w:val="222222"/>
              </w:rPr>
            </w:pPr>
            <w:r w:rsidRPr="00662B68">
              <w:rPr>
                <w:color w:val="222222"/>
              </w:rPr>
              <w:t>318.1</w:t>
            </w:r>
          </w:p>
        </w:tc>
        <w:tc>
          <w:tcPr>
            <w:tcW w:w="3127" w:type="dxa"/>
            <w:noWrap/>
            <w:hideMark/>
          </w:tcPr>
          <w:p w14:paraId="06A4DE64" w14:textId="28E22D6A" w:rsidR="00B64DA6" w:rsidRPr="00662B68" w:rsidRDefault="00B64DA6" w:rsidP="00B64DA6">
            <w:pPr>
              <w:rPr>
                <w:color w:val="222222"/>
              </w:rPr>
            </w:pPr>
            <w:proofErr w:type="spellStart"/>
            <w:r w:rsidRPr="00662B68">
              <w:rPr>
                <w:color w:val="222222"/>
              </w:rPr>
              <w:t>Kumazawa</w:t>
            </w:r>
            <w:proofErr w:type="spellEnd"/>
            <w:r>
              <w:rPr>
                <w:color w:val="222222"/>
              </w:rPr>
              <w:t xml:space="preserve">, </w:t>
            </w:r>
            <w:r w:rsidRPr="00662B68">
              <w:rPr>
                <w:color w:val="222222"/>
              </w:rPr>
              <w:t>2007</w:t>
            </w:r>
          </w:p>
        </w:tc>
      </w:tr>
      <w:tr w:rsidR="00B64DA6" w:rsidRPr="00B0073B" w14:paraId="7DDF7C2B" w14:textId="77777777" w:rsidTr="00662B68">
        <w:trPr>
          <w:trHeight w:val="289"/>
        </w:trPr>
        <w:tc>
          <w:tcPr>
            <w:tcW w:w="3145" w:type="dxa"/>
            <w:noWrap/>
            <w:hideMark/>
          </w:tcPr>
          <w:p w14:paraId="795E0895" w14:textId="77777777" w:rsidR="00B64DA6" w:rsidRPr="00662B68" w:rsidRDefault="00B64DA6" w:rsidP="00B64DA6">
            <w:pPr>
              <w:rPr>
                <w:color w:val="222222"/>
              </w:rPr>
            </w:pPr>
            <w:r w:rsidRPr="00662B68">
              <w:rPr>
                <w:color w:val="222222"/>
              </w:rPr>
              <w:t>319.7</w:t>
            </w:r>
          </w:p>
        </w:tc>
        <w:tc>
          <w:tcPr>
            <w:tcW w:w="3127" w:type="dxa"/>
            <w:noWrap/>
            <w:hideMark/>
          </w:tcPr>
          <w:p w14:paraId="09FC7228" w14:textId="0166B6BB" w:rsidR="00B64DA6" w:rsidRPr="00662B68" w:rsidRDefault="00B64DA6" w:rsidP="00B64DA6">
            <w:pPr>
              <w:rPr>
                <w:color w:val="222222"/>
              </w:rPr>
            </w:pPr>
            <w:r w:rsidRPr="00662B68">
              <w:rPr>
                <w:color w:val="222222"/>
              </w:rPr>
              <w:t>Shen et al.</w:t>
            </w:r>
            <w:r>
              <w:rPr>
                <w:color w:val="222222"/>
              </w:rPr>
              <w:t xml:space="preserve">, </w:t>
            </w:r>
            <w:r w:rsidRPr="00662B68">
              <w:rPr>
                <w:color w:val="222222"/>
              </w:rPr>
              <w:t>2011</w:t>
            </w:r>
          </w:p>
        </w:tc>
      </w:tr>
      <w:tr w:rsidR="00B64DA6" w:rsidRPr="00B0073B" w14:paraId="1A2938EB" w14:textId="77777777" w:rsidTr="00662B68">
        <w:trPr>
          <w:trHeight w:val="289"/>
        </w:trPr>
        <w:tc>
          <w:tcPr>
            <w:tcW w:w="3145" w:type="dxa"/>
            <w:noWrap/>
            <w:hideMark/>
          </w:tcPr>
          <w:p w14:paraId="01AB846C" w14:textId="77777777" w:rsidR="00B64DA6" w:rsidRPr="00662B68" w:rsidRDefault="00B64DA6" w:rsidP="00B64DA6">
            <w:pPr>
              <w:rPr>
                <w:color w:val="222222"/>
              </w:rPr>
            </w:pPr>
            <w:r w:rsidRPr="00662B68">
              <w:rPr>
                <w:color w:val="222222"/>
              </w:rPr>
              <w:t>320.1</w:t>
            </w:r>
          </w:p>
        </w:tc>
        <w:tc>
          <w:tcPr>
            <w:tcW w:w="3127" w:type="dxa"/>
            <w:noWrap/>
            <w:hideMark/>
          </w:tcPr>
          <w:p w14:paraId="023E9B76" w14:textId="29CBD91D" w:rsidR="00B64DA6" w:rsidRPr="00662B68" w:rsidRDefault="00B64DA6" w:rsidP="00B64DA6">
            <w:pPr>
              <w:rPr>
                <w:color w:val="222222"/>
              </w:rPr>
            </w:pPr>
            <w:r w:rsidRPr="00662B68">
              <w:rPr>
                <w:color w:val="222222"/>
              </w:rPr>
              <w:t>Alfaro et al.</w:t>
            </w:r>
            <w:r>
              <w:rPr>
                <w:color w:val="222222"/>
              </w:rPr>
              <w:t xml:space="preserve">, </w:t>
            </w:r>
            <w:r w:rsidRPr="00662B68">
              <w:rPr>
                <w:color w:val="222222"/>
              </w:rPr>
              <w:t>2009</w:t>
            </w:r>
          </w:p>
        </w:tc>
      </w:tr>
      <w:tr w:rsidR="00B64DA6" w:rsidRPr="00B0073B" w14:paraId="6BDA98FB" w14:textId="77777777" w:rsidTr="00662B68">
        <w:trPr>
          <w:trHeight w:val="289"/>
        </w:trPr>
        <w:tc>
          <w:tcPr>
            <w:tcW w:w="3145" w:type="dxa"/>
            <w:noWrap/>
            <w:hideMark/>
          </w:tcPr>
          <w:p w14:paraId="3A79579A" w14:textId="77777777" w:rsidR="00B64DA6" w:rsidRPr="00662B68" w:rsidRDefault="00B64DA6" w:rsidP="00B64DA6">
            <w:pPr>
              <w:rPr>
                <w:color w:val="222222"/>
              </w:rPr>
            </w:pPr>
            <w:r w:rsidRPr="00662B68">
              <w:rPr>
                <w:color w:val="222222"/>
              </w:rPr>
              <w:t>320.9</w:t>
            </w:r>
          </w:p>
        </w:tc>
        <w:tc>
          <w:tcPr>
            <w:tcW w:w="3127" w:type="dxa"/>
            <w:noWrap/>
            <w:hideMark/>
          </w:tcPr>
          <w:p w14:paraId="0D32DA02" w14:textId="66E86353" w:rsidR="00B64DA6" w:rsidRPr="00662B68" w:rsidRDefault="00B64DA6" w:rsidP="00B64DA6">
            <w:pPr>
              <w:rPr>
                <w:color w:val="222222"/>
              </w:rPr>
            </w:pPr>
            <w:proofErr w:type="spellStart"/>
            <w:r w:rsidRPr="00662B68">
              <w:rPr>
                <w:color w:val="222222"/>
              </w:rPr>
              <w:t>Irisarri</w:t>
            </w:r>
            <w:proofErr w:type="spellEnd"/>
            <w:r w:rsidRPr="00662B68">
              <w:rPr>
                <w:color w:val="222222"/>
              </w:rPr>
              <w:t xml:space="preserve"> et al.</w:t>
            </w:r>
            <w:r>
              <w:rPr>
                <w:color w:val="222222"/>
              </w:rPr>
              <w:t xml:space="preserve">, </w:t>
            </w:r>
            <w:r w:rsidRPr="00662B68">
              <w:rPr>
                <w:color w:val="222222"/>
              </w:rPr>
              <w:t>2012</w:t>
            </w:r>
          </w:p>
        </w:tc>
      </w:tr>
      <w:tr w:rsidR="00B64DA6" w:rsidRPr="00B0073B" w14:paraId="76FE32A7" w14:textId="77777777" w:rsidTr="00662B68">
        <w:trPr>
          <w:trHeight w:val="289"/>
        </w:trPr>
        <w:tc>
          <w:tcPr>
            <w:tcW w:w="3145" w:type="dxa"/>
            <w:noWrap/>
            <w:hideMark/>
          </w:tcPr>
          <w:p w14:paraId="3C2BCA4C" w14:textId="77777777" w:rsidR="00B64DA6" w:rsidRPr="00662B68" w:rsidRDefault="00B64DA6" w:rsidP="00B64DA6">
            <w:pPr>
              <w:rPr>
                <w:color w:val="222222"/>
              </w:rPr>
            </w:pPr>
            <w:r w:rsidRPr="00662B68">
              <w:rPr>
                <w:color w:val="222222"/>
              </w:rPr>
              <w:t>322</w:t>
            </w:r>
          </w:p>
        </w:tc>
        <w:tc>
          <w:tcPr>
            <w:tcW w:w="3127" w:type="dxa"/>
            <w:noWrap/>
            <w:hideMark/>
          </w:tcPr>
          <w:p w14:paraId="4C7ECA90" w14:textId="46CC23C3" w:rsidR="00B64DA6" w:rsidRPr="00662B68" w:rsidRDefault="00B64DA6" w:rsidP="00B64DA6">
            <w:pPr>
              <w:rPr>
                <w:color w:val="222222"/>
              </w:rPr>
            </w:pPr>
            <w:proofErr w:type="spellStart"/>
            <w:r w:rsidRPr="00662B68">
              <w:rPr>
                <w:color w:val="222222"/>
              </w:rPr>
              <w:t>Hugall</w:t>
            </w:r>
            <w:proofErr w:type="spellEnd"/>
            <w:r w:rsidRPr="00662B68">
              <w:rPr>
                <w:color w:val="222222"/>
              </w:rPr>
              <w:t xml:space="preserve"> et al.</w:t>
            </w:r>
            <w:r>
              <w:rPr>
                <w:color w:val="222222"/>
              </w:rPr>
              <w:t xml:space="preserve">, </w:t>
            </w:r>
            <w:r w:rsidRPr="00662B68">
              <w:rPr>
                <w:color w:val="222222"/>
              </w:rPr>
              <w:t>2007</w:t>
            </w:r>
          </w:p>
        </w:tc>
      </w:tr>
      <w:tr w:rsidR="00B64DA6" w:rsidRPr="00B0073B" w14:paraId="3023DC7A" w14:textId="77777777" w:rsidTr="00662B68">
        <w:trPr>
          <w:trHeight w:val="289"/>
        </w:trPr>
        <w:tc>
          <w:tcPr>
            <w:tcW w:w="3145" w:type="dxa"/>
            <w:noWrap/>
            <w:hideMark/>
          </w:tcPr>
          <w:p w14:paraId="10EA1B5E" w14:textId="77777777" w:rsidR="00B64DA6" w:rsidRPr="00662B68" w:rsidRDefault="00B64DA6" w:rsidP="00B64DA6">
            <w:pPr>
              <w:rPr>
                <w:color w:val="222222"/>
              </w:rPr>
            </w:pPr>
            <w:r w:rsidRPr="00662B68">
              <w:rPr>
                <w:color w:val="222222"/>
              </w:rPr>
              <w:t>323.4</w:t>
            </w:r>
          </w:p>
        </w:tc>
        <w:tc>
          <w:tcPr>
            <w:tcW w:w="3127" w:type="dxa"/>
            <w:noWrap/>
            <w:hideMark/>
          </w:tcPr>
          <w:p w14:paraId="2A2D7DC4" w14:textId="5059B1F4" w:rsidR="00B64DA6" w:rsidRPr="00662B68" w:rsidRDefault="00B64DA6" w:rsidP="00B64DA6">
            <w:pPr>
              <w:rPr>
                <w:color w:val="222222"/>
              </w:rPr>
            </w:pPr>
            <w:proofErr w:type="spellStart"/>
            <w:r w:rsidRPr="00662B68">
              <w:rPr>
                <w:color w:val="222222"/>
              </w:rPr>
              <w:t>Okajima</w:t>
            </w:r>
            <w:proofErr w:type="spellEnd"/>
            <w:r w:rsidRPr="00662B68">
              <w:rPr>
                <w:color w:val="222222"/>
              </w:rPr>
              <w:t xml:space="preserve"> </w:t>
            </w:r>
            <w:r>
              <w:rPr>
                <w:color w:val="222222"/>
              </w:rPr>
              <w:t xml:space="preserve">&amp; </w:t>
            </w:r>
            <w:proofErr w:type="spellStart"/>
            <w:r w:rsidRPr="007F3D7F">
              <w:rPr>
                <w:color w:val="222222"/>
              </w:rPr>
              <w:t>Kumazawa</w:t>
            </w:r>
            <w:proofErr w:type="spellEnd"/>
            <w:r>
              <w:rPr>
                <w:color w:val="222222"/>
              </w:rPr>
              <w:t xml:space="preserve">, </w:t>
            </w:r>
            <w:r w:rsidRPr="00662B68">
              <w:rPr>
                <w:color w:val="222222"/>
              </w:rPr>
              <w:t>2010</w:t>
            </w:r>
          </w:p>
        </w:tc>
      </w:tr>
      <w:tr w:rsidR="00B64DA6" w:rsidRPr="00B0073B" w14:paraId="25E301DB" w14:textId="77777777" w:rsidTr="00662B68">
        <w:trPr>
          <w:trHeight w:val="289"/>
        </w:trPr>
        <w:tc>
          <w:tcPr>
            <w:tcW w:w="3145" w:type="dxa"/>
            <w:noWrap/>
            <w:hideMark/>
          </w:tcPr>
          <w:p w14:paraId="6ACDFCB3" w14:textId="77777777" w:rsidR="00B64DA6" w:rsidRPr="00662B68" w:rsidRDefault="00B64DA6" w:rsidP="00B64DA6">
            <w:pPr>
              <w:rPr>
                <w:color w:val="222222"/>
              </w:rPr>
            </w:pPr>
            <w:r w:rsidRPr="00662B68">
              <w:rPr>
                <w:color w:val="222222"/>
              </w:rPr>
              <w:t>325.6</w:t>
            </w:r>
          </w:p>
        </w:tc>
        <w:tc>
          <w:tcPr>
            <w:tcW w:w="3127" w:type="dxa"/>
            <w:noWrap/>
            <w:hideMark/>
          </w:tcPr>
          <w:p w14:paraId="7E9C6B19" w14:textId="00A90135" w:rsidR="00B64DA6" w:rsidRPr="00662B68" w:rsidRDefault="00B64DA6" w:rsidP="00B64DA6">
            <w:pPr>
              <w:rPr>
                <w:color w:val="222222"/>
              </w:rPr>
            </w:pPr>
            <w:proofErr w:type="spellStart"/>
            <w:r w:rsidRPr="00662B68">
              <w:rPr>
                <w:color w:val="222222"/>
              </w:rPr>
              <w:t>Okajima</w:t>
            </w:r>
            <w:proofErr w:type="spellEnd"/>
            <w:r w:rsidRPr="00662B68">
              <w:rPr>
                <w:color w:val="222222"/>
              </w:rPr>
              <w:t xml:space="preserve"> </w:t>
            </w:r>
            <w:r>
              <w:rPr>
                <w:color w:val="222222"/>
              </w:rPr>
              <w:t xml:space="preserve">&amp; </w:t>
            </w:r>
            <w:proofErr w:type="spellStart"/>
            <w:r w:rsidRPr="007F3D7F">
              <w:rPr>
                <w:color w:val="222222"/>
              </w:rPr>
              <w:t>Kumazawa</w:t>
            </w:r>
            <w:proofErr w:type="spellEnd"/>
            <w:r>
              <w:rPr>
                <w:color w:val="222222"/>
              </w:rPr>
              <w:t xml:space="preserve">, </w:t>
            </w:r>
            <w:r w:rsidRPr="00662B68">
              <w:rPr>
                <w:color w:val="222222"/>
              </w:rPr>
              <w:t>2009</w:t>
            </w:r>
          </w:p>
        </w:tc>
      </w:tr>
      <w:tr w:rsidR="00B64DA6" w:rsidRPr="00B0073B" w14:paraId="3E81A97F" w14:textId="77777777" w:rsidTr="00662B68">
        <w:trPr>
          <w:trHeight w:val="289"/>
        </w:trPr>
        <w:tc>
          <w:tcPr>
            <w:tcW w:w="3145" w:type="dxa"/>
            <w:noWrap/>
            <w:hideMark/>
          </w:tcPr>
          <w:p w14:paraId="10CAFDD6" w14:textId="77777777" w:rsidR="00B64DA6" w:rsidRPr="00662B68" w:rsidRDefault="00B64DA6" w:rsidP="00B64DA6">
            <w:pPr>
              <w:rPr>
                <w:color w:val="222222"/>
              </w:rPr>
            </w:pPr>
            <w:r w:rsidRPr="00662B68">
              <w:rPr>
                <w:color w:val="222222"/>
              </w:rPr>
              <w:t>335</w:t>
            </w:r>
          </w:p>
        </w:tc>
        <w:tc>
          <w:tcPr>
            <w:tcW w:w="3127" w:type="dxa"/>
            <w:noWrap/>
            <w:hideMark/>
          </w:tcPr>
          <w:p w14:paraId="2BBDE901" w14:textId="1B3DBB17" w:rsidR="00B64DA6" w:rsidRPr="00662B68" w:rsidRDefault="00B64DA6" w:rsidP="00B64DA6">
            <w:pPr>
              <w:rPr>
                <w:color w:val="222222"/>
              </w:rPr>
            </w:pPr>
            <w:proofErr w:type="spellStart"/>
            <w:r w:rsidRPr="00662B68">
              <w:rPr>
                <w:color w:val="222222"/>
              </w:rPr>
              <w:t>Igawa</w:t>
            </w:r>
            <w:proofErr w:type="spellEnd"/>
            <w:r w:rsidRPr="00662B68">
              <w:rPr>
                <w:color w:val="222222"/>
              </w:rPr>
              <w:t xml:space="preserve"> et al.</w:t>
            </w:r>
            <w:r>
              <w:rPr>
                <w:color w:val="222222"/>
              </w:rPr>
              <w:t xml:space="preserve">, </w:t>
            </w:r>
            <w:r w:rsidRPr="00662B68">
              <w:rPr>
                <w:color w:val="222222"/>
              </w:rPr>
              <w:t xml:space="preserve">2008 </w:t>
            </w:r>
          </w:p>
        </w:tc>
      </w:tr>
      <w:tr w:rsidR="00B64DA6" w:rsidRPr="00B0073B" w14:paraId="6DDEDF47" w14:textId="77777777" w:rsidTr="00662B68">
        <w:trPr>
          <w:trHeight w:val="289"/>
        </w:trPr>
        <w:tc>
          <w:tcPr>
            <w:tcW w:w="3145" w:type="dxa"/>
            <w:noWrap/>
            <w:hideMark/>
          </w:tcPr>
          <w:p w14:paraId="0F504E52" w14:textId="77777777" w:rsidR="00B64DA6" w:rsidRPr="00662B68" w:rsidRDefault="00B64DA6" w:rsidP="00B64DA6">
            <w:pPr>
              <w:rPr>
                <w:color w:val="222222"/>
              </w:rPr>
            </w:pPr>
            <w:r w:rsidRPr="00662B68">
              <w:rPr>
                <w:color w:val="222222"/>
              </w:rPr>
              <w:t>337</w:t>
            </w:r>
          </w:p>
        </w:tc>
        <w:tc>
          <w:tcPr>
            <w:tcW w:w="3127" w:type="dxa"/>
            <w:noWrap/>
            <w:hideMark/>
          </w:tcPr>
          <w:p w14:paraId="5576A25A" w14:textId="6541C124" w:rsidR="00B64DA6" w:rsidRPr="00662B68" w:rsidRDefault="00B64DA6" w:rsidP="00B64DA6">
            <w:pPr>
              <w:rPr>
                <w:color w:val="222222"/>
              </w:rPr>
            </w:pPr>
            <w:r w:rsidRPr="00662B68">
              <w:rPr>
                <w:color w:val="222222"/>
              </w:rPr>
              <w:t>Zhang et al.</w:t>
            </w:r>
            <w:r>
              <w:rPr>
                <w:color w:val="222222"/>
              </w:rPr>
              <w:t xml:space="preserve">, </w:t>
            </w:r>
            <w:r w:rsidRPr="00662B68">
              <w:rPr>
                <w:color w:val="222222"/>
              </w:rPr>
              <w:t>2005</w:t>
            </w:r>
            <w:r>
              <w:rPr>
                <w:color w:val="222222"/>
              </w:rPr>
              <w:t>a</w:t>
            </w:r>
          </w:p>
        </w:tc>
      </w:tr>
      <w:tr w:rsidR="00B64DA6" w:rsidRPr="00B0073B" w14:paraId="30307BF2" w14:textId="77777777" w:rsidTr="00662B68">
        <w:trPr>
          <w:trHeight w:val="289"/>
        </w:trPr>
        <w:tc>
          <w:tcPr>
            <w:tcW w:w="3145" w:type="dxa"/>
            <w:noWrap/>
            <w:hideMark/>
          </w:tcPr>
          <w:p w14:paraId="1A28A5CD" w14:textId="77777777" w:rsidR="00B64DA6" w:rsidRPr="00662B68" w:rsidRDefault="00B64DA6" w:rsidP="00B64DA6">
            <w:pPr>
              <w:rPr>
                <w:color w:val="222222"/>
              </w:rPr>
            </w:pPr>
            <w:r w:rsidRPr="00662B68">
              <w:rPr>
                <w:color w:val="222222"/>
              </w:rPr>
              <w:t>338.1</w:t>
            </w:r>
          </w:p>
        </w:tc>
        <w:tc>
          <w:tcPr>
            <w:tcW w:w="3127" w:type="dxa"/>
            <w:noWrap/>
            <w:hideMark/>
          </w:tcPr>
          <w:p w14:paraId="6D1E1D39" w14:textId="2146B16D" w:rsidR="00B64DA6" w:rsidRPr="00662B68" w:rsidRDefault="00B64DA6" w:rsidP="00B64DA6">
            <w:pPr>
              <w:rPr>
                <w:color w:val="222222"/>
              </w:rPr>
            </w:pPr>
            <w:r w:rsidRPr="00662B68">
              <w:rPr>
                <w:color w:val="222222"/>
              </w:rPr>
              <w:t>Pyron</w:t>
            </w:r>
            <w:r>
              <w:rPr>
                <w:color w:val="222222"/>
              </w:rPr>
              <w:t xml:space="preserve">, </w:t>
            </w:r>
            <w:r w:rsidRPr="00662B68">
              <w:rPr>
                <w:color w:val="222222"/>
              </w:rPr>
              <w:t>2010</w:t>
            </w:r>
          </w:p>
        </w:tc>
      </w:tr>
      <w:tr w:rsidR="00B64DA6" w:rsidRPr="00B0073B" w14:paraId="51F83723" w14:textId="77777777" w:rsidTr="00662B68">
        <w:trPr>
          <w:trHeight w:val="289"/>
        </w:trPr>
        <w:tc>
          <w:tcPr>
            <w:tcW w:w="3145" w:type="dxa"/>
            <w:noWrap/>
            <w:hideMark/>
          </w:tcPr>
          <w:p w14:paraId="4F0FC795" w14:textId="77777777" w:rsidR="00B64DA6" w:rsidRPr="00662B68" w:rsidRDefault="00B64DA6" w:rsidP="00B64DA6">
            <w:pPr>
              <w:rPr>
                <w:color w:val="222222"/>
              </w:rPr>
            </w:pPr>
            <w:r w:rsidRPr="00662B68">
              <w:rPr>
                <w:color w:val="222222"/>
              </w:rPr>
              <w:t>341</w:t>
            </w:r>
          </w:p>
        </w:tc>
        <w:tc>
          <w:tcPr>
            <w:tcW w:w="3127" w:type="dxa"/>
            <w:noWrap/>
            <w:hideMark/>
          </w:tcPr>
          <w:p w14:paraId="24F46561" w14:textId="2CD1567E" w:rsidR="00B64DA6" w:rsidRPr="00662B68" w:rsidRDefault="00B64DA6" w:rsidP="00B64DA6">
            <w:pPr>
              <w:rPr>
                <w:color w:val="222222"/>
              </w:rPr>
            </w:pPr>
            <w:r w:rsidRPr="00662B68">
              <w:rPr>
                <w:color w:val="222222"/>
              </w:rPr>
              <w:t>Zhang et al.</w:t>
            </w:r>
            <w:r>
              <w:rPr>
                <w:color w:val="222222"/>
              </w:rPr>
              <w:t xml:space="preserve">, </w:t>
            </w:r>
            <w:r w:rsidRPr="00662B68">
              <w:rPr>
                <w:color w:val="222222"/>
              </w:rPr>
              <w:t>2005</w:t>
            </w:r>
            <w:r>
              <w:rPr>
                <w:color w:val="222222"/>
              </w:rPr>
              <w:t>b</w:t>
            </w:r>
          </w:p>
        </w:tc>
      </w:tr>
      <w:tr w:rsidR="00B64DA6" w:rsidRPr="00B0073B" w14:paraId="58A66339" w14:textId="77777777" w:rsidTr="00662B68">
        <w:trPr>
          <w:trHeight w:val="289"/>
        </w:trPr>
        <w:tc>
          <w:tcPr>
            <w:tcW w:w="3145" w:type="dxa"/>
            <w:noWrap/>
            <w:hideMark/>
          </w:tcPr>
          <w:p w14:paraId="3A680C70" w14:textId="77777777" w:rsidR="00B64DA6" w:rsidRPr="00662B68" w:rsidRDefault="00B64DA6" w:rsidP="00B64DA6">
            <w:pPr>
              <w:rPr>
                <w:color w:val="222222"/>
              </w:rPr>
            </w:pPr>
            <w:r w:rsidRPr="00662B68">
              <w:rPr>
                <w:color w:val="222222"/>
              </w:rPr>
              <w:t>351.6</w:t>
            </w:r>
          </w:p>
        </w:tc>
        <w:tc>
          <w:tcPr>
            <w:tcW w:w="3127" w:type="dxa"/>
            <w:noWrap/>
            <w:hideMark/>
          </w:tcPr>
          <w:p w14:paraId="5634CA1C" w14:textId="1D94B355" w:rsidR="00B64DA6" w:rsidRPr="00662B68" w:rsidRDefault="00B64DA6" w:rsidP="00B64DA6">
            <w:pPr>
              <w:rPr>
                <w:color w:val="222222"/>
              </w:rPr>
            </w:pPr>
            <w:proofErr w:type="spellStart"/>
            <w:r w:rsidRPr="00662B68">
              <w:rPr>
                <w:color w:val="222222"/>
              </w:rPr>
              <w:t>Roelants</w:t>
            </w:r>
            <w:proofErr w:type="spellEnd"/>
            <w:r w:rsidRPr="00662B68">
              <w:rPr>
                <w:color w:val="222222"/>
              </w:rPr>
              <w:t xml:space="preserve"> et al.</w:t>
            </w:r>
            <w:r>
              <w:rPr>
                <w:color w:val="222222"/>
              </w:rPr>
              <w:t xml:space="preserve">, </w:t>
            </w:r>
            <w:r w:rsidRPr="00662B68">
              <w:rPr>
                <w:color w:val="222222"/>
              </w:rPr>
              <w:t>2007</w:t>
            </w:r>
          </w:p>
        </w:tc>
      </w:tr>
      <w:tr w:rsidR="00B64DA6" w:rsidRPr="00B0073B" w14:paraId="68C6ECF5" w14:textId="77777777" w:rsidTr="00662B68">
        <w:trPr>
          <w:trHeight w:val="289"/>
        </w:trPr>
        <w:tc>
          <w:tcPr>
            <w:tcW w:w="3145" w:type="dxa"/>
            <w:noWrap/>
            <w:hideMark/>
          </w:tcPr>
          <w:p w14:paraId="02396C56" w14:textId="77777777" w:rsidR="00B64DA6" w:rsidRPr="00662B68" w:rsidRDefault="00B64DA6" w:rsidP="00B64DA6">
            <w:pPr>
              <w:rPr>
                <w:color w:val="222222"/>
              </w:rPr>
            </w:pPr>
            <w:r w:rsidRPr="00662B68">
              <w:rPr>
                <w:color w:val="222222"/>
              </w:rPr>
              <w:t>352</w:t>
            </w:r>
          </w:p>
        </w:tc>
        <w:tc>
          <w:tcPr>
            <w:tcW w:w="3127" w:type="dxa"/>
            <w:noWrap/>
            <w:hideMark/>
          </w:tcPr>
          <w:p w14:paraId="17FBA9C3" w14:textId="328ECBBC" w:rsidR="00B64DA6" w:rsidRPr="00662B68" w:rsidRDefault="00B64DA6" w:rsidP="00B64DA6">
            <w:pPr>
              <w:rPr>
                <w:color w:val="222222"/>
              </w:rPr>
            </w:pPr>
            <w:r w:rsidRPr="00662B68">
              <w:rPr>
                <w:color w:val="222222"/>
              </w:rPr>
              <w:t>Santos et al.</w:t>
            </w:r>
            <w:r>
              <w:rPr>
                <w:color w:val="222222"/>
              </w:rPr>
              <w:t xml:space="preserve">, </w:t>
            </w:r>
            <w:r w:rsidRPr="00662B68">
              <w:rPr>
                <w:color w:val="222222"/>
              </w:rPr>
              <w:t>2009</w:t>
            </w:r>
          </w:p>
        </w:tc>
      </w:tr>
      <w:tr w:rsidR="00B64DA6" w:rsidRPr="00B0073B" w14:paraId="31861A83" w14:textId="77777777" w:rsidTr="00662B68">
        <w:trPr>
          <w:trHeight w:val="289"/>
        </w:trPr>
        <w:tc>
          <w:tcPr>
            <w:tcW w:w="3145" w:type="dxa"/>
            <w:noWrap/>
            <w:hideMark/>
          </w:tcPr>
          <w:p w14:paraId="327D73A8" w14:textId="77777777" w:rsidR="00B64DA6" w:rsidRPr="00662B68" w:rsidRDefault="00B64DA6" w:rsidP="00B64DA6">
            <w:pPr>
              <w:rPr>
                <w:color w:val="222222"/>
              </w:rPr>
            </w:pPr>
            <w:r w:rsidRPr="00662B68">
              <w:rPr>
                <w:color w:val="222222"/>
              </w:rPr>
              <w:t>356.9</w:t>
            </w:r>
          </w:p>
        </w:tc>
        <w:tc>
          <w:tcPr>
            <w:tcW w:w="3127" w:type="dxa"/>
            <w:noWrap/>
            <w:hideMark/>
          </w:tcPr>
          <w:p w14:paraId="591AC4DA" w14:textId="018B8845" w:rsidR="00B64DA6" w:rsidRPr="00662B68" w:rsidRDefault="00B64DA6" w:rsidP="00B64DA6">
            <w:pPr>
              <w:rPr>
                <w:color w:val="222222"/>
              </w:rPr>
            </w:pPr>
            <w:proofErr w:type="spellStart"/>
            <w:r w:rsidRPr="00662B68">
              <w:rPr>
                <w:color w:val="222222"/>
              </w:rPr>
              <w:t>Crottini</w:t>
            </w:r>
            <w:proofErr w:type="spellEnd"/>
            <w:r w:rsidRPr="00662B68">
              <w:rPr>
                <w:color w:val="222222"/>
              </w:rPr>
              <w:t xml:space="preserve"> et al.</w:t>
            </w:r>
            <w:r>
              <w:rPr>
                <w:color w:val="222222"/>
              </w:rPr>
              <w:t xml:space="preserve">, </w:t>
            </w:r>
            <w:r w:rsidRPr="00662B68">
              <w:rPr>
                <w:color w:val="222222"/>
              </w:rPr>
              <w:t>2012</w:t>
            </w:r>
          </w:p>
        </w:tc>
      </w:tr>
      <w:tr w:rsidR="00B64DA6" w:rsidRPr="00B0073B" w14:paraId="4939FF2B" w14:textId="77777777" w:rsidTr="00662B68">
        <w:trPr>
          <w:trHeight w:val="289"/>
        </w:trPr>
        <w:tc>
          <w:tcPr>
            <w:tcW w:w="3145" w:type="dxa"/>
            <w:noWrap/>
            <w:hideMark/>
          </w:tcPr>
          <w:p w14:paraId="00B3D95A" w14:textId="77777777" w:rsidR="00B64DA6" w:rsidRPr="00662B68" w:rsidRDefault="00B64DA6" w:rsidP="00B64DA6">
            <w:pPr>
              <w:rPr>
                <w:color w:val="222222"/>
              </w:rPr>
            </w:pPr>
            <w:r w:rsidRPr="00662B68">
              <w:rPr>
                <w:color w:val="222222"/>
              </w:rPr>
              <w:t>367</w:t>
            </w:r>
          </w:p>
        </w:tc>
        <w:tc>
          <w:tcPr>
            <w:tcW w:w="3127" w:type="dxa"/>
            <w:noWrap/>
            <w:hideMark/>
          </w:tcPr>
          <w:p w14:paraId="50F4E3E8" w14:textId="4ECF380B" w:rsidR="00B64DA6" w:rsidRPr="00662B68" w:rsidRDefault="00B64DA6" w:rsidP="00B64DA6">
            <w:pPr>
              <w:rPr>
                <w:color w:val="222222"/>
              </w:rPr>
            </w:pPr>
            <w:r w:rsidRPr="00662B68">
              <w:rPr>
                <w:color w:val="222222"/>
              </w:rPr>
              <w:t>San Mauro et al.</w:t>
            </w:r>
            <w:r>
              <w:rPr>
                <w:color w:val="222222"/>
              </w:rPr>
              <w:t xml:space="preserve">, </w:t>
            </w:r>
            <w:r w:rsidRPr="00662B68">
              <w:rPr>
                <w:color w:val="222222"/>
              </w:rPr>
              <w:t>2005</w:t>
            </w:r>
          </w:p>
        </w:tc>
      </w:tr>
      <w:tr w:rsidR="00B64DA6" w:rsidRPr="00B0073B" w14:paraId="3D88C1BB" w14:textId="77777777" w:rsidTr="00662B68">
        <w:trPr>
          <w:trHeight w:val="289"/>
        </w:trPr>
        <w:tc>
          <w:tcPr>
            <w:tcW w:w="3145" w:type="dxa"/>
            <w:noWrap/>
          </w:tcPr>
          <w:p w14:paraId="22DD5041" w14:textId="2919808F" w:rsidR="00B64DA6" w:rsidRPr="00F36C83" w:rsidRDefault="00B64DA6" w:rsidP="00B64DA6">
            <w:pPr>
              <w:rPr>
                <w:color w:val="222222"/>
              </w:rPr>
            </w:pPr>
            <w:r>
              <w:rPr>
                <w:color w:val="222222"/>
              </w:rPr>
              <w:t>Mean Age = 320.3 Ma</w:t>
            </w:r>
          </w:p>
        </w:tc>
        <w:tc>
          <w:tcPr>
            <w:tcW w:w="3127" w:type="dxa"/>
            <w:noWrap/>
          </w:tcPr>
          <w:p w14:paraId="1F5C9339" w14:textId="77777777" w:rsidR="00B64DA6" w:rsidRPr="00F36C83" w:rsidRDefault="00B64DA6" w:rsidP="00B64DA6">
            <w:pPr>
              <w:rPr>
                <w:color w:val="222222"/>
              </w:rPr>
            </w:pPr>
          </w:p>
        </w:tc>
      </w:tr>
    </w:tbl>
    <w:p w14:paraId="60C07C39" w14:textId="2A3485FE" w:rsidR="00001691" w:rsidRDefault="00F0665F" w:rsidP="00001691">
      <w:pPr>
        <w:rPr>
          <w:b/>
          <w:bCs/>
          <w:color w:val="222222"/>
        </w:rPr>
      </w:pPr>
      <w:r>
        <w:rPr>
          <w:color w:val="222222"/>
        </w:rPr>
        <w:t>Reported a</w:t>
      </w:r>
      <w:r w:rsidRPr="00392F1F">
        <w:rPr>
          <w:color w:val="222222"/>
        </w:rPr>
        <w:t>ge</w:t>
      </w:r>
      <w:r>
        <w:rPr>
          <w:color w:val="222222"/>
        </w:rPr>
        <w:t xml:space="preserve">s </w:t>
      </w:r>
      <w:r w:rsidRPr="00392F1F">
        <w:rPr>
          <w:color w:val="222222"/>
        </w:rPr>
        <w:t>derived from timetree.org.</w:t>
      </w:r>
    </w:p>
    <w:p w14:paraId="4E9FCDBC" w14:textId="2E487A92" w:rsidR="00B0073B" w:rsidRDefault="00B0073B" w:rsidP="00662B68">
      <w:pPr>
        <w:rPr>
          <w:b/>
          <w:bCs/>
          <w:color w:val="222222"/>
        </w:rPr>
      </w:pPr>
    </w:p>
    <w:p w14:paraId="2D92F25B" w14:textId="69D39E4B" w:rsidR="00DE2A0F" w:rsidRDefault="00DE2A0F" w:rsidP="00662B68">
      <w:pPr>
        <w:rPr>
          <w:b/>
          <w:bCs/>
          <w:color w:val="222222"/>
        </w:rPr>
      </w:pPr>
    </w:p>
    <w:p w14:paraId="766C8699" w14:textId="1D86F5DE" w:rsidR="00DE2A0F" w:rsidRDefault="00DE2A0F" w:rsidP="00662B68">
      <w:pPr>
        <w:rPr>
          <w:b/>
          <w:bCs/>
          <w:color w:val="222222"/>
        </w:rPr>
      </w:pPr>
    </w:p>
    <w:p w14:paraId="5D930AF5" w14:textId="2099D29B" w:rsidR="00DE2A0F" w:rsidRDefault="00DE2A0F" w:rsidP="00662B68">
      <w:pPr>
        <w:rPr>
          <w:b/>
          <w:bCs/>
          <w:color w:val="222222"/>
        </w:rPr>
      </w:pPr>
    </w:p>
    <w:p w14:paraId="48314559" w14:textId="5B9D4FA6" w:rsidR="00DE2A0F" w:rsidRDefault="00DE2A0F" w:rsidP="00662B68">
      <w:pPr>
        <w:rPr>
          <w:b/>
          <w:bCs/>
          <w:color w:val="222222"/>
        </w:rPr>
      </w:pPr>
    </w:p>
    <w:p w14:paraId="3D0585CC" w14:textId="6DF03415" w:rsidR="00DE2A0F" w:rsidRDefault="00DE2A0F" w:rsidP="00662B68">
      <w:pPr>
        <w:rPr>
          <w:b/>
          <w:bCs/>
          <w:color w:val="222222"/>
        </w:rPr>
      </w:pPr>
    </w:p>
    <w:p w14:paraId="330AF12E" w14:textId="590C70CC" w:rsidR="00DE2A0F" w:rsidRDefault="00DE2A0F" w:rsidP="00662B68">
      <w:pPr>
        <w:rPr>
          <w:b/>
          <w:bCs/>
          <w:color w:val="222222"/>
        </w:rPr>
      </w:pPr>
    </w:p>
    <w:p w14:paraId="4D501847" w14:textId="69BF6F4F" w:rsidR="00DE2A0F" w:rsidRDefault="00DE2A0F" w:rsidP="00662B68">
      <w:pPr>
        <w:rPr>
          <w:b/>
          <w:bCs/>
          <w:color w:val="222222"/>
        </w:rPr>
      </w:pPr>
    </w:p>
    <w:p w14:paraId="701E1871" w14:textId="2D8D3BDD" w:rsidR="00DE2A0F" w:rsidRDefault="00DE2A0F" w:rsidP="00662B68">
      <w:pPr>
        <w:rPr>
          <w:b/>
          <w:bCs/>
          <w:color w:val="222222"/>
        </w:rPr>
      </w:pPr>
    </w:p>
    <w:p w14:paraId="1E3E4FC0" w14:textId="32507AF9" w:rsidR="00DE2A0F" w:rsidRDefault="00DE2A0F" w:rsidP="00662B68">
      <w:pPr>
        <w:rPr>
          <w:b/>
          <w:bCs/>
          <w:color w:val="222222"/>
        </w:rPr>
      </w:pPr>
    </w:p>
    <w:p w14:paraId="548A7D0B" w14:textId="180FB2A7" w:rsidR="00DE2A0F" w:rsidRDefault="00DE2A0F" w:rsidP="00662B68">
      <w:pPr>
        <w:rPr>
          <w:b/>
          <w:bCs/>
          <w:color w:val="222222"/>
        </w:rPr>
      </w:pPr>
    </w:p>
    <w:p w14:paraId="2D456352" w14:textId="185B6984" w:rsidR="00DE2A0F" w:rsidRDefault="00DE2A0F" w:rsidP="00662B68">
      <w:pPr>
        <w:rPr>
          <w:b/>
          <w:bCs/>
          <w:color w:val="222222"/>
        </w:rPr>
      </w:pPr>
    </w:p>
    <w:p w14:paraId="05EBA9F3" w14:textId="77777777" w:rsidR="00DE2A0F" w:rsidRPr="00001691" w:rsidRDefault="00DE2A0F" w:rsidP="00662B68">
      <w:pPr>
        <w:rPr>
          <w:b/>
          <w:bCs/>
          <w:color w:val="222222"/>
        </w:rPr>
      </w:pPr>
    </w:p>
    <w:p w14:paraId="45D0F053" w14:textId="2C136D05" w:rsidR="00001691" w:rsidRDefault="00001691" w:rsidP="00001691">
      <w:pPr>
        <w:rPr>
          <w:b/>
          <w:bCs/>
          <w:color w:val="222222"/>
        </w:rPr>
      </w:pPr>
      <w:bookmarkStart w:id="21" w:name="_Hlk98857851"/>
      <w:r w:rsidRPr="00001691">
        <w:rPr>
          <w:b/>
          <w:bCs/>
          <w:color w:val="222222"/>
        </w:rPr>
        <w:t xml:space="preserve">Supplementary Table </w:t>
      </w:r>
      <w:r w:rsidR="00EC0DA7">
        <w:rPr>
          <w:b/>
          <w:bCs/>
          <w:color w:val="222222"/>
        </w:rPr>
        <w:t>6</w:t>
      </w:r>
      <w:r w:rsidRPr="00001691">
        <w:rPr>
          <w:b/>
          <w:bCs/>
          <w:color w:val="222222"/>
        </w:rPr>
        <w:t xml:space="preserve">: </w:t>
      </w:r>
      <w:r w:rsidR="00C4602C">
        <w:rPr>
          <w:b/>
          <w:bCs/>
          <w:color w:val="222222"/>
        </w:rPr>
        <w:t xml:space="preserve">Molecular clock estimates of </w:t>
      </w:r>
      <w:r w:rsidRPr="00001691">
        <w:rPr>
          <w:b/>
          <w:bCs/>
          <w:color w:val="222222"/>
        </w:rPr>
        <w:t>Salientia-Caudata divergence</w:t>
      </w:r>
      <w:bookmarkEnd w:id="21"/>
      <w:r w:rsidRPr="00001691">
        <w:rPr>
          <w:b/>
          <w:bCs/>
          <w:color w:val="222222"/>
        </w:rPr>
        <w:t xml:space="preserve"> </w:t>
      </w:r>
    </w:p>
    <w:p w14:paraId="66A47AAF" w14:textId="77777777" w:rsidR="00070137" w:rsidRDefault="00070137" w:rsidP="00001691">
      <w:pPr>
        <w:rPr>
          <w:b/>
          <w:bCs/>
          <w:color w:val="222222"/>
        </w:rPr>
      </w:pPr>
    </w:p>
    <w:tbl>
      <w:tblPr>
        <w:tblStyle w:val="TableGrid"/>
        <w:tblW w:w="0" w:type="auto"/>
        <w:tblLook w:val="04A0" w:firstRow="1" w:lastRow="0" w:firstColumn="1" w:lastColumn="0" w:noHBand="0" w:noVBand="1"/>
      </w:tblPr>
      <w:tblGrid>
        <w:gridCol w:w="3145"/>
        <w:gridCol w:w="3150"/>
      </w:tblGrid>
      <w:tr w:rsidR="00B64DA6" w:rsidRPr="00B0073B" w14:paraId="17651500" w14:textId="77777777" w:rsidTr="00662B68">
        <w:trPr>
          <w:trHeight w:val="288"/>
        </w:trPr>
        <w:tc>
          <w:tcPr>
            <w:tcW w:w="3145" w:type="dxa"/>
            <w:noWrap/>
          </w:tcPr>
          <w:p w14:paraId="04C75999" w14:textId="6EFCFECA" w:rsidR="00B64DA6" w:rsidRPr="00662B68" w:rsidRDefault="00B64DA6" w:rsidP="00B64DA6">
            <w:pPr>
              <w:rPr>
                <w:color w:val="222222"/>
              </w:rPr>
            </w:pPr>
            <w:r>
              <w:rPr>
                <w:b/>
                <w:bCs/>
                <w:color w:val="222222"/>
              </w:rPr>
              <w:t>Age (Ma)</w:t>
            </w:r>
          </w:p>
        </w:tc>
        <w:tc>
          <w:tcPr>
            <w:tcW w:w="3150" w:type="dxa"/>
            <w:noWrap/>
          </w:tcPr>
          <w:p w14:paraId="6EC50531" w14:textId="7AC774E1" w:rsidR="00B64DA6" w:rsidRPr="00662B68" w:rsidRDefault="00B64DA6" w:rsidP="00B64DA6">
            <w:pPr>
              <w:rPr>
                <w:color w:val="222222"/>
              </w:rPr>
            </w:pPr>
            <w:r>
              <w:rPr>
                <w:b/>
                <w:bCs/>
                <w:color w:val="222222"/>
              </w:rPr>
              <w:t>Reference</w:t>
            </w:r>
          </w:p>
        </w:tc>
      </w:tr>
      <w:tr w:rsidR="00F36C83" w:rsidRPr="00B0073B" w14:paraId="30491D19" w14:textId="77777777" w:rsidTr="00662B68">
        <w:trPr>
          <w:trHeight w:val="288"/>
        </w:trPr>
        <w:tc>
          <w:tcPr>
            <w:tcW w:w="3145" w:type="dxa"/>
            <w:noWrap/>
            <w:hideMark/>
          </w:tcPr>
          <w:p w14:paraId="7455D3E3" w14:textId="77777777" w:rsidR="00F36C83" w:rsidRPr="00662B68" w:rsidRDefault="00F36C83" w:rsidP="00B0073B">
            <w:pPr>
              <w:rPr>
                <w:color w:val="222222"/>
              </w:rPr>
            </w:pPr>
            <w:r w:rsidRPr="00662B68">
              <w:rPr>
                <w:color w:val="222222"/>
              </w:rPr>
              <w:t>181.5</w:t>
            </w:r>
          </w:p>
        </w:tc>
        <w:tc>
          <w:tcPr>
            <w:tcW w:w="3150" w:type="dxa"/>
            <w:noWrap/>
            <w:hideMark/>
          </w:tcPr>
          <w:p w14:paraId="548FF4FA" w14:textId="6BF7C5D4" w:rsidR="00F36C83" w:rsidRPr="00662B68" w:rsidRDefault="00F36C83">
            <w:pPr>
              <w:rPr>
                <w:color w:val="222222"/>
              </w:rPr>
            </w:pPr>
            <w:proofErr w:type="spellStart"/>
            <w:r w:rsidRPr="00662B68">
              <w:rPr>
                <w:color w:val="222222"/>
              </w:rPr>
              <w:t>Kieren</w:t>
            </w:r>
            <w:proofErr w:type="spellEnd"/>
            <w:r w:rsidRPr="00662B68">
              <w:rPr>
                <w:color w:val="222222"/>
              </w:rPr>
              <w:t xml:space="preserve"> et al.</w:t>
            </w:r>
            <w:r w:rsidR="00992DE4">
              <w:rPr>
                <w:color w:val="222222"/>
              </w:rPr>
              <w:t>,</w:t>
            </w:r>
            <w:r>
              <w:rPr>
                <w:color w:val="222222"/>
              </w:rPr>
              <w:t xml:space="preserve"> </w:t>
            </w:r>
            <w:r w:rsidRPr="00662B68">
              <w:rPr>
                <w:color w:val="222222"/>
              </w:rPr>
              <w:t xml:space="preserve">2018 </w:t>
            </w:r>
          </w:p>
        </w:tc>
      </w:tr>
      <w:tr w:rsidR="00F36C83" w:rsidRPr="00B0073B" w14:paraId="2AB4CFDE" w14:textId="77777777" w:rsidTr="00662B68">
        <w:trPr>
          <w:trHeight w:val="288"/>
        </w:trPr>
        <w:tc>
          <w:tcPr>
            <w:tcW w:w="3145" w:type="dxa"/>
            <w:noWrap/>
            <w:hideMark/>
          </w:tcPr>
          <w:p w14:paraId="7FEE0D63" w14:textId="77777777" w:rsidR="00F36C83" w:rsidRPr="00662B68" w:rsidRDefault="00F36C83" w:rsidP="00B0073B">
            <w:pPr>
              <w:rPr>
                <w:color w:val="222222"/>
              </w:rPr>
            </w:pPr>
            <w:r w:rsidRPr="00662B68">
              <w:rPr>
                <w:color w:val="222222"/>
              </w:rPr>
              <w:t>232.8</w:t>
            </w:r>
          </w:p>
        </w:tc>
        <w:tc>
          <w:tcPr>
            <w:tcW w:w="3150" w:type="dxa"/>
            <w:noWrap/>
            <w:hideMark/>
          </w:tcPr>
          <w:p w14:paraId="5E2A6DA6" w14:textId="2FA7378F" w:rsidR="00F36C83" w:rsidRPr="00662B68" w:rsidRDefault="00F36C83" w:rsidP="00B0073B">
            <w:pPr>
              <w:rPr>
                <w:color w:val="222222"/>
              </w:rPr>
            </w:pPr>
            <w:r w:rsidRPr="00662B68">
              <w:rPr>
                <w:color w:val="222222"/>
              </w:rPr>
              <w:t>Alfaro et al.</w:t>
            </w:r>
            <w:r w:rsidR="00992DE4">
              <w:rPr>
                <w:color w:val="222222"/>
              </w:rPr>
              <w:t>,</w:t>
            </w:r>
            <w:r>
              <w:rPr>
                <w:color w:val="222222"/>
              </w:rPr>
              <w:t xml:space="preserve"> </w:t>
            </w:r>
            <w:r w:rsidRPr="00662B68">
              <w:rPr>
                <w:color w:val="222222"/>
              </w:rPr>
              <w:t>2009</w:t>
            </w:r>
          </w:p>
        </w:tc>
      </w:tr>
      <w:tr w:rsidR="00F36C83" w:rsidRPr="00B0073B" w14:paraId="165D4F61" w14:textId="77777777" w:rsidTr="00662B68">
        <w:trPr>
          <w:trHeight w:val="305"/>
        </w:trPr>
        <w:tc>
          <w:tcPr>
            <w:tcW w:w="3145" w:type="dxa"/>
            <w:noWrap/>
            <w:hideMark/>
          </w:tcPr>
          <w:p w14:paraId="759741C0" w14:textId="77777777" w:rsidR="00F36C83" w:rsidRPr="00662B68" w:rsidRDefault="00F36C83" w:rsidP="00B0073B">
            <w:pPr>
              <w:rPr>
                <w:color w:val="222222"/>
              </w:rPr>
            </w:pPr>
            <w:r w:rsidRPr="00662B68">
              <w:rPr>
                <w:color w:val="222222"/>
              </w:rPr>
              <w:t>247.4</w:t>
            </w:r>
          </w:p>
        </w:tc>
        <w:tc>
          <w:tcPr>
            <w:tcW w:w="3150" w:type="dxa"/>
            <w:noWrap/>
            <w:hideMark/>
          </w:tcPr>
          <w:p w14:paraId="2B38B076" w14:textId="117761D9" w:rsidR="00F36C83" w:rsidRPr="00662B68" w:rsidRDefault="00F36C83">
            <w:pPr>
              <w:rPr>
                <w:color w:val="222222"/>
              </w:rPr>
            </w:pPr>
            <w:r w:rsidRPr="00662B68">
              <w:rPr>
                <w:color w:val="222222"/>
              </w:rPr>
              <w:t>Blackburn et al.</w:t>
            </w:r>
            <w:r w:rsidR="00992DE4">
              <w:rPr>
                <w:color w:val="222222"/>
              </w:rPr>
              <w:t>,</w:t>
            </w:r>
            <w:r>
              <w:rPr>
                <w:color w:val="222222"/>
              </w:rPr>
              <w:t xml:space="preserve"> </w:t>
            </w:r>
            <w:r w:rsidRPr="00662B68">
              <w:rPr>
                <w:color w:val="222222"/>
              </w:rPr>
              <w:t xml:space="preserve">2010 </w:t>
            </w:r>
          </w:p>
        </w:tc>
      </w:tr>
      <w:tr w:rsidR="00F36C83" w:rsidRPr="00B0073B" w14:paraId="0D76DCDE" w14:textId="77777777" w:rsidTr="00662B68">
        <w:trPr>
          <w:trHeight w:val="288"/>
        </w:trPr>
        <w:tc>
          <w:tcPr>
            <w:tcW w:w="3145" w:type="dxa"/>
            <w:noWrap/>
            <w:hideMark/>
          </w:tcPr>
          <w:p w14:paraId="14BAED05" w14:textId="77777777" w:rsidR="00F36C83" w:rsidRPr="00662B68" w:rsidRDefault="00F36C83" w:rsidP="00B0073B">
            <w:pPr>
              <w:rPr>
                <w:color w:val="222222"/>
              </w:rPr>
            </w:pPr>
            <w:r w:rsidRPr="00662B68">
              <w:rPr>
                <w:color w:val="222222"/>
              </w:rPr>
              <w:t>262.5</w:t>
            </w:r>
          </w:p>
        </w:tc>
        <w:tc>
          <w:tcPr>
            <w:tcW w:w="3150" w:type="dxa"/>
            <w:noWrap/>
            <w:hideMark/>
          </w:tcPr>
          <w:p w14:paraId="7A349ADF" w14:textId="3208E8A2" w:rsidR="00F36C83" w:rsidRPr="00662B68" w:rsidRDefault="00F36C83" w:rsidP="00B0073B">
            <w:pPr>
              <w:rPr>
                <w:color w:val="222222"/>
              </w:rPr>
            </w:pPr>
            <w:r w:rsidRPr="00662B68">
              <w:rPr>
                <w:color w:val="222222"/>
              </w:rPr>
              <w:t>Pyron</w:t>
            </w:r>
            <w:r w:rsidR="00992DE4">
              <w:rPr>
                <w:color w:val="222222"/>
              </w:rPr>
              <w:t>,</w:t>
            </w:r>
            <w:r>
              <w:rPr>
                <w:color w:val="222222"/>
              </w:rPr>
              <w:t xml:space="preserve"> </w:t>
            </w:r>
            <w:r w:rsidRPr="00662B68">
              <w:rPr>
                <w:color w:val="222222"/>
              </w:rPr>
              <w:t>2014</w:t>
            </w:r>
          </w:p>
        </w:tc>
      </w:tr>
      <w:tr w:rsidR="00F36C83" w:rsidRPr="00B0073B" w14:paraId="3278EE89" w14:textId="77777777" w:rsidTr="00662B68">
        <w:trPr>
          <w:trHeight w:val="288"/>
        </w:trPr>
        <w:tc>
          <w:tcPr>
            <w:tcW w:w="3145" w:type="dxa"/>
            <w:noWrap/>
            <w:hideMark/>
          </w:tcPr>
          <w:p w14:paraId="2403FB6E" w14:textId="77777777" w:rsidR="00F36C83" w:rsidRPr="00662B68" w:rsidRDefault="00F36C83" w:rsidP="00B0073B">
            <w:pPr>
              <w:rPr>
                <w:color w:val="222222"/>
              </w:rPr>
            </w:pPr>
            <w:r w:rsidRPr="00662B68">
              <w:rPr>
                <w:color w:val="222222"/>
              </w:rPr>
              <w:t>263</w:t>
            </w:r>
          </w:p>
        </w:tc>
        <w:tc>
          <w:tcPr>
            <w:tcW w:w="3150" w:type="dxa"/>
            <w:noWrap/>
            <w:hideMark/>
          </w:tcPr>
          <w:p w14:paraId="1C8F1F4A" w14:textId="7E2838CA" w:rsidR="00F36C83" w:rsidRPr="00662B68" w:rsidRDefault="00F36C83" w:rsidP="00B0073B">
            <w:pPr>
              <w:rPr>
                <w:color w:val="222222"/>
              </w:rPr>
            </w:pPr>
            <w:r w:rsidRPr="00662B68">
              <w:rPr>
                <w:color w:val="222222"/>
              </w:rPr>
              <w:t>Marjanović et al.</w:t>
            </w:r>
            <w:r w:rsidR="00992DE4">
              <w:rPr>
                <w:color w:val="222222"/>
              </w:rPr>
              <w:t>,</w:t>
            </w:r>
            <w:r>
              <w:rPr>
                <w:color w:val="222222"/>
              </w:rPr>
              <w:t xml:space="preserve"> </w:t>
            </w:r>
            <w:r w:rsidRPr="00662B68">
              <w:rPr>
                <w:color w:val="222222"/>
              </w:rPr>
              <w:t>2007</w:t>
            </w:r>
          </w:p>
        </w:tc>
      </w:tr>
      <w:tr w:rsidR="00F36C83" w:rsidRPr="00B0073B" w14:paraId="6F22B5A5" w14:textId="77777777" w:rsidTr="00662B68">
        <w:trPr>
          <w:trHeight w:val="288"/>
        </w:trPr>
        <w:tc>
          <w:tcPr>
            <w:tcW w:w="3145" w:type="dxa"/>
            <w:noWrap/>
            <w:hideMark/>
          </w:tcPr>
          <w:p w14:paraId="6463BF68" w14:textId="77777777" w:rsidR="00F36C83" w:rsidRPr="00662B68" w:rsidRDefault="00F36C83" w:rsidP="00B0073B">
            <w:pPr>
              <w:rPr>
                <w:color w:val="222222"/>
              </w:rPr>
            </w:pPr>
            <w:r w:rsidRPr="00662B68">
              <w:rPr>
                <w:color w:val="222222"/>
              </w:rPr>
              <w:t>264</w:t>
            </w:r>
          </w:p>
        </w:tc>
        <w:tc>
          <w:tcPr>
            <w:tcW w:w="3150" w:type="dxa"/>
            <w:noWrap/>
            <w:hideMark/>
          </w:tcPr>
          <w:p w14:paraId="28DD2028" w14:textId="4BC63E82" w:rsidR="00F36C83" w:rsidRPr="00662B68" w:rsidRDefault="00F36C83" w:rsidP="00B0073B">
            <w:pPr>
              <w:rPr>
                <w:color w:val="222222"/>
              </w:rPr>
            </w:pPr>
            <w:r w:rsidRPr="00662B68">
              <w:rPr>
                <w:color w:val="222222"/>
              </w:rPr>
              <w:t xml:space="preserve">Hedges </w:t>
            </w:r>
            <w:r w:rsidR="00C661FF">
              <w:rPr>
                <w:color w:val="222222"/>
              </w:rPr>
              <w:t>&amp; Kumar</w:t>
            </w:r>
            <w:r w:rsidR="00992DE4">
              <w:rPr>
                <w:color w:val="222222"/>
              </w:rPr>
              <w:t>,</w:t>
            </w:r>
            <w:r>
              <w:rPr>
                <w:color w:val="222222"/>
              </w:rPr>
              <w:t xml:space="preserve"> </w:t>
            </w:r>
            <w:r w:rsidRPr="00662B68">
              <w:rPr>
                <w:color w:val="222222"/>
              </w:rPr>
              <w:t>2009</w:t>
            </w:r>
          </w:p>
        </w:tc>
      </w:tr>
      <w:tr w:rsidR="00F36C83" w:rsidRPr="00B0073B" w14:paraId="7E2AD9CE" w14:textId="77777777" w:rsidTr="00662B68">
        <w:trPr>
          <w:trHeight w:val="288"/>
        </w:trPr>
        <w:tc>
          <w:tcPr>
            <w:tcW w:w="3145" w:type="dxa"/>
            <w:noWrap/>
            <w:hideMark/>
          </w:tcPr>
          <w:p w14:paraId="219F6498" w14:textId="77777777" w:rsidR="00F36C83" w:rsidRPr="00662B68" w:rsidRDefault="00F36C83" w:rsidP="00B0073B">
            <w:pPr>
              <w:rPr>
                <w:color w:val="222222"/>
              </w:rPr>
            </w:pPr>
            <w:r w:rsidRPr="00662B68">
              <w:rPr>
                <w:color w:val="222222"/>
              </w:rPr>
              <w:t>265</w:t>
            </w:r>
          </w:p>
        </w:tc>
        <w:tc>
          <w:tcPr>
            <w:tcW w:w="3150" w:type="dxa"/>
            <w:noWrap/>
            <w:hideMark/>
          </w:tcPr>
          <w:p w14:paraId="4DD11239" w14:textId="5C941640" w:rsidR="00F36C83" w:rsidRPr="00662B68" w:rsidRDefault="00F36C83" w:rsidP="00B0073B">
            <w:pPr>
              <w:rPr>
                <w:color w:val="222222"/>
              </w:rPr>
            </w:pPr>
            <w:r w:rsidRPr="00662B68">
              <w:rPr>
                <w:color w:val="222222"/>
              </w:rPr>
              <w:t xml:space="preserve">Zhang </w:t>
            </w:r>
            <w:r w:rsidR="007F3D7F">
              <w:rPr>
                <w:color w:val="222222"/>
              </w:rPr>
              <w:t>&amp; Wake</w:t>
            </w:r>
            <w:r w:rsidR="00992DE4">
              <w:rPr>
                <w:color w:val="222222"/>
              </w:rPr>
              <w:t>,</w:t>
            </w:r>
            <w:r>
              <w:rPr>
                <w:color w:val="222222"/>
              </w:rPr>
              <w:t xml:space="preserve"> </w:t>
            </w:r>
            <w:r w:rsidRPr="00662B68">
              <w:rPr>
                <w:color w:val="222222"/>
              </w:rPr>
              <w:t>2009</w:t>
            </w:r>
            <w:r w:rsidR="00330EB1">
              <w:rPr>
                <w:color w:val="222222"/>
              </w:rPr>
              <w:t>a</w:t>
            </w:r>
          </w:p>
        </w:tc>
      </w:tr>
      <w:tr w:rsidR="00F36C83" w:rsidRPr="00B0073B" w14:paraId="380313F9" w14:textId="77777777" w:rsidTr="00662B68">
        <w:trPr>
          <w:trHeight w:val="288"/>
        </w:trPr>
        <w:tc>
          <w:tcPr>
            <w:tcW w:w="3145" w:type="dxa"/>
            <w:noWrap/>
            <w:hideMark/>
          </w:tcPr>
          <w:p w14:paraId="4CF2C07A" w14:textId="77777777" w:rsidR="00F36C83" w:rsidRPr="00662B68" w:rsidRDefault="00F36C83" w:rsidP="00B0073B">
            <w:pPr>
              <w:rPr>
                <w:color w:val="222222"/>
              </w:rPr>
            </w:pPr>
            <w:r w:rsidRPr="00662B68">
              <w:rPr>
                <w:color w:val="222222"/>
              </w:rPr>
              <w:t>266.6</w:t>
            </w:r>
          </w:p>
        </w:tc>
        <w:tc>
          <w:tcPr>
            <w:tcW w:w="3150" w:type="dxa"/>
            <w:noWrap/>
            <w:hideMark/>
          </w:tcPr>
          <w:p w14:paraId="6192FB58" w14:textId="2191EF41" w:rsidR="00F36C83" w:rsidRPr="00662B68" w:rsidRDefault="00F36C83" w:rsidP="00B0073B">
            <w:pPr>
              <w:rPr>
                <w:color w:val="222222"/>
              </w:rPr>
            </w:pPr>
            <w:r w:rsidRPr="00662B68">
              <w:rPr>
                <w:color w:val="222222"/>
              </w:rPr>
              <w:t>Ruane et al.</w:t>
            </w:r>
            <w:r w:rsidR="00992DE4">
              <w:rPr>
                <w:color w:val="222222"/>
              </w:rPr>
              <w:t>,</w:t>
            </w:r>
            <w:r>
              <w:rPr>
                <w:color w:val="222222"/>
              </w:rPr>
              <w:t xml:space="preserve"> </w:t>
            </w:r>
            <w:r w:rsidRPr="00662B68">
              <w:rPr>
                <w:color w:val="222222"/>
              </w:rPr>
              <w:t>2011</w:t>
            </w:r>
          </w:p>
        </w:tc>
      </w:tr>
      <w:tr w:rsidR="00F36C83" w:rsidRPr="00B0073B" w14:paraId="4B8E3777" w14:textId="77777777" w:rsidTr="00662B68">
        <w:trPr>
          <w:trHeight w:val="288"/>
        </w:trPr>
        <w:tc>
          <w:tcPr>
            <w:tcW w:w="3145" w:type="dxa"/>
            <w:noWrap/>
            <w:hideMark/>
          </w:tcPr>
          <w:p w14:paraId="692203A8" w14:textId="77777777" w:rsidR="00F36C83" w:rsidRPr="00662B68" w:rsidRDefault="00F36C83" w:rsidP="00B0073B">
            <w:pPr>
              <w:rPr>
                <w:color w:val="222222"/>
              </w:rPr>
            </w:pPr>
            <w:r w:rsidRPr="00662B68">
              <w:rPr>
                <w:color w:val="222222"/>
              </w:rPr>
              <w:t>270.7</w:t>
            </w:r>
          </w:p>
        </w:tc>
        <w:tc>
          <w:tcPr>
            <w:tcW w:w="3150" w:type="dxa"/>
            <w:noWrap/>
            <w:hideMark/>
          </w:tcPr>
          <w:p w14:paraId="7ABDED2E" w14:textId="27941BD9" w:rsidR="00F36C83" w:rsidRPr="00662B68" w:rsidRDefault="00F36C83">
            <w:pPr>
              <w:rPr>
                <w:color w:val="222222"/>
              </w:rPr>
            </w:pPr>
            <w:r w:rsidRPr="00662B68">
              <w:rPr>
                <w:color w:val="222222"/>
              </w:rPr>
              <w:t>Feng et al.</w:t>
            </w:r>
            <w:r w:rsidR="00992DE4">
              <w:rPr>
                <w:color w:val="222222"/>
              </w:rPr>
              <w:t>,</w:t>
            </w:r>
            <w:r>
              <w:rPr>
                <w:color w:val="222222"/>
              </w:rPr>
              <w:t xml:space="preserve"> </w:t>
            </w:r>
            <w:r w:rsidRPr="00662B68">
              <w:rPr>
                <w:color w:val="222222"/>
              </w:rPr>
              <w:t xml:space="preserve">2017 </w:t>
            </w:r>
          </w:p>
        </w:tc>
      </w:tr>
      <w:tr w:rsidR="00F36C83" w:rsidRPr="00B0073B" w14:paraId="5C02A7BF" w14:textId="77777777" w:rsidTr="00662B68">
        <w:trPr>
          <w:trHeight w:val="288"/>
        </w:trPr>
        <w:tc>
          <w:tcPr>
            <w:tcW w:w="3145" w:type="dxa"/>
            <w:noWrap/>
            <w:hideMark/>
          </w:tcPr>
          <w:p w14:paraId="29F2BC6E" w14:textId="77777777" w:rsidR="00F36C83" w:rsidRPr="00662B68" w:rsidRDefault="00F36C83" w:rsidP="00B0073B">
            <w:pPr>
              <w:rPr>
                <w:color w:val="222222"/>
              </w:rPr>
            </w:pPr>
            <w:r w:rsidRPr="00662B68">
              <w:rPr>
                <w:color w:val="222222"/>
              </w:rPr>
              <w:t>271.7</w:t>
            </w:r>
          </w:p>
        </w:tc>
        <w:tc>
          <w:tcPr>
            <w:tcW w:w="3150" w:type="dxa"/>
            <w:noWrap/>
            <w:hideMark/>
          </w:tcPr>
          <w:p w14:paraId="69A75FA1" w14:textId="3EF06848" w:rsidR="00F36C83" w:rsidRPr="00662B68" w:rsidRDefault="00F36C83">
            <w:pPr>
              <w:rPr>
                <w:color w:val="222222"/>
              </w:rPr>
            </w:pPr>
            <w:r w:rsidRPr="00662B68">
              <w:rPr>
                <w:color w:val="222222"/>
              </w:rPr>
              <w:t>Laurin et al.</w:t>
            </w:r>
            <w:r w:rsidR="00992DE4">
              <w:rPr>
                <w:color w:val="222222"/>
              </w:rPr>
              <w:t>,</w:t>
            </w:r>
            <w:r>
              <w:rPr>
                <w:color w:val="222222"/>
              </w:rPr>
              <w:t xml:space="preserve"> </w:t>
            </w:r>
            <w:r w:rsidRPr="00662B68">
              <w:rPr>
                <w:color w:val="222222"/>
              </w:rPr>
              <w:t>201</w:t>
            </w:r>
            <w:r w:rsidR="00C661FF">
              <w:rPr>
                <w:color w:val="222222"/>
              </w:rPr>
              <w:t>9</w:t>
            </w:r>
            <w:r w:rsidRPr="00662B68">
              <w:rPr>
                <w:color w:val="222222"/>
              </w:rPr>
              <w:t xml:space="preserve"> </w:t>
            </w:r>
          </w:p>
        </w:tc>
      </w:tr>
      <w:tr w:rsidR="00F36C83" w:rsidRPr="00B0073B" w14:paraId="25AE6AC7" w14:textId="77777777" w:rsidTr="00662B68">
        <w:trPr>
          <w:trHeight w:val="288"/>
        </w:trPr>
        <w:tc>
          <w:tcPr>
            <w:tcW w:w="3145" w:type="dxa"/>
            <w:noWrap/>
            <w:hideMark/>
          </w:tcPr>
          <w:p w14:paraId="6CEA29D8" w14:textId="77777777" w:rsidR="00F36C83" w:rsidRPr="00662B68" w:rsidRDefault="00F36C83" w:rsidP="00B0073B">
            <w:pPr>
              <w:rPr>
                <w:color w:val="222222"/>
              </w:rPr>
            </w:pPr>
            <w:r w:rsidRPr="00662B68">
              <w:rPr>
                <w:color w:val="222222"/>
              </w:rPr>
              <w:t>274</w:t>
            </w:r>
          </w:p>
        </w:tc>
        <w:tc>
          <w:tcPr>
            <w:tcW w:w="3150" w:type="dxa"/>
            <w:noWrap/>
            <w:hideMark/>
          </w:tcPr>
          <w:p w14:paraId="6E399FE2" w14:textId="4BA9D0A6" w:rsidR="00F36C83" w:rsidRPr="00662B68" w:rsidRDefault="00F36C83" w:rsidP="00B0073B">
            <w:pPr>
              <w:rPr>
                <w:color w:val="222222"/>
              </w:rPr>
            </w:pPr>
            <w:proofErr w:type="spellStart"/>
            <w:r w:rsidRPr="00662B68">
              <w:rPr>
                <w:color w:val="222222"/>
              </w:rPr>
              <w:t>Hugall</w:t>
            </w:r>
            <w:proofErr w:type="spellEnd"/>
            <w:r w:rsidRPr="00662B68">
              <w:rPr>
                <w:color w:val="222222"/>
              </w:rPr>
              <w:t xml:space="preserve"> et al.</w:t>
            </w:r>
            <w:r w:rsidR="00992DE4">
              <w:rPr>
                <w:color w:val="222222"/>
              </w:rPr>
              <w:t>,</w:t>
            </w:r>
            <w:r>
              <w:rPr>
                <w:color w:val="222222"/>
              </w:rPr>
              <w:t xml:space="preserve"> </w:t>
            </w:r>
            <w:r w:rsidRPr="00662B68">
              <w:rPr>
                <w:color w:val="222222"/>
              </w:rPr>
              <w:t>2007</w:t>
            </w:r>
          </w:p>
        </w:tc>
      </w:tr>
      <w:tr w:rsidR="00F36C83" w:rsidRPr="00B0073B" w14:paraId="39350E44" w14:textId="77777777" w:rsidTr="00662B68">
        <w:trPr>
          <w:trHeight w:val="288"/>
        </w:trPr>
        <w:tc>
          <w:tcPr>
            <w:tcW w:w="3145" w:type="dxa"/>
            <w:noWrap/>
            <w:hideMark/>
          </w:tcPr>
          <w:p w14:paraId="2F432511" w14:textId="77777777" w:rsidR="00F36C83" w:rsidRPr="00662B68" w:rsidRDefault="00F36C83" w:rsidP="00B0073B">
            <w:pPr>
              <w:rPr>
                <w:color w:val="222222"/>
              </w:rPr>
            </w:pPr>
            <w:r w:rsidRPr="00662B68">
              <w:rPr>
                <w:color w:val="222222"/>
              </w:rPr>
              <w:t>280.3</w:t>
            </w:r>
          </w:p>
        </w:tc>
        <w:tc>
          <w:tcPr>
            <w:tcW w:w="3150" w:type="dxa"/>
            <w:noWrap/>
            <w:hideMark/>
          </w:tcPr>
          <w:p w14:paraId="4D7BC9BB" w14:textId="1FE525EF" w:rsidR="00F36C83" w:rsidRPr="00662B68" w:rsidRDefault="00F36C83" w:rsidP="00B0073B">
            <w:pPr>
              <w:rPr>
                <w:color w:val="222222"/>
              </w:rPr>
            </w:pPr>
            <w:r w:rsidRPr="00662B68">
              <w:rPr>
                <w:color w:val="222222"/>
              </w:rPr>
              <w:t>Zhang et al.</w:t>
            </w:r>
            <w:r w:rsidR="00992DE4">
              <w:rPr>
                <w:color w:val="222222"/>
              </w:rPr>
              <w:t>,</w:t>
            </w:r>
            <w:r>
              <w:rPr>
                <w:color w:val="222222"/>
              </w:rPr>
              <w:t xml:space="preserve"> </w:t>
            </w:r>
            <w:r w:rsidRPr="00662B68">
              <w:rPr>
                <w:color w:val="222222"/>
              </w:rPr>
              <w:t>2013</w:t>
            </w:r>
          </w:p>
        </w:tc>
      </w:tr>
      <w:tr w:rsidR="00F36C83" w:rsidRPr="00B0073B" w14:paraId="6811CC3F" w14:textId="77777777" w:rsidTr="00662B68">
        <w:trPr>
          <w:trHeight w:val="288"/>
        </w:trPr>
        <w:tc>
          <w:tcPr>
            <w:tcW w:w="3145" w:type="dxa"/>
            <w:noWrap/>
            <w:hideMark/>
          </w:tcPr>
          <w:p w14:paraId="43712317" w14:textId="77777777" w:rsidR="00F36C83" w:rsidRPr="00662B68" w:rsidRDefault="00F36C83" w:rsidP="00B0073B">
            <w:pPr>
              <w:rPr>
                <w:color w:val="222222"/>
              </w:rPr>
            </w:pPr>
            <w:r w:rsidRPr="00662B68">
              <w:rPr>
                <w:color w:val="222222"/>
              </w:rPr>
              <w:t>281.9</w:t>
            </w:r>
          </w:p>
        </w:tc>
        <w:tc>
          <w:tcPr>
            <w:tcW w:w="3150" w:type="dxa"/>
            <w:noWrap/>
            <w:hideMark/>
          </w:tcPr>
          <w:p w14:paraId="4F831D35" w14:textId="317BFCCD" w:rsidR="00F36C83" w:rsidRPr="00662B68" w:rsidRDefault="00F36C83" w:rsidP="00B0073B">
            <w:pPr>
              <w:rPr>
                <w:color w:val="222222"/>
              </w:rPr>
            </w:pPr>
            <w:r w:rsidRPr="00662B68">
              <w:rPr>
                <w:color w:val="222222"/>
              </w:rPr>
              <w:t>Shen et al.</w:t>
            </w:r>
            <w:r w:rsidR="00992DE4">
              <w:rPr>
                <w:color w:val="222222"/>
              </w:rPr>
              <w:t>,</w:t>
            </w:r>
            <w:r>
              <w:rPr>
                <w:color w:val="222222"/>
              </w:rPr>
              <w:t xml:space="preserve"> </w:t>
            </w:r>
            <w:r w:rsidRPr="00662B68">
              <w:rPr>
                <w:color w:val="222222"/>
              </w:rPr>
              <w:t>2012</w:t>
            </w:r>
          </w:p>
        </w:tc>
      </w:tr>
      <w:tr w:rsidR="00F36C83" w:rsidRPr="00B0073B" w14:paraId="113554E4" w14:textId="77777777" w:rsidTr="00662B68">
        <w:trPr>
          <w:trHeight w:val="288"/>
        </w:trPr>
        <w:tc>
          <w:tcPr>
            <w:tcW w:w="3145" w:type="dxa"/>
            <w:noWrap/>
            <w:hideMark/>
          </w:tcPr>
          <w:p w14:paraId="0DD57F02" w14:textId="77777777" w:rsidR="00F36C83" w:rsidRPr="00662B68" w:rsidRDefault="00F36C83" w:rsidP="00B0073B">
            <w:pPr>
              <w:rPr>
                <w:color w:val="222222"/>
              </w:rPr>
            </w:pPr>
            <w:r w:rsidRPr="00662B68">
              <w:rPr>
                <w:color w:val="222222"/>
              </w:rPr>
              <w:t>290.9</w:t>
            </w:r>
          </w:p>
        </w:tc>
        <w:tc>
          <w:tcPr>
            <w:tcW w:w="3150" w:type="dxa"/>
            <w:noWrap/>
            <w:hideMark/>
          </w:tcPr>
          <w:p w14:paraId="637D0EED" w14:textId="122089D9" w:rsidR="00F36C83" w:rsidRPr="00662B68" w:rsidRDefault="00F36C83" w:rsidP="00B0073B">
            <w:pPr>
              <w:rPr>
                <w:color w:val="222222"/>
              </w:rPr>
            </w:pPr>
            <w:proofErr w:type="spellStart"/>
            <w:r w:rsidRPr="00662B68">
              <w:rPr>
                <w:color w:val="222222"/>
              </w:rPr>
              <w:t>Irisarri</w:t>
            </w:r>
            <w:proofErr w:type="spellEnd"/>
            <w:r w:rsidRPr="00662B68">
              <w:rPr>
                <w:color w:val="222222"/>
              </w:rPr>
              <w:t xml:space="preserve"> et al.</w:t>
            </w:r>
            <w:r w:rsidR="00992DE4">
              <w:rPr>
                <w:color w:val="222222"/>
              </w:rPr>
              <w:t>,</w:t>
            </w:r>
            <w:r>
              <w:rPr>
                <w:color w:val="222222"/>
              </w:rPr>
              <w:t xml:space="preserve"> </w:t>
            </w:r>
            <w:r w:rsidRPr="00662B68">
              <w:rPr>
                <w:color w:val="222222"/>
              </w:rPr>
              <w:t>2012</w:t>
            </w:r>
          </w:p>
        </w:tc>
      </w:tr>
      <w:tr w:rsidR="00F36C83" w:rsidRPr="00B0073B" w14:paraId="7F8D2EEA" w14:textId="77777777" w:rsidTr="00662B68">
        <w:trPr>
          <w:trHeight w:val="288"/>
        </w:trPr>
        <w:tc>
          <w:tcPr>
            <w:tcW w:w="3145" w:type="dxa"/>
            <w:noWrap/>
            <w:hideMark/>
          </w:tcPr>
          <w:p w14:paraId="46066274" w14:textId="77777777" w:rsidR="00F36C83" w:rsidRPr="00662B68" w:rsidRDefault="00F36C83" w:rsidP="00B0073B">
            <w:pPr>
              <w:rPr>
                <w:color w:val="222222"/>
              </w:rPr>
            </w:pPr>
            <w:r w:rsidRPr="00662B68">
              <w:rPr>
                <w:color w:val="222222"/>
              </w:rPr>
              <w:t>292</w:t>
            </w:r>
          </w:p>
        </w:tc>
        <w:tc>
          <w:tcPr>
            <w:tcW w:w="3150" w:type="dxa"/>
            <w:noWrap/>
            <w:hideMark/>
          </w:tcPr>
          <w:p w14:paraId="65FCB79A" w14:textId="4B4A7D66" w:rsidR="00F36C83" w:rsidRPr="00662B68" w:rsidRDefault="00F36C83" w:rsidP="00B0073B">
            <w:pPr>
              <w:rPr>
                <w:color w:val="222222"/>
              </w:rPr>
            </w:pPr>
            <w:r w:rsidRPr="00662B68">
              <w:rPr>
                <w:color w:val="222222"/>
              </w:rPr>
              <w:t>Pyron</w:t>
            </w:r>
            <w:r w:rsidR="00992DE4">
              <w:rPr>
                <w:color w:val="222222"/>
              </w:rPr>
              <w:t>,</w:t>
            </w:r>
            <w:r>
              <w:rPr>
                <w:color w:val="222222"/>
              </w:rPr>
              <w:t xml:space="preserve"> </w:t>
            </w:r>
            <w:r w:rsidRPr="00662B68">
              <w:rPr>
                <w:color w:val="222222"/>
              </w:rPr>
              <w:t>2011</w:t>
            </w:r>
          </w:p>
        </w:tc>
      </w:tr>
      <w:tr w:rsidR="00F36C83" w:rsidRPr="00B0073B" w14:paraId="71E4DAED" w14:textId="77777777" w:rsidTr="00662B68">
        <w:trPr>
          <w:trHeight w:val="288"/>
        </w:trPr>
        <w:tc>
          <w:tcPr>
            <w:tcW w:w="3145" w:type="dxa"/>
            <w:noWrap/>
            <w:hideMark/>
          </w:tcPr>
          <w:p w14:paraId="664DD25F" w14:textId="77777777" w:rsidR="00F36C83" w:rsidRPr="00662B68" w:rsidRDefault="00F36C83" w:rsidP="00B0073B">
            <w:pPr>
              <w:rPr>
                <w:color w:val="222222"/>
              </w:rPr>
            </w:pPr>
            <w:r w:rsidRPr="00662B68">
              <w:rPr>
                <w:color w:val="222222"/>
              </w:rPr>
              <w:t>292.5</w:t>
            </w:r>
          </w:p>
        </w:tc>
        <w:tc>
          <w:tcPr>
            <w:tcW w:w="3150" w:type="dxa"/>
            <w:noWrap/>
            <w:hideMark/>
          </w:tcPr>
          <w:p w14:paraId="3E40FDDE" w14:textId="41607302" w:rsidR="00F36C83" w:rsidRPr="00662B68" w:rsidRDefault="00F36C83" w:rsidP="00B0073B">
            <w:pPr>
              <w:rPr>
                <w:color w:val="222222"/>
              </w:rPr>
            </w:pPr>
            <w:r w:rsidRPr="00662B68">
              <w:rPr>
                <w:color w:val="222222"/>
              </w:rPr>
              <w:t>San Mauro</w:t>
            </w:r>
            <w:r w:rsidR="00992DE4">
              <w:rPr>
                <w:color w:val="222222"/>
              </w:rPr>
              <w:t>,</w:t>
            </w:r>
            <w:r>
              <w:rPr>
                <w:color w:val="222222"/>
              </w:rPr>
              <w:t xml:space="preserve"> </w:t>
            </w:r>
            <w:r w:rsidRPr="00662B68">
              <w:rPr>
                <w:color w:val="222222"/>
              </w:rPr>
              <w:t>2010</w:t>
            </w:r>
          </w:p>
        </w:tc>
      </w:tr>
      <w:tr w:rsidR="00F36C83" w:rsidRPr="00B0073B" w14:paraId="1B8CA8ED" w14:textId="77777777" w:rsidTr="00662B68">
        <w:trPr>
          <w:trHeight w:val="288"/>
        </w:trPr>
        <w:tc>
          <w:tcPr>
            <w:tcW w:w="3145" w:type="dxa"/>
            <w:noWrap/>
            <w:hideMark/>
          </w:tcPr>
          <w:p w14:paraId="73AF9D6C" w14:textId="77777777" w:rsidR="00F36C83" w:rsidRPr="00662B68" w:rsidRDefault="00F36C83" w:rsidP="00B0073B">
            <w:pPr>
              <w:rPr>
                <w:color w:val="222222"/>
              </w:rPr>
            </w:pPr>
            <w:r w:rsidRPr="00662B68">
              <w:rPr>
                <w:color w:val="222222"/>
              </w:rPr>
              <w:t>294.9</w:t>
            </w:r>
          </w:p>
        </w:tc>
        <w:tc>
          <w:tcPr>
            <w:tcW w:w="3150" w:type="dxa"/>
            <w:noWrap/>
            <w:hideMark/>
          </w:tcPr>
          <w:p w14:paraId="63D0398C" w14:textId="61B8F178" w:rsidR="00F36C83" w:rsidRPr="00662B68" w:rsidRDefault="00F36C83" w:rsidP="00B0073B">
            <w:pPr>
              <w:rPr>
                <w:color w:val="222222"/>
              </w:rPr>
            </w:pPr>
            <w:r w:rsidRPr="00662B68">
              <w:rPr>
                <w:color w:val="222222"/>
              </w:rPr>
              <w:t>Shen et al.</w:t>
            </w:r>
            <w:r w:rsidR="00992DE4">
              <w:rPr>
                <w:color w:val="222222"/>
              </w:rPr>
              <w:t>,</w:t>
            </w:r>
            <w:r>
              <w:rPr>
                <w:color w:val="222222"/>
              </w:rPr>
              <w:t xml:space="preserve"> </w:t>
            </w:r>
            <w:r w:rsidRPr="00662B68">
              <w:rPr>
                <w:color w:val="222222"/>
              </w:rPr>
              <w:t>2011</w:t>
            </w:r>
          </w:p>
        </w:tc>
      </w:tr>
      <w:tr w:rsidR="00F36C83" w:rsidRPr="00B0073B" w14:paraId="0722CDEE" w14:textId="77777777" w:rsidTr="00662B68">
        <w:trPr>
          <w:trHeight w:val="288"/>
        </w:trPr>
        <w:tc>
          <w:tcPr>
            <w:tcW w:w="3145" w:type="dxa"/>
            <w:noWrap/>
            <w:hideMark/>
          </w:tcPr>
          <w:p w14:paraId="7E394CC2" w14:textId="77777777" w:rsidR="00F36C83" w:rsidRPr="00662B68" w:rsidRDefault="00F36C83" w:rsidP="00B0073B">
            <w:pPr>
              <w:rPr>
                <w:color w:val="222222"/>
              </w:rPr>
            </w:pPr>
            <w:r w:rsidRPr="00662B68">
              <w:rPr>
                <w:color w:val="222222"/>
              </w:rPr>
              <w:t>300</w:t>
            </w:r>
          </w:p>
        </w:tc>
        <w:tc>
          <w:tcPr>
            <w:tcW w:w="3150" w:type="dxa"/>
            <w:noWrap/>
            <w:hideMark/>
          </w:tcPr>
          <w:p w14:paraId="159C34FA" w14:textId="391E419F" w:rsidR="00F36C83" w:rsidRPr="00662B68" w:rsidRDefault="00F36C83" w:rsidP="00B0073B">
            <w:pPr>
              <w:rPr>
                <w:color w:val="222222"/>
              </w:rPr>
            </w:pPr>
            <w:proofErr w:type="spellStart"/>
            <w:r w:rsidRPr="00662B68">
              <w:rPr>
                <w:color w:val="222222"/>
              </w:rPr>
              <w:t>Bonett</w:t>
            </w:r>
            <w:proofErr w:type="spellEnd"/>
            <w:r w:rsidRPr="00662B68">
              <w:rPr>
                <w:color w:val="222222"/>
              </w:rPr>
              <w:t xml:space="preserve"> et al.</w:t>
            </w:r>
            <w:r w:rsidR="00992DE4">
              <w:rPr>
                <w:color w:val="222222"/>
              </w:rPr>
              <w:t>,</w:t>
            </w:r>
            <w:r>
              <w:rPr>
                <w:color w:val="222222"/>
              </w:rPr>
              <w:t xml:space="preserve"> </w:t>
            </w:r>
            <w:r w:rsidRPr="00662B68">
              <w:rPr>
                <w:color w:val="222222"/>
              </w:rPr>
              <w:t>2013</w:t>
            </w:r>
          </w:p>
        </w:tc>
      </w:tr>
      <w:tr w:rsidR="00F36C83" w:rsidRPr="00B0073B" w14:paraId="681E3A2F" w14:textId="77777777" w:rsidTr="00662B68">
        <w:trPr>
          <w:trHeight w:val="288"/>
        </w:trPr>
        <w:tc>
          <w:tcPr>
            <w:tcW w:w="3145" w:type="dxa"/>
            <w:noWrap/>
            <w:hideMark/>
          </w:tcPr>
          <w:p w14:paraId="5D42C7BA" w14:textId="77777777" w:rsidR="00F36C83" w:rsidRPr="00662B68" w:rsidRDefault="00F36C83" w:rsidP="00B0073B">
            <w:pPr>
              <w:rPr>
                <w:color w:val="222222"/>
              </w:rPr>
            </w:pPr>
            <w:r w:rsidRPr="00662B68">
              <w:rPr>
                <w:color w:val="222222"/>
              </w:rPr>
              <w:t>302.5</w:t>
            </w:r>
          </w:p>
        </w:tc>
        <w:tc>
          <w:tcPr>
            <w:tcW w:w="3150" w:type="dxa"/>
            <w:noWrap/>
            <w:hideMark/>
          </w:tcPr>
          <w:p w14:paraId="2AB35521" w14:textId="66DE7A8D" w:rsidR="00F36C83" w:rsidRPr="00662B68" w:rsidRDefault="00F36C83" w:rsidP="00B0073B">
            <w:pPr>
              <w:rPr>
                <w:color w:val="222222"/>
              </w:rPr>
            </w:pPr>
            <w:r w:rsidRPr="00662B68">
              <w:rPr>
                <w:color w:val="222222"/>
              </w:rPr>
              <w:t>Roquet et al.</w:t>
            </w:r>
            <w:r w:rsidR="00992DE4">
              <w:rPr>
                <w:color w:val="222222"/>
              </w:rPr>
              <w:t>,</w:t>
            </w:r>
            <w:r>
              <w:rPr>
                <w:color w:val="222222"/>
              </w:rPr>
              <w:t xml:space="preserve"> </w:t>
            </w:r>
            <w:r w:rsidRPr="00662B68">
              <w:rPr>
                <w:color w:val="222222"/>
              </w:rPr>
              <w:t>2014</w:t>
            </w:r>
          </w:p>
        </w:tc>
      </w:tr>
      <w:tr w:rsidR="00F36C83" w:rsidRPr="00B0073B" w14:paraId="4BB8E80D" w14:textId="77777777" w:rsidTr="00662B68">
        <w:trPr>
          <w:trHeight w:val="288"/>
        </w:trPr>
        <w:tc>
          <w:tcPr>
            <w:tcW w:w="3145" w:type="dxa"/>
            <w:noWrap/>
            <w:hideMark/>
          </w:tcPr>
          <w:p w14:paraId="6AAB1E9F" w14:textId="77777777" w:rsidR="00F36C83" w:rsidRPr="00662B68" w:rsidRDefault="00F36C83" w:rsidP="00B0073B">
            <w:pPr>
              <w:rPr>
                <w:color w:val="222222"/>
              </w:rPr>
            </w:pPr>
            <w:r w:rsidRPr="00662B68">
              <w:rPr>
                <w:color w:val="222222"/>
              </w:rPr>
              <w:t>305</w:t>
            </w:r>
          </w:p>
        </w:tc>
        <w:tc>
          <w:tcPr>
            <w:tcW w:w="3150" w:type="dxa"/>
            <w:noWrap/>
            <w:hideMark/>
          </w:tcPr>
          <w:p w14:paraId="4B46E9A3" w14:textId="0489B78A" w:rsidR="00F36C83" w:rsidRPr="00662B68" w:rsidRDefault="00F36C83" w:rsidP="00B0073B">
            <w:pPr>
              <w:rPr>
                <w:color w:val="222222"/>
              </w:rPr>
            </w:pPr>
            <w:r w:rsidRPr="00662B68">
              <w:rPr>
                <w:color w:val="222222"/>
              </w:rPr>
              <w:t>Aris-</w:t>
            </w:r>
            <w:proofErr w:type="spellStart"/>
            <w:r w:rsidRPr="00662B68">
              <w:rPr>
                <w:color w:val="222222"/>
              </w:rPr>
              <w:t>Brosou</w:t>
            </w:r>
            <w:proofErr w:type="spellEnd"/>
            <w:r w:rsidRPr="00662B68">
              <w:rPr>
                <w:color w:val="222222"/>
              </w:rPr>
              <w:t xml:space="preserve"> </w:t>
            </w:r>
            <w:r w:rsidR="00F038AE">
              <w:rPr>
                <w:color w:val="222222"/>
              </w:rPr>
              <w:t>&amp; Yang</w:t>
            </w:r>
            <w:r w:rsidR="00992DE4">
              <w:rPr>
                <w:color w:val="222222"/>
              </w:rPr>
              <w:t>,</w:t>
            </w:r>
            <w:r>
              <w:rPr>
                <w:color w:val="222222"/>
              </w:rPr>
              <w:t xml:space="preserve"> </w:t>
            </w:r>
            <w:r w:rsidRPr="00662B68">
              <w:rPr>
                <w:color w:val="222222"/>
              </w:rPr>
              <w:t>2013</w:t>
            </w:r>
          </w:p>
        </w:tc>
      </w:tr>
      <w:tr w:rsidR="00F36C83" w:rsidRPr="00B0073B" w14:paraId="18801B53" w14:textId="77777777" w:rsidTr="00662B68">
        <w:trPr>
          <w:trHeight w:val="288"/>
        </w:trPr>
        <w:tc>
          <w:tcPr>
            <w:tcW w:w="3145" w:type="dxa"/>
            <w:noWrap/>
            <w:hideMark/>
          </w:tcPr>
          <w:p w14:paraId="0FAB16F6" w14:textId="77777777" w:rsidR="00F36C83" w:rsidRPr="00662B68" w:rsidRDefault="00F36C83" w:rsidP="00B0073B">
            <w:pPr>
              <w:rPr>
                <w:color w:val="222222"/>
              </w:rPr>
            </w:pPr>
            <w:r w:rsidRPr="00662B68">
              <w:rPr>
                <w:color w:val="222222"/>
              </w:rPr>
              <w:t>305.7</w:t>
            </w:r>
          </w:p>
        </w:tc>
        <w:tc>
          <w:tcPr>
            <w:tcW w:w="3150" w:type="dxa"/>
            <w:noWrap/>
            <w:hideMark/>
          </w:tcPr>
          <w:p w14:paraId="68CF28E6" w14:textId="02C6C6B3" w:rsidR="00F36C83" w:rsidRPr="00662B68" w:rsidRDefault="00F36C83" w:rsidP="00B0073B">
            <w:pPr>
              <w:rPr>
                <w:color w:val="222222"/>
              </w:rPr>
            </w:pPr>
            <w:r w:rsidRPr="00662B68">
              <w:rPr>
                <w:color w:val="222222"/>
              </w:rPr>
              <w:t>Pyron</w:t>
            </w:r>
            <w:r w:rsidR="00992DE4">
              <w:rPr>
                <w:color w:val="222222"/>
              </w:rPr>
              <w:t>,</w:t>
            </w:r>
            <w:r>
              <w:rPr>
                <w:color w:val="222222"/>
              </w:rPr>
              <w:t xml:space="preserve"> </w:t>
            </w:r>
            <w:r w:rsidRPr="00662B68">
              <w:rPr>
                <w:color w:val="222222"/>
              </w:rPr>
              <w:t>2010</w:t>
            </w:r>
          </w:p>
        </w:tc>
      </w:tr>
      <w:tr w:rsidR="00F36C83" w:rsidRPr="00B0073B" w14:paraId="1D112C22" w14:textId="77777777" w:rsidTr="00662B68">
        <w:trPr>
          <w:trHeight w:val="288"/>
        </w:trPr>
        <w:tc>
          <w:tcPr>
            <w:tcW w:w="3145" w:type="dxa"/>
            <w:noWrap/>
            <w:hideMark/>
          </w:tcPr>
          <w:p w14:paraId="05A50F68" w14:textId="77777777" w:rsidR="00F36C83" w:rsidRPr="00662B68" w:rsidRDefault="00F36C83" w:rsidP="00B0073B">
            <w:pPr>
              <w:rPr>
                <w:color w:val="222222"/>
              </w:rPr>
            </w:pPr>
            <w:r w:rsidRPr="00662B68">
              <w:rPr>
                <w:color w:val="222222"/>
              </w:rPr>
              <w:t>308</w:t>
            </w:r>
          </w:p>
        </w:tc>
        <w:tc>
          <w:tcPr>
            <w:tcW w:w="3150" w:type="dxa"/>
            <w:noWrap/>
            <w:hideMark/>
          </w:tcPr>
          <w:p w14:paraId="491F0E9B" w14:textId="04AFCA40" w:rsidR="00F36C83" w:rsidRPr="00662B68" w:rsidRDefault="00F36C83" w:rsidP="00B0073B">
            <w:pPr>
              <w:rPr>
                <w:color w:val="222222"/>
              </w:rPr>
            </w:pPr>
            <w:r w:rsidRPr="00662B68">
              <w:rPr>
                <w:color w:val="222222"/>
              </w:rPr>
              <w:t>Zhang et al.</w:t>
            </w:r>
            <w:r w:rsidR="00992DE4">
              <w:rPr>
                <w:color w:val="222222"/>
              </w:rPr>
              <w:t>,</w:t>
            </w:r>
            <w:r>
              <w:rPr>
                <w:color w:val="222222"/>
              </w:rPr>
              <w:t xml:space="preserve"> </w:t>
            </w:r>
            <w:r w:rsidRPr="00662B68">
              <w:rPr>
                <w:color w:val="222222"/>
              </w:rPr>
              <w:t>2005</w:t>
            </w:r>
            <w:r w:rsidR="00330EB1">
              <w:rPr>
                <w:color w:val="222222"/>
              </w:rPr>
              <w:t>a</w:t>
            </w:r>
          </w:p>
        </w:tc>
      </w:tr>
      <w:tr w:rsidR="00F36C83" w:rsidRPr="00B0073B" w14:paraId="6575C173" w14:textId="77777777" w:rsidTr="00662B68">
        <w:trPr>
          <w:trHeight w:val="288"/>
        </w:trPr>
        <w:tc>
          <w:tcPr>
            <w:tcW w:w="3145" w:type="dxa"/>
            <w:noWrap/>
            <w:hideMark/>
          </w:tcPr>
          <w:p w14:paraId="36D6C548" w14:textId="77777777" w:rsidR="00F36C83" w:rsidRPr="00662B68" w:rsidRDefault="00F36C83" w:rsidP="00B0073B">
            <w:pPr>
              <w:rPr>
                <w:color w:val="222222"/>
              </w:rPr>
            </w:pPr>
            <w:r w:rsidRPr="00662B68">
              <w:rPr>
                <w:color w:val="222222"/>
              </w:rPr>
              <w:t>318</w:t>
            </w:r>
          </w:p>
        </w:tc>
        <w:tc>
          <w:tcPr>
            <w:tcW w:w="3150" w:type="dxa"/>
            <w:noWrap/>
            <w:hideMark/>
          </w:tcPr>
          <w:p w14:paraId="68161BD8" w14:textId="7AC87FF5" w:rsidR="00F36C83" w:rsidRPr="00662B68" w:rsidRDefault="00F36C83">
            <w:pPr>
              <w:rPr>
                <w:color w:val="222222"/>
              </w:rPr>
            </w:pPr>
            <w:proofErr w:type="spellStart"/>
            <w:r w:rsidRPr="00662B68">
              <w:rPr>
                <w:color w:val="222222"/>
              </w:rPr>
              <w:t>Igawa</w:t>
            </w:r>
            <w:proofErr w:type="spellEnd"/>
            <w:r w:rsidRPr="00662B68">
              <w:rPr>
                <w:color w:val="222222"/>
              </w:rPr>
              <w:t xml:space="preserve"> et al.</w:t>
            </w:r>
            <w:r w:rsidR="00992DE4">
              <w:rPr>
                <w:color w:val="222222"/>
              </w:rPr>
              <w:t>,</w:t>
            </w:r>
            <w:r>
              <w:rPr>
                <w:color w:val="222222"/>
              </w:rPr>
              <w:t xml:space="preserve"> </w:t>
            </w:r>
            <w:r w:rsidRPr="00662B68">
              <w:rPr>
                <w:color w:val="222222"/>
              </w:rPr>
              <w:t xml:space="preserve">2008 </w:t>
            </w:r>
          </w:p>
        </w:tc>
      </w:tr>
      <w:tr w:rsidR="00F36C83" w:rsidRPr="00B0073B" w14:paraId="0B70849D" w14:textId="77777777" w:rsidTr="00662B68">
        <w:trPr>
          <w:trHeight w:val="288"/>
        </w:trPr>
        <w:tc>
          <w:tcPr>
            <w:tcW w:w="3145" w:type="dxa"/>
            <w:noWrap/>
            <w:hideMark/>
          </w:tcPr>
          <w:p w14:paraId="718B46B2" w14:textId="77777777" w:rsidR="00F36C83" w:rsidRPr="00662B68" w:rsidRDefault="00F36C83" w:rsidP="00B0073B">
            <w:pPr>
              <w:rPr>
                <w:color w:val="222222"/>
              </w:rPr>
            </w:pPr>
            <w:r w:rsidRPr="00662B68">
              <w:rPr>
                <w:color w:val="222222"/>
              </w:rPr>
              <w:t>321</w:t>
            </w:r>
          </w:p>
        </w:tc>
        <w:tc>
          <w:tcPr>
            <w:tcW w:w="3150" w:type="dxa"/>
            <w:noWrap/>
            <w:hideMark/>
          </w:tcPr>
          <w:p w14:paraId="61945EC4" w14:textId="11A88C59" w:rsidR="00F36C83" w:rsidRPr="00662B68" w:rsidRDefault="00F36C83" w:rsidP="00B0073B">
            <w:pPr>
              <w:rPr>
                <w:color w:val="222222"/>
              </w:rPr>
            </w:pPr>
            <w:r w:rsidRPr="00662B68">
              <w:rPr>
                <w:color w:val="222222"/>
              </w:rPr>
              <w:t>Zhang et al.</w:t>
            </w:r>
            <w:r w:rsidR="00992DE4">
              <w:rPr>
                <w:color w:val="222222"/>
              </w:rPr>
              <w:t>,</w:t>
            </w:r>
            <w:r>
              <w:rPr>
                <w:color w:val="222222"/>
              </w:rPr>
              <w:t xml:space="preserve"> </w:t>
            </w:r>
            <w:r w:rsidRPr="00662B68">
              <w:rPr>
                <w:color w:val="222222"/>
              </w:rPr>
              <w:t>2005</w:t>
            </w:r>
            <w:r w:rsidR="00330EB1">
              <w:rPr>
                <w:color w:val="222222"/>
              </w:rPr>
              <w:t>b</w:t>
            </w:r>
          </w:p>
        </w:tc>
      </w:tr>
      <w:tr w:rsidR="00F36C83" w:rsidRPr="00B0073B" w14:paraId="36571850" w14:textId="77777777" w:rsidTr="00662B68">
        <w:trPr>
          <w:trHeight w:val="288"/>
        </w:trPr>
        <w:tc>
          <w:tcPr>
            <w:tcW w:w="3145" w:type="dxa"/>
            <w:noWrap/>
            <w:hideMark/>
          </w:tcPr>
          <w:p w14:paraId="769C31CE" w14:textId="77777777" w:rsidR="00F36C83" w:rsidRPr="00662B68" w:rsidRDefault="00F36C83" w:rsidP="00B0073B">
            <w:pPr>
              <w:rPr>
                <w:color w:val="222222"/>
              </w:rPr>
            </w:pPr>
            <w:r w:rsidRPr="00662B68">
              <w:rPr>
                <w:color w:val="222222"/>
              </w:rPr>
              <w:t>322</w:t>
            </w:r>
          </w:p>
        </w:tc>
        <w:tc>
          <w:tcPr>
            <w:tcW w:w="3150" w:type="dxa"/>
            <w:noWrap/>
            <w:hideMark/>
          </w:tcPr>
          <w:p w14:paraId="36AD04D3" w14:textId="05E10EC4" w:rsidR="00F36C83" w:rsidRPr="00662B68" w:rsidRDefault="00F36C83" w:rsidP="00B0073B">
            <w:pPr>
              <w:rPr>
                <w:color w:val="222222"/>
              </w:rPr>
            </w:pPr>
            <w:proofErr w:type="spellStart"/>
            <w:r w:rsidRPr="00662B68">
              <w:rPr>
                <w:color w:val="222222"/>
              </w:rPr>
              <w:t>Vieites</w:t>
            </w:r>
            <w:proofErr w:type="spellEnd"/>
            <w:r w:rsidRPr="00662B68">
              <w:rPr>
                <w:color w:val="222222"/>
              </w:rPr>
              <w:t xml:space="preserve"> et al.</w:t>
            </w:r>
            <w:r w:rsidR="00992DE4">
              <w:rPr>
                <w:color w:val="222222"/>
              </w:rPr>
              <w:t>,</w:t>
            </w:r>
            <w:r>
              <w:rPr>
                <w:color w:val="222222"/>
              </w:rPr>
              <w:t xml:space="preserve"> </w:t>
            </w:r>
            <w:r w:rsidRPr="00662B68">
              <w:rPr>
                <w:color w:val="222222"/>
              </w:rPr>
              <w:t>2007</w:t>
            </w:r>
          </w:p>
        </w:tc>
      </w:tr>
      <w:tr w:rsidR="00F36C83" w:rsidRPr="00B0073B" w14:paraId="590D1E5D" w14:textId="77777777" w:rsidTr="00662B68">
        <w:trPr>
          <w:trHeight w:val="288"/>
        </w:trPr>
        <w:tc>
          <w:tcPr>
            <w:tcW w:w="3145" w:type="dxa"/>
            <w:noWrap/>
            <w:hideMark/>
          </w:tcPr>
          <w:p w14:paraId="464C8C5B" w14:textId="77777777" w:rsidR="00F36C83" w:rsidRPr="00662B68" w:rsidRDefault="00F36C83" w:rsidP="00B0073B">
            <w:pPr>
              <w:rPr>
                <w:color w:val="222222"/>
              </w:rPr>
            </w:pPr>
            <w:r w:rsidRPr="00662B68">
              <w:rPr>
                <w:color w:val="222222"/>
              </w:rPr>
              <w:t>325.8</w:t>
            </w:r>
          </w:p>
        </w:tc>
        <w:tc>
          <w:tcPr>
            <w:tcW w:w="3150" w:type="dxa"/>
            <w:noWrap/>
            <w:hideMark/>
          </w:tcPr>
          <w:p w14:paraId="3192D739" w14:textId="249DC80F" w:rsidR="00F36C83" w:rsidRPr="00662B68" w:rsidRDefault="00F36C83">
            <w:pPr>
              <w:rPr>
                <w:color w:val="222222"/>
              </w:rPr>
            </w:pPr>
            <w:proofErr w:type="spellStart"/>
            <w:r w:rsidRPr="00662B68">
              <w:rPr>
                <w:color w:val="222222"/>
              </w:rPr>
              <w:t>Delsuc</w:t>
            </w:r>
            <w:proofErr w:type="spellEnd"/>
            <w:r w:rsidRPr="00662B68">
              <w:rPr>
                <w:color w:val="222222"/>
              </w:rPr>
              <w:t xml:space="preserve"> et al.</w:t>
            </w:r>
            <w:r w:rsidR="00992DE4">
              <w:rPr>
                <w:color w:val="222222"/>
              </w:rPr>
              <w:t>,</w:t>
            </w:r>
            <w:r>
              <w:rPr>
                <w:color w:val="222222"/>
              </w:rPr>
              <w:t xml:space="preserve"> </w:t>
            </w:r>
            <w:r w:rsidRPr="00662B68">
              <w:rPr>
                <w:color w:val="222222"/>
              </w:rPr>
              <w:t xml:space="preserve">2018 </w:t>
            </w:r>
          </w:p>
        </w:tc>
      </w:tr>
      <w:tr w:rsidR="00F36C83" w:rsidRPr="00B0073B" w14:paraId="5502C34B" w14:textId="77777777" w:rsidTr="00662B68">
        <w:trPr>
          <w:trHeight w:val="288"/>
        </w:trPr>
        <w:tc>
          <w:tcPr>
            <w:tcW w:w="3145" w:type="dxa"/>
            <w:noWrap/>
            <w:hideMark/>
          </w:tcPr>
          <w:p w14:paraId="6752B2B2" w14:textId="77777777" w:rsidR="00F36C83" w:rsidRPr="00662B68" w:rsidRDefault="00F36C83" w:rsidP="00B0073B">
            <w:pPr>
              <w:rPr>
                <w:color w:val="222222"/>
              </w:rPr>
            </w:pPr>
            <w:r w:rsidRPr="00662B68">
              <w:rPr>
                <w:color w:val="222222"/>
              </w:rPr>
              <w:t>332.9</w:t>
            </w:r>
          </w:p>
        </w:tc>
        <w:tc>
          <w:tcPr>
            <w:tcW w:w="3150" w:type="dxa"/>
            <w:noWrap/>
            <w:hideMark/>
          </w:tcPr>
          <w:p w14:paraId="3C18820A" w14:textId="72661B08" w:rsidR="00F36C83" w:rsidRPr="00662B68" w:rsidRDefault="00F36C83" w:rsidP="00B0073B">
            <w:pPr>
              <w:rPr>
                <w:color w:val="222222"/>
              </w:rPr>
            </w:pPr>
            <w:proofErr w:type="spellStart"/>
            <w:r w:rsidRPr="00662B68">
              <w:rPr>
                <w:color w:val="222222"/>
              </w:rPr>
              <w:t>Roelants</w:t>
            </w:r>
            <w:proofErr w:type="spellEnd"/>
            <w:r w:rsidRPr="00662B68">
              <w:rPr>
                <w:color w:val="222222"/>
              </w:rPr>
              <w:t xml:space="preserve"> et al.</w:t>
            </w:r>
            <w:r w:rsidR="00992DE4">
              <w:rPr>
                <w:color w:val="222222"/>
              </w:rPr>
              <w:t>,</w:t>
            </w:r>
            <w:r>
              <w:rPr>
                <w:color w:val="222222"/>
              </w:rPr>
              <w:t xml:space="preserve"> </w:t>
            </w:r>
            <w:r w:rsidRPr="00662B68">
              <w:rPr>
                <w:color w:val="222222"/>
              </w:rPr>
              <w:t>2007</w:t>
            </w:r>
          </w:p>
        </w:tc>
      </w:tr>
      <w:tr w:rsidR="00F36C83" w:rsidRPr="00B0073B" w14:paraId="2339727D" w14:textId="77777777" w:rsidTr="00662B68">
        <w:trPr>
          <w:trHeight w:val="288"/>
        </w:trPr>
        <w:tc>
          <w:tcPr>
            <w:tcW w:w="3145" w:type="dxa"/>
            <w:noWrap/>
            <w:hideMark/>
          </w:tcPr>
          <w:p w14:paraId="660AF534" w14:textId="77777777" w:rsidR="00F36C83" w:rsidRPr="00662B68" w:rsidRDefault="00F36C83" w:rsidP="00B0073B">
            <w:pPr>
              <w:rPr>
                <w:color w:val="222222"/>
              </w:rPr>
            </w:pPr>
            <w:r w:rsidRPr="00662B68">
              <w:rPr>
                <w:color w:val="222222"/>
              </w:rPr>
              <w:t>339.1</w:t>
            </w:r>
          </w:p>
        </w:tc>
        <w:tc>
          <w:tcPr>
            <w:tcW w:w="3150" w:type="dxa"/>
            <w:noWrap/>
            <w:hideMark/>
          </w:tcPr>
          <w:p w14:paraId="5BD8D54B" w14:textId="45D0D216" w:rsidR="00F36C83" w:rsidRPr="00662B68" w:rsidRDefault="00F36C83" w:rsidP="00B0073B">
            <w:pPr>
              <w:rPr>
                <w:color w:val="222222"/>
              </w:rPr>
            </w:pPr>
            <w:r w:rsidRPr="00662B68">
              <w:rPr>
                <w:color w:val="222222"/>
              </w:rPr>
              <w:t>Santos et al.</w:t>
            </w:r>
            <w:r w:rsidR="00992DE4">
              <w:rPr>
                <w:color w:val="222222"/>
              </w:rPr>
              <w:t>,</w:t>
            </w:r>
            <w:r>
              <w:rPr>
                <w:color w:val="222222"/>
              </w:rPr>
              <w:t xml:space="preserve"> </w:t>
            </w:r>
            <w:r w:rsidRPr="00662B68">
              <w:rPr>
                <w:color w:val="222222"/>
              </w:rPr>
              <w:t>2009</w:t>
            </w:r>
          </w:p>
        </w:tc>
      </w:tr>
      <w:tr w:rsidR="00F36C83" w:rsidRPr="00B0073B" w14:paraId="45D97B92" w14:textId="77777777" w:rsidTr="00662B68">
        <w:trPr>
          <w:trHeight w:val="288"/>
        </w:trPr>
        <w:tc>
          <w:tcPr>
            <w:tcW w:w="3145" w:type="dxa"/>
            <w:noWrap/>
            <w:hideMark/>
          </w:tcPr>
          <w:p w14:paraId="6DE9EF5D" w14:textId="77777777" w:rsidR="00F36C83" w:rsidRPr="00662B68" w:rsidRDefault="00F36C83" w:rsidP="00B0073B">
            <w:pPr>
              <w:rPr>
                <w:color w:val="222222"/>
              </w:rPr>
            </w:pPr>
            <w:r w:rsidRPr="00662B68">
              <w:rPr>
                <w:color w:val="222222"/>
              </w:rPr>
              <w:t>344.4</w:t>
            </w:r>
          </w:p>
        </w:tc>
        <w:tc>
          <w:tcPr>
            <w:tcW w:w="3150" w:type="dxa"/>
            <w:noWrap/>
            <w:hideMark/>
          </w:tcPr>
          <w:p w14:paraId="71BC8C9A" w14:textId="701E341A" w:rsidR="00F36C83" w:rsidRPr="00662B68" w:rsidRDefault="00F36C83" w:rsidP="00B0073B">
            <w:pPr>
              <w:rPr>
                <w:color w:val="222222"/>
              </w:rPr>
            </w:pPr>
            <w:proofErr w:type="spellStart"/>
            <w:r w:rsidRPr="00662B68">
              <w:rPr>
                <w:color w:val="222222"/>
              </w:rPr>
              <w:t>Crottini</w:t>
            </w:r>
            <w:proofErr w:type="spellEnd"/>
            <w:r w:rsidRPr="00662B68">
              <w:rPr>
                <w:color w:val="222222"/>
              </w:rPr>
              <w:t xml:space="preserve"> et al.</w:t>
            </w:r>
            <w:r w:rsidR="00992DE4">
              <w:rPr>
                <w:color w:val="222222"/>
              </w:rPr>
              <w:t>,</w:t>
            </w:r>
            <w:r>
              <w:rPr>
                <w:color w:val="222222"/>
              </w:rPr>
              <w:t xml:space="preserve"> </w:t>
            </w:r>
            <w:r w:rsidRPr="00662B68">
              <w:rPr>
                <w:color w:val="222222"/>
              </w:rPr>
              <w:t>2012</w:t>
            </w:r>
          </w:p>
        </w:tc>
      </w:tr>
      <w:tr w:rsidR="00F36C83" w:rsidRPr="00B0073B" w14:paraId="761A7971" w14:textId="77777777" w:rsidTr="00662B68">
        <w:trPr>
          <w:trHeight w:val="288"/>
        </w:trPr>
        <w:tc>
          <w:tcPr>
            <w:tcW w:w="3145" w:type="dxa"/>
            <w:noWrap/>
            <w:hideMark/>
          </w:tcPr>
          <w:p w14:paraId="4366635C" w14:textId="77777777" w:rsidR="00F36C83" w:rsidRPr="00662B68" w:rsidRDefault="00F36C83" w:rsidP="00B0073B">
            <w:pPr>
              <w:rPr>
                <w:color w:val="222222"/>
              </w:rPr>
            </w:pPr>
            <w:r w:rsidRPr="00662B68">
              <w:rPr>
                <w:color w:val="222222"/>
              </w:rPr>
              <w:t>357</w:t>
            </w:r>
          </w:p>
        </w:tc>
        <w:tc>
          <w:tcPr>
            <w:tcW w:w="3150" w:type="dxa"/>
            <w:noWrap/>
            <w:hideMark/>
          </w:tcPr>
          <w:p w14:paraId="5B68D35A" w14:textId="786C43F5" w:rsidR="00F36C83" w:rsidRPr="00662B68" w:rsidRDefault="00F36C83" w:rsidP="00B0073B">
            <w:pPr>
              <w:rPr>
                <w:color w:val="222222"/>
              </w:rPr>
            </w:pPr>
            <w:r w:rsidRPr="00662B68">
              <w:rPr>
                <w:color w:val="222222"/>
              </w:rPr>
              <w:t>San Mauro et al.</w:t>
            </w:r>
            <w:r w:rsidR="00992DE4">
              <w:rPr>
                <w:color w:val="222222"/>
              </w:rPr>
              <w:t>,</w:t>
            </w:r>
            <w:r>
              <w:rPr>
                <w:color w:val="222222"/>
              </w:rPr>
              <w:t xml:space="preserve"> </w:t>
            </w:r>
            <w:r w:rsidRPr="00662B68">
              <w:rPr>
                <w:color w:val="222222"/>
              </w:rPr>
              <w:t>2005</w:t>
            </w:r>
          </w:p>
        </w:tc>
      </w:tr>
      <w:tr w:rsidR="00F36C83" w:rsidRPr="00B0073B" w14:paraId="552A1B51" w14:textId="77777777" w:rsidTr="00662B68">
        <w:trPr>
          <w:trHeight w:val="288"/>
        </w:trPr>
        <w:tc>
          <w:tcPr>
            <w:tcW w:w="6295" w:type="dxa"/>
            <w:gridSpan w:val="2"/>
            <w:noWrap/>
          </w:tcPr>
          <w:p w14:paraId="49000D6D" w14:textId="02CA1D32" w:rsidR="00F36C83" w:rsidRPr="00662B68" w:rsidRDefault="00F36C83" w:rsidP="00B0073B">
            <w:pPr>
              <w:rPr>
                <w:color w:val="222222"/>
              </w:rPr>
            </w:pPr>
            <w:r w:rsidRPr="00662B68">
              <w:rPr>
                <w:b/>
                <w:bCs/>
                <w:color w:val="222222"/>
              </w:rPr>
              <w:t>Mean Age</w:t>
            </w:r>
            <w:r w:rsidRPr="00F36C83">
              <w:rPr>
                <w:color w:val="222222"/>
              </w:rPr>
              <w:t xml:space="preserve"> = 290.4 Ma</w:t>
            </w:r>
          </w:p>
        </w:tc>
      </w:tr>
    </w:tbl>
    <w:p w14:paraId="4CF19C68" w14:textId="0ADB87F3" w:rsidR="00001691" w:rsidRDefault="00F0665F" w:rsidP="00662B68">
      <w:pPr>
        <w:rPr>
          <w:b/>
          <w:bCs/>
          <w:color w:val="222222"/>
        </w:rPr>
      </w:pPr>
      <w:r>
        <w:rPr>
          <w:color w:val="222222"/>
        </w:rPr>
        <w:t>Reported a</w:t>
      </w:r>
      <w:r w:rsidRPr="00392F1F">
        <w:rPr>
          <w:color w:val="222222"/>
        </w:rPr>
        <w:t>ge</w:t>
      </w:r>
      <w:r>
        <w:rPr>
          <w:color w:val="222222"/>
        </w:rPr>
        <w:t xml:space="preserve">s </w:t>
      </w:r>
      <w:r w:rsidRPr="00392F1F">
        <w:rPr>
          <w:color w:val="222222"/>
        </w:rPr>
        <w:t>derived from timetree.org.</w:t>
      </w:r>
    </w:p>
    <w:p w14:paraId="616EC475" w14:textId="384F109F" w:rsidR="00DE2A0F" w:rsidRDefault="00DE2A0F" w:rsidP="00662B68">
      <w:pPr>
        <w:rPr>
          <w:b/>
          <w:bCs/>
          <w:color w:val="222222"/>
        </w:rPr>
      </w:pPr>
    </w:p>
    <w:p w14:paraId="4C3D633A" w14:textId="700B8D38" w:rsidR="00DE2A0F" w:rsidRDefault="00DE2A0F" w:rsidP="00662B68">
      <w:pPr>
        <w:rPr>
          <w:b/>
          <w:bCs/>
          <w:color w:val="222222"/>
        </w:rPr>
      </w:pPr>
    </w:p>
    <w:p w14:paraId="063591F0" w14:textId="6FC69458" w:rsidR="00DE2A0F" w:rsidRDefault="00DE2A0F" w:rsidP="00662B68">
      <w:pPr>
        <w:rPr>
          <w:b/>
          <w:bCs/>
          <w:color w:val="222222"/>
        </w:rPr>
      </w:pPr>
    </w:p>
    <w:p w14:paraId="3035E94F" w14:textId="0D9288B2" w:rsidR="00DE2A0F" w:rsidRDefault="00DE2A0F" w:rsidP="00662B68">
      <w:pPr>
        <w:rPr>
          <w:b/>
          <w:bCs/>
          <w:color w:val="222222"/>
        </w:rPr>
      </w:pPr>
    </w:p>
    <w:p w14:paraId="4992CDD6" w14:textId="0DB28C47" w:rsidR="00DE2A0F" w:rsidRDefault="00DE2A0F" w:rsidP="00662B68">
      <w:pPr>
        <w:rPr>
          <w:b/>
          <w:bCs/>
          <w:color w:val="222222"/>
        </w:rPr>
      </w:pPr>
    </w:p>
    <w:p w14:paraId="15BC4A46" w14:textId="0EC46B31" w:rsidR="00DE2A0F" w:rsidRDefault="00DE2A0F" w:rsidP="00662B68">
      <w:pPr>
        <w:rPr>
          <w:b/>
          <w:bCs/>
          <w:color w:val="222222"/>
        </w:rPr>
      </w:pPr>
    </w:p>
    <w:p w14:paraId="2050F7EA" w14:textId="1AEC173D" w:rsidR="00DE2A0F" w:rsidRDefault="00DE2A0F" w:rsidP="00662B68">
      <w:pPr>
        <w:rPr>
          <w:b/>
          <w:bCs/>
          <w:color w:val="222222"/>
        </w:rPr>
      </w:pPr>
    </w:p>
    <w:p w14:paraId="6E4450FB" w14:textId="7B86FFBA" w:rsidR="00DE2A0F" w:rsidRDefault="00DE2A0F" w:rsidP="00662B68">
      <w:pPr>
        <w:rPr>
          <w:b/>
          <w:bCs/>
          <w:color w:val="222222"/>
        </w:rPr>
      </w:pPr>
    </w:p>
    <w:p w14:paraId="050D7DFB" w14:textId="77777777" w:rsidR="00DE2A0F" w:rsidRPr="00001691" w:rsidRDefault="00DE2A0F" w:rsidP="00662B68">
      <w:pPr>
        <w:rPr>
          <w:b/>
          <w:bCs/>
          <w:color w:val="222222"/>
        </w:rPr>
      </w:pPr>
    </w:p>
    <w:p w14:paraId="2FB896B6" w14:textId="35FA4B09" w:rsidR="00001691" w:rsidRDefault="00001691" w:rsidP="00001691">
      <w:pPr>
        <w:rPr>
          <w:b/>
          <w:bCs/>
          <w:color w:val="222222"/>
        </w:rPr>
      </w:pPr>
      <w:bookmarkStart w:id="22" w:name="_Hlk98857859"/>
      <w:r w:rsidRPr="00001691">
        <w:rPr>
          <w:b/>
          <w:bCs/>
          <w:color w:val="222222"/>
        </w:rPr>
        <w:t xml:space="preserve">Supplementary Table </w:t>
      </w:r>
      <w:r w:rsidR="00EC0DA7">
        <w:rPr>
          <w:b/>
          <w:bCs/>
          <w:color w:val="222222"/>
        </w:rPr>
        <w:t>7</w:t>
      </w:r>
      <w:r w:rsidRPr="00001691">
        <w:rPr>
          <w:b/>
          <w:bCs/>
          <w:color w:val="222222"/>
        </w:rPr>
        <w:t xml:space="preserve">: </w:t>
      </w:r>
      <w:proofErr w:type="spellStart"/>
      <w:r w:rsidRPr="00001691">
        <w:rPr>
          <w:b/>
          <w:bCs/>
          <w:color w:val="222222"/>
        </w:rPr>
        <w:t>Rhinatrematidae-Stegokrotaphia</w:t>
      </w:r>
      <w:proofErr w:type="spellEnd"/>
      <w:r w:rsidRPr="00001691">
        <w:rPr>
          <w:b/>
          <w:bCs/>
          <w:color w:val="222222"/>
        </w:rPr>
        <w:t xml:space="preserve"> divergence data</w:t>
      </w:r>
      <w:r w:rsidRPr="00001691">
        <w:rPr>
          <w:b/>
          <w:bCs/>
          <w:color w:val="222222"/>
        </w:rPr>
        <w:tab/>
      </w:r>
      <w:bookmarkEnd w:id="22"/>
    </w:p>
    <w:p w14:paraId="5E1D5E40" w14:textId="77777777" w:rsidR="006E6B01" w:rsidRDefault="006E6B01" w:rsidP="00001691">
      <w:pPr>
        <w:rPr>
          <w:b/>
          <w:bCs/>
          <w:color w:val="222222"/>
        </w:rPr>
      </w:pPr>
    </w:p>
    <w:tbl>
      <w:tblPr>
        <w:tblStyle w:val="TableGrid"/>
        <w:tblW w:w="0" w:type="auto"/>
        <w:tblLook w:val="04A0" w:firstRow="1" w:lastRow="0" w:firstColumn="1" w:lastColumn="0" w:noHBand="0" w:noVBand="1"/>
      </w:tblPr>
      <w:tblGrid>
        <w:gridCol w:w="3145"/>
        <w:gridCol w:w="3150"/>
      </w:tblGrid>
      <w:tr w:rsidR="00F36C83" w:rsidRPr="00B0073B" w14:paraId="0AFB20E9" w14:textId="77777777" w:rsidTr="00662B68">
        <w:trPr>
          <w:trHeight w:val="288"/>
        </w:trPr>
        <w:tc>
          <w:tcPr>
            <w:tcW w:w="3145" w:type="dxa"/>
            <w:noWrap/>
            <w:hideMark/>
          </w:tcPr>
          <w:p w14:paraId="1820D3FD" w14:textId="77777777" w:rsidR="00F36C83" w:rsidRPr="00662B68" w:rsidRDefault="00F36C83" w:rsidP="00B0073B">
            <w:pPr>
              <w:rPr>
                <w:color w:val="222222"/>
              </w:rPr>
            </w:pPr>
            <w:r w:rsidRPr="00662B68">
              <w:rPr>
                <w:color w:val="222222"/>
              </w:rPr>
              <w:t>87.9</w:t>
            </w:r>
          </w:p>
        </w:tc>
        <w:tc>
          <w:tcPr>
            <w:tcW w:w="3150" w:type="dxa"/>
            <w:noWrap/>
            <w:hideMark/>
          </w:tcPr>
          <w:p w14:paraId="5F82DC9A" w14:textId="2C2FC635" w:rsidR="00F36C83" w:rsidRPr="00662B68" w:rsidRDefault="00F36C83" w:rsidP="00B0073B">
            <w:pPr>
              <w:rPr>
                <w:color w:val="222222"/>
              </w:rPr>
            </w:pPr>
            <w:r w:rsidRPr="00662B68">
              <w:rPr>
                <w:color w:val="222222"/>
              </w:rPr>
              <w:t>Alfaro et al.</w:t>
            </w:r>
            <w:r w:rsidR="00992DE4">
              <w:rPr>
                <w:color w:val="222222"/>
              </w:rPr>
              <w:t>,</w:t>
            </w:r>
            <w:r>
              <w:rPr>
                <w:color w:val="222222"/>
              </w:rPr>
              <w:t xml:space="preserve"> </w:t>
            </w:r>
            <w:r w:rsidRPr="00662B68">
              <w:rPr>
                <w:color w:val="222222"/>
              </w:rPr>
              <w:t>2009</w:t>
            </w:r>
          </w:p>
        </w:tc>
      </w:tr>
      <w:tr w:rsidR="00F36C83" w:rsidRPr="00B0073B" w14:paraId="0FF41034" w14:textId="77777777" w:rsidTr="00662B68">
        <w:trPr>
          <w:trHeight w:val="288"/>
        </w:trPr>
        <w:tc>
          <w:tcPr>
            <w:tcW w:w="3145" w:type="dxa"/>
            <w:noWrap/>
            <w:hideMark/>
          </w:tcPr>
          <w:p w14:paraId="5F2A3EA5" w14:textId="77777777" w:rsidR="00F36C83" w:rsidRPr="00662B68" w:rsidRDefault="00F36C83" w:rsidP="00B0073B">
            <w:pPr>
              <w:rPr>
                <w:color w:val="222222"/>
              </w:rPr>
            </w:pPr>
            <w:r w:rsidRPr="00662B68">
              <w:rPr>
                <w:color w:val="222222"/>
              </w:rPr>
              <w:t>97.9</w:t>
            </w:r>
          </w:p>
        </w:tc>
        <w:tc>
          <w:tcPr>
            <w:tcW w:w="3150" w:type="dxa"/>
            <w:noWrap/>
            <w:hideMark/>
          </w:tcPr>
          <w:p w14:paraId="712BDB9F" w14:textId="3E8B4CE3" w:rsidR="00F36C83" w:rsidRPr="00662B68" w:rsidRDefault="00F36C83" w:rsidP="00B0073B">
            <w:pPr>
              <w:rPr>
                <w:color w:val="222222"/>
              </w:rPr>
            </w:pPr>
            <w:r w:rsidRPr="00662B68">
              <w:rPr>
                <w:color w:val="222222"/>
              </w:rPr>
              <w:t>Pyron</w:t>
            </w:r>
            <w:r w:rsidR="00992DE4">
              <w:rPr>
                <w:color w:val="222222"/>
              </w:rPr>
              <w:t>,</w:t>
            </w:r>
            <w:r>
              <w:rPr>
                <w:color w:val="222222"/>
              </w:rPr>
              <w:t xml:space="preserve"> </w:t>
            </w:r>
            <w:r w:rsidRPr="00662B68">
              <w:rPr>
                <w:color w:val="222222"/>
              </w:rPr>
              <w:t>2011</w:t>
            </w:r>
          </w:p>
        </w:tc>
      </w:tr>
      <w:tr w:rsidR="00F36C83" w:rsidRPr="00B0073B" w14:paraId="4B19844E" w14:textId="77777777" w:rsidTr="00662B68">
        <w:trPr>
          <w:trHeight w:val="288"/>
        </w:trPr>
        <w:tc>
          <w:tcPr>
            <w:tcW w:w="3145" w:type="dxa"/>
            <w:noWrap/>
            <w:hideMark/>
          </w:tcPr>
          <w:p w14:paraId="211E4A19" w14:textId="77777777" w:rsidR="00F36C83" w:rsidRPr="00662B68" w:rsidRDefault="00F36C83" w:rsidP="00B0073B">
            <w:pPr>
              <w:rPr>
                <w:color w:val="222222"/>
              </w:rPr>
            </w:pPr>
            <w:r w:rsidRPr="00662B68">
              <w:rPr>
                <w:color w:val="222222"/>
              </w:rPr>
              <w:t>108.7</w:t>
            </w:r>
          </w:p>
        </w:tc>
        <w:tc>
          <w:tcPr>
            <w:tcW w:w="3150" w:type="dxa"/>
            <w:noWrap/>
            <w:hideMark/>
          </w:tcPr>
          <w:p w14:paraId="6C7A57E0" w14:textId="01117DD4" w:rsidR="00F36C83" w:rsidRPr="00662B68" w:rsidRDefault="00F36C83" w:rsidP="00B0073B">
            <w:pPr>
              <w:rPr>
                <w:color w:val="222222"/>
              </w:rPr>
            </w:pPr>
            <w:r w:rsidRPr="00662B68">
              <w:rPr>
                <w:color w:val="222222"/>
              </w:rPr>
              <w:t>Pyron</w:t>
            </w:r>
            <w:r w:rsidR="00992DE4">
              <w:rPr>
                <w:color w:val="222222"/>
              </w:rPr>
              <w:t>,</w:t>
            </w:r>
            <w:r>
              <w:rPr>
                <w:color w:val="222222"/>
              </w:rPr>
              <w:t xml:space="preserve"> </w:t>
            </w:r>
            <w:r w:rsidRPr="00662B68">
              <w:rPr>
                <w:color w:val="222222"/>
              </w:rPr>
              <w:t>2014</w:t>
            </w:r>
          </w:p>
        </w:tc>
      </w:tr>
      <w:tr w:rsidR="00F36C83" w:rsidRPr="00B0073B" w14:paraId="2DF252EE" w14:textId="77777777" w:rsidTr="00662B68">
        <w:trPr>
          <w:trHeight w:val="288"/>
        </w:trPr>
        <w:tc>
          <w:tcPr>
            <w:tcW w:w="3145" w:type="dxa"/>
            <w:noWrap/>
            <w:hideMark/>
          </w:tcPr>
          <w:p w14:paraId="2CF59062" w14:textId="77777777" w:rsidR="00F36C83" w:rsidRPr="00662B68" w:rsidRDefault="00F36C83" w:rsidP="00B0073B">
            <w:pPr>
              <w:rPr>
                <w:color w:val="222222"/>
              </w:rPr>
            </w:pPr>
            <w:r w:rsidRPr="00662B68">
              <w:rPr>
                <w:color w:val="222222"/>
              </w:rPr>
              <w:t>115</w:t>
            </w:r>
          </w:p>
        </w:tc>
        <w:tc>
          <w:tcPr>
            <w:tcW w:w="3150" w:type="dxa"/>
            <w:noWrap/>
            <w:hideMark/>
          </w:tcPr>
          <w:p w14:paraId="3E12FBC0" w14:textId="41081BF5" w:rsidR="00F36C83" w:rsidRPr="00662B68" w:rsidRDefault="00F36C83" w:rsidP="00B0073B">
            <w:pPr>
              <w:rPr>
                <w:color w:val="222222"/>
              </w:rPr>
            </w:pPr>
            <w:proofErr w:type="spellStart"/>
            <w:r w:rsidRPr="00662B68">
              <w:rPr>
                <w:color w:val="222222"/>
              </w:rPr>
              <w:t>Hugall</w:t>
            </w:r>
            <w:proofErr w:type="spellEnd"/>
            <w:r w:rsidRPr="00662B68">
              <w:rPr>
                <w:color w:val="222222"/>
              </w:rPr>
              <w:t xml:space="preserve"> et al.</w:t>
            </w:r>
            <w:r w:rsidR="00992DE4">
              <w:rPr>
                <w:color w:val="222222"/>
              </w:rPr>
              <w:t>,</w:t>
            </w:r>
            <w:r>
              <w:rPr>
                <w:color w:val="222222"/>
              </w:rPr>
              <w:t xml:space="preserve"> </w:t>
            </w:r>
            <w:r w:rsidRPr="00662B68">
              <w:rPr>
                <w:color w:val="222222"/>
              </w:rPr>
              <w:t>2007</w:t>
            </w:r>
          </w:p>
        </w:tc>
      </w:tr>
      <w:tr w:rsidR="00F36C83" w:rsidRPr="00B0073B" w14:paraId="7771C9DB" w14:textId="77777777" w:rsidTr="00662B68">
        <w:trPr>
          <w:trHeight w:val="288"/>
        </w:trPr>
        <w:tc>
          <w:tcPr>
            <w:tcW w:w="3145" w:type="dxa"/>
            <w:noWrap/>
            <w:hideMark/>
          </w:tcPr>
          <w:p w14:paraId="44645040" w14:textId="77777777" w:rsidR="00F36C83" w:rsidRPr="00662B68" w:rsidRDefault="00F36C83" w:rsidP="00B0073B">
            <w:pPr>
              <w:rPr>
                <w:color w:val="222222"/>
              </w:rPr>
            </w:pPr>
            <w:r w:rsidRPr="00662B68">
              <w:rPr>
                <w:color w:val="222222"/>
              </w:rPr>
              <w:t>125.1</w:t>
            </w:r>
          </w:p>
        </w:tc>
        <w:tc>
          <w:tcPr>
            <w:tcW w:w="3150" w:type="dxa"/>
            <w:noWrap/>
            <w:hideMark/>
          </w:tcPr>
          <w:p w14:paraId="04861061" w14:textId="0113AA00" w:rsidR="00F36C83" w:rsidRPr="00662B68" w:rsidRDefault="00F36C83" w:rsidP="00B0073B">
            <w:pPr>
              <w:rPr>
                <w:color w:val="222222"/>
              </w:rPr>
            </w:pPr>
            <w:r w:rsidRPr="00662B68">
              <w:rPr>
                <w:color w:val="222222"/>
              </w:rPr>
              <w:t>Pyron</w:t>
            </w:r>
            <w:r w:rsidR="00992DE4">
              <w:rPr>
                <w:color w:val="222222"/>
              </w:rPr>
              <w:t>,</w:t>
            </w:r>
            <w:r>
              <w:rPr>
                <w:color w:val="222222"/>
              </w:rPr>
              <w:t xml:space="preserve"> </w:t>
            </w:r>
            <w:r w:rsidRPr="00662B68">
              <w:rPr>
                <w:color w:val="222222"/>
              </w:rPr>
              <w:t>2010</w:t>
            </w:r>
          </w:p>
        </w:tc>
      </w:tr>
      <w:tr w:rsidR="00F36C83" w:rsidRPr="00B0073B" w14:paraId="2390A51A" w14:textId="77777777" w:rsidTr="00662B68">
        <w:trPr>
          <w:trHeight w:val="288"/>
        </w:trPr>
        <w:tc>
          <w:tcPr>
            <w:tcW w:w="3145" w:type="dxa"/>
            <w:noWrap/>
            <w:hideMark/>
          </w:tcPr>
          <w:p w14:paraId="6359C1C7" w14:textId="77777777" w:rsidR="00F36C83" w:rsidRPr="00662B68" w:rsidRDefault="00F36C83" w:rsidP="00B0073B">
            <w:pPr>
              <w:rPr>
                <w:color w:val="222222"/>
              </w:rPr>
            </w:pPr>
            <w:r w:rsidRPr="00662B68">
              <w:rPr>
                <w:color w:val="222222"/>
              </w:rPr>
              <w:t>188.4</w:t>
            </w:r>
          </w:p>
        </w:tc>
        <w:tc>
          <w:tcPr>
            <w:tcW w:w="3150" w:type="dxa"/>
            <w:noWrap/>
            <w:hideMark/>
          </w:tcPr>
          <w:p w14:paraId="703E7686" w14:textId="66BDA82F" w:rsidR="00F36C83" w:rsidRPr="00662B68" w:rsidRDefault="00F36C83" w:rsidP="00B0073B">
            <w:pPr>
              <w:rPr>
                <w:color w:val="222222"/>
              </w:rPr>
            </w:pPr>
            <w:r w:rsidRPr="00662B68">
              <w:rPr>
                <w:color w:val="222222"/>
              </w:rPr>
              <w:t>Kamei et al.</w:t>
            </w:r>
            <w:r w:rsidR="00992DE4">
              <w:rPr>
                <w:color w:val="222222"/>
              </w:rPr>
              <w:t>,</w:t>
            </w:r>
            <w:r>
              <w:rPr>
                <w:color w:val="222222"/>
              </w:rPr>
              <w:t xml:space="preserve"> </w:t>
            </w:r>
            <w:r w:rsidRPr="00662B68">
              <w:rPr>
                <w:color w:val="222222"/>
              </w:rPr>
              <w:t>2012</w:t>
            </w:r>
          </w:p>
        </w:tc>
      </w:tr>
      <w:tr w:rsidR="00F36C83" w:rsidRPr="00B0073B" w14:paraId="06B9DEE9" w14:textId="77777777" w:rsidTr="00662B68">
        <w:trPr>
          <w:trHeight w:val="288"/>
        </w:trPr>
        <w:tc>
          <w:tcPr>
            <w:tcW w:w="3145" w:type="dxa"/>
            <w:noWrap/>
            <w:hideMark/>
          </w:tcPr>
          <w:p w14:paraId="7F1A88F2" w14:textId="77777777" w:rsidR="00F36C83" w:rsidRPr="00662B68" w:rsidRDefault="00F36C83" w:rsidP="00B0073B">
            <w:pPr>
              <w:rPr>
                <w:color w:val="222222"/>
              </w:rPr>
            </w:pPr>
            <w:r w:rsidRPr="00662B68">
              <w:rPr>
                <w:color w:val="222222"/>
              </w:rPr>
              <w:t>212.7</w:t>
            </w:r>
          </w:p>
        </w:tc>
        <w:tc>
          <w:tcPr>
            <w:tcW w:w="3150" w:type="dxa"/>
            <w:noWrap/>
            <w:hideMark/>
          </w:tcPr>
          <w:p w14:paraId="20191A72" w14:textId="78C76F79" w:rsidR="00F36C83" w:rsidRPr="00662B68" w:rsidRDefault="00F36C83" w:rsidP="00B0073B">
            <w:pPr>
              <w:rPr>
                <w:color w:val="222222"/>
              </w:rPr>
            </w:pPr>
            <w:r w:rsidRPr="00662B68">
              <w:rPr>
                <w:color w:val="222222"/>
              </w:rPr>
              <w:t>San Mauro</w:t>
            </w:r>
            <w:r w:rsidR="00992DE4">
              <w:rPr>
                <w:color w:val="222222"/>
              </w:rPr>
              <w:t>,</w:t>
            </w:r>
            <w:r>
              <w:rPr>
                <w:color w:val="222222"/>
              </w:rPr>
              <w:t xml:space="preserve"> </w:t>
            </w:r>
            <w:r w:rsidRPr="00662B68">
              <w:rPr>
                <w:color w:val="222222"/>
              </w:rPr>
              <w:t>2010</w:t>
            </w:r>
          </w:p>
        </w:tc>
      </w:tr>
      <w:tr w:rsidR="00F36C83" w:rsidRPr="00B0073B" w14:paraId="196E77A0" w14:textId="77777777" w:rsidTr="00662B68">
        <w:trPr>
          <w:trHeight w:val="288"/>
        </w:trPr>
        <w:tc>
          <w:tcPr>
            <w:tcW w:w="3145" w:type="dxa"/>
            <w:noWrap/>
            <w:hideMark/>
          </w:tcPr>
          <w:p w14:paraId="23A955CE" w14:textId="77777777" w:rsidR="00F36C83" w:rsidRPr="00662B68" w:rsidRDefault="00F36C83" w:rsidP="00B0073B">
            <w:pPr>
              <w:rPr>
                <w:color w:val="222222"/>
              </w:rPr>
            </w:pPr>
            <w:r w:rsidRPr="00662B68">
              <w:rPr>
                <w:color w:val="222222"/>
              </w:rPr>
              <w:t>214</w:t>
            </w:r>
          </w:p>
        </w:tc>
        <w:tc>
          <w:tcPr>
            <w:tcW w:w="3150" w:type="dxa"/>
            <w:noWrap/>
            <w:hideMark/>
          </w:tcPr>
          <w:p w14:paraId="699AB80E" w14:textId="19E9650B" w:rsidR="00F36C83" w:rsidRPr="00662B68" w:rsidRDefault="00F36C83" w:rsidP="00B0073B">
            <w:pPr>
              <w:rPr>
                <w:color w:val="222222"/>
              </w:rPr>
            </w:pPr>
            <w:r w:rsidRPr="00662B68">
              <w:rPr>
                <w:color w:val="222222"/>
              </w:rPr>
              <w:t>San Mauro et al.</w:t>
            </w:r>
            <w:r w:rsidR="00992DE4">
              <w:rPr>
                <w:color w:val="222222"/>
              </w:rPr>
              <w:t>,</w:t>
            </w:r>
            <w:r>
              <w:rPr>
                <w:color w:val="222222"/>
              </w:rPr>
              <w:t xml:space="preserve"> </w:t>
            </w:r>
            <w:r w:rsidRPr="00662B68">
              <w:rPr>
                <w:color w:val="222222"/>
              </w:rPr>
              <w:t>2005</w:t>
            </w:r>
          </w:p>
        </w:tc>
      </w:tr>
      <w:tr w:rsidR="00F36C83" w:rsidRPr="00B0073B" w14:paraId="075A8586" w14:textId="77777777" w:rsidTr="00662B68">
        <w:trPr>
          <w:trHeight w:val="288"/>
        </w:trPr>
        <w:tc>
          <w:tcPr>
            <w:tcW w:w="3145" w:type="dxa"/>
            <w:noWrap/>
            <w:hideMark/>
          </w:tcPr>
          <w:p w14:paraId="3DF003E0" w14:textId="77777777" w:rsidR="00F36C83" w:rsidRPr="00662B68" w:rsidRDefault="00F36C83" w:rsidP="00B0073B">
            <w:pPr>
              <w:rPr>
                <w:color w:val="222222"/>
              </w:rPr>
            </w:pPr>
            <w:r w:rsidRPr="00662B68">
              <w:rPr>
                <w:color w:val="222222"/>
              </w:rPr>
              <w:t>217.8</w:t>
            </w:r>
          </w:p>
        </w:tc>
        <w:tc>
          <w:tcPr>
            <w:tcW w:w="3150" w:type="dxa"/>
            <w:noWrap/>
            <w:hideMark/>
          </w:tcPr>
          <w:p w14:paraId="1905206B" w14:textId="1C817DA5" w:rsidR="00F36C83" w:rsidRPr="00662B68" w:rsidRDefault="00F36C83" w:rsidP="00B0073B">
            <w:pPr>
              <w:rPr>
                <w:color w:val="222222"/>
              </w:rPr>
            </w:pPr>
            <w:proofErr w:type="spellStart"/>
            <w:r w:rsidRPr="00662B68">
              <w:rPr>
                <w:color w:val="222222"/>
              </w:rPr>
              <w:t>Roelants</w:t>
            </w:r>
            <w:proofErr w:type="spellEnd"/>
            <w:r w:rsidRPr="00662B68">
              <w:rPr>
                <w:color w:val="222222"/>
              </w:rPr>
              <w:t xml:space="preserve"> et al.</w:t>
            </w:r>
            <w:r w:rsidR="00992DE4">
              <w:rPr>
                <w:color w:val="222222"/>
              </w:rPr>
              <w:t>,</w:t>
            </w:r>
            <w:r>
              <w:rPr>
                <w:color w:val="222222"/>
              </w:rPr>
              <w:t xml:space="preserve"> </w:t>
            </w:r>
            <w:r w:rsidRPr="00662B68">
              <w:rPr>
                <w:color w:val="222222"/>
              </w:rPr>
              <w:t>2007</w:t>
            </w:r>
          </w:p>
        </w:tc>
      </w:tr>
      <w:tr w:rsidR="00F36C83" w:rsidRPr="00B0073B" w14:paraId="75CC64E7" w14:textId="77777777" w:rsidTr="00662B68">
        <w:trPr>
          <w:trHeight w:val="288"/>
        </w:trPr>
        <w:tc>
          <w:tcPr>
            <w:tcW w:w="3145" w:type="dxa"/>
            <w:noWrap/>
            <w:hideMark/>
          </w:tcPr>
          <w:p w14:paraId="36C117A8" w14:textId="77777777" w:rsidR="00F36C83" w:rsidRPr="00662B68" w:rsidRDefault="00F36C83" w:rsidP="00B0073B">
            <w:pPr>
              <w:rPr>
                <w:color w:val="222222"/>
              </w:rPr>
            </w:pPr>
            <w:r w:rsidRPr="00662B68">
              <w:rPr>
                <w:color w:val="222222"/>
              </w:rPr>
              <w:t>224.7</w:t>
            </w:r>
          </w:p>
        </w:tc>
        <w:tc>
          <w:tcPr>
            <w:tcW w:w="3150" w:type="dxa"/>
            <w:noWrap/>
            <w:hideMark/>
          </w:tcPr>
          <w:p w14:paraId="1D9BB554" w14:textId="6FC76AA5" w:rsidR="00F36C83" w:rsidRPr="00662B68" w:rsidRDefault="00F36C83" w:rsidP="00B0073B">
            <w:pPr>
              <w:rPr>
                <w:color w:val="222222"/>
              </w:rPr>
            </w:pPr>
            <w:r w:rsidRPr="00662B68">
              <w:rPr>
                <w:color w:val="222222"/>
              </w:rPr>
              <w:t>Hedges et al.</w:t>
            </w:r>
            <w:r w:rsidR="00992DE4">
              <w:rPr>
                <w:color w:val="222222"/>
              </w:rPr>
              <w:t>,</w:t>
            </w:r>
            <w:r>
              <w:rPr>
                <w:color w:val="222222"/>
              </w:rPr>
              <w:t xml:space="preserve"> </w:t>
            </w:r>
            <w:r w:rsidRPr="00662B68">
              <w:rPr>
                <w:color w:val="222222"/>
              </w:rPr>
              <w:t>2015</w:t>
            </w:r>
          </w:p>
        </w:tc>
      </w:tr>
      <w:tr w:rsidR="00F36C83" w:rsidRPr="00B0073B" w14:paraId="709CF0F7" w14:textId="77777777" w:rsidTr="00662B68">
        <w:trPr>
          <w:trHeight w:val="288"/>
        </w:trPr>
        <w:tc>
          <w:tcPr>
            <w:tcW w:w="3145" w:type="dxa"/>
            <w:noWrap/>
            <w:hideMark/>
          </w:tcPr>
          <w:p w14:paraId="3D47FA37" w14:textId="77777777" w:rsidR="00F36C83" w:rsidRPr="00662B68" w:rsidRDefault="00F36C83" w:rsidP="00B0073B">
            <w:pPr>
              <w:rPr>
                <w:color w:val="222222"/>
              </w:rPr>
            </w:pPr>
            <w:r w:rsidRPr="00662B68">
              <w:rPr>
                <w:color w:val="222222"/>
              </w:rPr>
              <w:t>226.4</w:t>
            </w:r>
          </w:p>
        </w:tc>
        <w:tc>
          <w:tcPr>
            <w:tcW w:w="3150" w:type="dxa"/>
            <w:noWrap/>
            <w:hideMark/>
          </w:tcPr>
          <w:p w14:paraId="13C26E00" w14:textId="3127C995" w:rsidR="00F36C83" w:rsidRPr="00662B68" w:rsidRDefault="00F36C83" w:rsidP="00B0073B">
            <w:pPr>
              <w:rPr>
                <w:color w:val="222222"/>
              </w:rPr>
            </w:pPr>
            <w:r w:rsidRPr="00662B68">
              <w:rPr>
                <w:color w:val="222222"/>
              </w:rPr>
              <w:t xml:space="preserve">Hedges </w:t>
            </w:r>
            <w:r w:rsidR="005B6266">
              <w:rPr>
                <w:color w:val="222222"/>
              </w:rPr>
              <w:t>&amp; Kumar</w:t>
            </w:r>
            <w:r w:rsidR="00992DE4">
              <w:rPr>
                <w:color w:val="222222"/>
              </w:rPr>
              <w:t>,</w:t>
            </w:r>
            <w:r>
              <w:rPr>
                <w:color w:val="222222"/>
              </w:rPr>
              <w:t xml:space="preserve"> </w:t>
            </w:r>
            <w:r w:rsidRPr="00662B68">
              <w:rPr>
                <w:color w:val="222222"/>
              </w:rPr>
              <w:t>2009</w:t>
            </w:r>
          </w:p>
        </w:tc>
      </w:tr>
      <w:tr w:rsidR="00F36C83" w:rsidRPr="00B0073B" w14:paraId="483384D7" w14:textId="77777777" w:rsidTr="00662B68">
        <w:trPr>
          <w:trHeight w:val="288"/>
        </w:trPr>
        <w:tc>
          <w:tcPr>
            <w:tcW w:w="3145" w:type="dxa"/>
            <w:noWrap/>
            <w:hideMark/>
          </w:tcPr>
          <w:p w14:paraId="4FD530DC" w14:textId="77777777" w:rsidR="00F36C83" w:rsidRPr="00662B68" w:rsidRDefault="00F36C83" w:rsidP="00B0073B">
            <w:pPr>
              <w:rPr>
                <w:color w:val="222222"/>
              </w:rPr>
            </w:pPr>
            <w:r w:rsidRPr="00662B68">
              <w:rPr>
                <w:color w:val="222222"/>
              </w:rPr>
              <w:t>228</w:t>
            </w:r>
          </w:p>
        </w:tc>
        <w:tc>
          <w:tcPr>
            <w:tcW w:w="3150" w:type="dxa"/>
            <w:noWrap/>
            <w:hideMark/>
          </w:tcPr>
          <w:p w14:paraId="4D3AF2BC" w14:textId="26FC6413" w:rsidR="00F36C83" w:rsidRPr="00662B68" w:rsidRDefault="00F36C83" w:rsidP="00B0073B">
            <w:pPr>
              <w:rPr>
                <w:color w:val="222222"/>
              </w:rPr>
            </w:pPr>
            <w:r w:rsidRPr="00662B68">
              <w:rPr>
                <w:color w:val="222222"/>
              </w:rPr>
              <w:t xml:space="preserve">Zhang </w:t>
            </w:r>
            <w:r w:rsidR="00F038AE">
              <w:rPr>
                <w:color w:val="222222"/>
              </w:rPr>
              <w:t>&amp; Wake</w:t>
            </w:r>
            <w:r w:rsidR="00992DE4">
              <w:rPr>
                <w:color w:val="222222"/>
              </w:rPr>
              <w:t>,</w:t>
            </w:r>
            <w:r>
              <w:rPr>
                <w:color w:val="222222"/>
              </w:rPr>
              <w:t xml:space="preserve"> </w:t>
            </w:r>
            <w:r w:rsidRPr="00662B68">
              <w:rPr>
                <w:color w:val="222222"/>
              </w:rPr>
              <w:t>2009</w:t>
            </w:r>
            <w:r w:rsidR="00F038AE">
              <w:rPr>
                <w:color w:val="222222"/>
              </w:rPr>
              <w:t>b</w:t>
            </w:r>
          </w:p>
        </w:tc>
      </w:tr>
      <w:tr w:rsidR="00F36C83" w:rsidRPr="00B0073B" w14:paraId="514BDE1A" w14:textId="77777777" w:rsidTr="00662B68">
        <w:trPr>
          <w:trHeight w:val="288"/>
        </w:trPr>
        <w:tc>
          <w:tcPr>
            <w:tcW w:w="3145" w:type="dxa"/>
            <w:noWrap/>
            <w:hideMark/>
          </w:tcPr>
          <w:p w14:paraId="7B7C0A10" w14:textId="77777777" w:rsidR="00F36C83" w:rsidRPr="00662B68" w:rsidRDefault="00F36C83" w:rsidP="00B0073B">
            <w:pPr>
              <w:rPr>
                <w:color w:val="222222"/>
              </w:rPr>
            </w:pPr>
            <w:r w:rsidRPr="00662B68">
              <w:rPr>
                <w:color w:val="222222"/>
              </w:rPr>
              <w:t>239.1</w:t>
            </w:r>
          </w:p>
        </w:tc>
        <w:tc>
          <w:tcPr>
            <w:tcW w:w="3150" w:type="dxa"/>
            <w:noWrap/>
            <w:hideMark/>
          </w:tcPr>
          <w:p w14:paraId="181C845A" w14:textId="3B6B9ACC" w:rsidR="00F36C83" w:rsidRPr="00662B68" w:rsidRDefault="00F36C83">
            <w:pPr>
              <w:rPr>
                <w:color w:val="222222"/>
              </w:rPr>
            </w:pPr>
            <w:r w:rsidRPr="00662B68">
              <w:rPr>
                <w:color w:val="222222"/>
              </w:rPr>
              <w:t>San Mauro et al.</w:t>
            </w:r>
            <w:r w:rsidR="00992DE4">
              <w:rPr>
                <w:color w:val="222222"/>
              </w:rPr>
              <w:t>,</w:t>
            </w:r>
            <w:r>
              <w:rPr>
                <w:color w:val="222222"/>
              </w:rPr>
              <w:t xml:space="preserve"> </w:t>
            </w:r>
            <w:r w:rsidRPr="00662B68">
              <w:rPr>
                <w:color w:val="222222"/>
              </w:rPr>
              <w:t>2014</w:t>
            </w:r>
          </w:p>
        </w:tc>
      </w:tr>
      <w:tr w:rsidR="00F36C83" w:rsidRPr="00B0073B" w14:paraId="72338A40" w14:textId="77777777" w:rsidTr="00662B68">
        <w:trPr>
          <w:trHeight w:val="288"/>
        </w:trPr>
        <w:tc>
          <w:tcPr>
            <w:tcW w:w="3145" w:type="dxa"/>
            <w:noWrap/>
            <w:hideMark/>
          </w:tcPr>
          <w:p w14:paraId="66945CBE" w14:textId="77777777" w:rsidR="00F36C83" w:rsidRPr="00662B68" w:rsidRDefault="00F36C83" w:rsidP="00B0073B">
            <w:pPr>
              <w:rPr>
                <w:color w:val="222222"/>
              </w:rPr>
            </w:pPr>
            <w:r w:rsidRPr="00662B68">
              <w:rPr>
                <w:color w:val="222222"/>
              </w:rPr>
              <w:t>242</w:t>
            </w:r>
          </w:p>
        </w:tc>
        <w:tc>
          <w:tcPr>
            <w:tcW w:w="3150" w:type="dxa"/>
            <w:noWrap/>
            <w:hideMark/>
          </w:tcPr>
          <w:p w14:paraId="356386E9" w14:textId="3AE391F2" w:rsidR="00F36C83" w:rsidRPr="00662B68" w:rsidRDefault="00F36C83" w:rsidP="00B0073B">
            <w:pPr>
              <w:rPr>
                <w:color w:val="222222"/>
              </w:rPr>
            </w:pPr>
            <w:r w:rsidRPr="00662B68">
              <w:rPr>
                <w:color w:val="222222"/>
              </w:rPr>
              <w:t xml:space="preserve">Zhang </w:t>
            </w:r>
            <w:r w:rsidR="007F3D7F">
              <w:rPr>
                <w:color w:val="222222"/>
              </w:rPr>
              <w:t>&amp; Wake,</w:t>
            </w:r>
            <w:r>
              <w:rPr>
                <w:color w:val="222222"/>
              </w:rPr>
              <w:t xml:space="preserve"> </w:t>
            </w:r>
            <w:r w:rsidRPr="00662B68">
              <w:rPr>
                <w:color w:val="222222"/>
              </w:rPr>
              <w:t>2009</w:t>
            </w:r>
            <w:r w:rsidR="006F45A4">
              <w:rPr>
                <w:color w:val="222222"/>
              </w:rPr>
              <w:t>a</w:t>
            </w:r>
          </w:p>
        </w:tc>
      </w:tr>
      <w:tr w:rsidR="00F36C83" w:rsidRPr="00B0073B" w14:paraId="1B6246E3" w14:textId="77777777" w:rsidTr="00662B68">
        <w:trPr>
          <w:trHeight w:val="288"/>
        </w:trPr>
        <w:tc>
          <w:tcPr>
            <w:tcW w:w="3145" w:type="dxa"/>
            <w:noWrap/>
            <w:hideMark/>
          </w:tcPr>
          <w:p w14:paraId="3E4BAAC4" w14:textId="77777777" w:rsidR="00F36C83" w:rsidRPr="00662B68" w:rsidRDefault="00F36C83" w:rsidP="00B0073B">
            <w:pPr>
              <w:rPr>
                <w:color w:val="222222"/>
              </w:rPr>
            </w:pPr>
            <w:r w:rsidRPr="00662B68">
              <w:rPr>
                <w:color w:val="222222"/>
              </w:rPr>
              <w:t>246.5</w:t>
            </w:r>
          </w:p>
        </w:tc>
        <w:tc>
          <w:tcPr>
            <w:tcW w:w="3150" w:type="dxa"/>
            <w:noWrap/>
            <w:hideMark/>
          </w:tcPr>
          <w:p w14:paraId="68FF7D29" w14:textId="4762B819" w:rsidR="00F36C83" w:rsidRPr="00662B68" w:rsidRDefault="00F36C83" w:rsidP="00B0073B">
            <w:pPr>
              <w:rPr>
                <w:color w:val="222222"/>
              </w:rPr>
            </w:pPr>
            <w:r w:rsidRPr="00662B68">
              <w:rPr>
                <w:color w:val="222222"/>
              </w:rPr>
              <w:t>Santos et al.</w:t>
            </w:r>
            <w:r w:rsidR="00992DE4">
              <w:rPr>
                <w:color w:val="222222"/>
              </w:rPr>
              <w:t>,</w:t>
            </w:r>
            <w:r>
              <w:rPr>
                <w:color w:val="222222"/>
              </w:rPr>
              <w:t xml:space="preserve"> </w:t>
            </w:r>
            <w:r w:rsidRPr="00662B68">
              <w:rPr>
                <w:color w:val="222222"/>
              </w:rPr>
              <w:t>2009</w:t>
            </w:r>
          </w:p>
        </w:tc>
      </w:tr>
      <w:tr w:rsidR="00F36C83" w:rsidRPr="00B0073B" w14:paraId="4C8ADF88" w14:textId="77777777" w:rsidTr="00662B68">
        <w:trPr>
          <w:trHeight w:val="288"/>
        </w:trPr>
        <w:tc>
          <w:tcPr>
            <w:tcW w:w="3145" w:type="dxa"/>
            <w:noWrap/>
            <w:hideMark/>
          </w:tcPr>
          <w:p w14:paraId="2446299D" w14:textId="77777777" w:rsidR="00F36C83" w:rsidRPr="00662B68" w:rsidRDefault="00F36C83" w:rsidP="00B0073B">
            <w:pPr>
              <w:rPr>
                <w:color w:val="222222"/>
              </w:rPr>
            </w:pPr>
            <w:r w:rsidRPr="00662B68">
              <w:rPr>
                <w:color w:val="222222"/>
              </w:rPr>
              <w:t>267</w:t>
            </w:r>
          </w:p>
        </w:tc>
        <w:tc>
          <w:tcPr>
            <w:tcW w:w="3150" w:type="dxa"/>
            <w:noWrap/>
            <w:hideMark/>
          </w:tcPr>
          <w:p w14:paraId="0C6E9B3F" w14:textId="5A516DE0" w:rsidR="00F36C83" w:rsidRPr="00662B68" w:rsidRDefault="00F36C83">
            <w:pPr>
              <w:rPr>
                <w:color w:val="222222"/>
              </w:rPr>
            </w:pPr>
            <w:proofErr w:type="spellStart"/>
            <w:r w:rsidRPr="00662B68">
              <w:rPr>
                <w:color w:val="222222"/>
              </w:rPr>
              <w:t>Igawa</w:t>
            </w:r>
            <w:proofErr w:type="spellEnd"/>
            <w:r w:rsidRPr="00662B68">
              <w:rPr>
                <w:color w:val="222222"/>
              </w:rPr>
              <w:t xml:space="preserve"> et al.</w:t>
            </w:r>
            <w:r w:rsidR="00992DE4">
              <w:rPr>
                <w:color w:val="222222"/>
              </w:rPr>
              <w:t>,</w:t>
            </w:r>
            <w:r>
              <w:rPr>
                <w:color w:val="222222"/>
              </w:rPr>
              <w:t xml:space="preserve"> </w:t>
            </w:r>
            <w:r w:rsidRPr="00662B68">
              <w:rPr>
                <w:color w:val="222222"/>
              </w:rPr>
              <w:t xml:space="preserve">2008 </w:t>
            </w:r>
          </w:p>
        </w:tc>
      </w:tr>
      <w:tr w:rsidR="00F36C83" w:rsidRPr="00B0073B" w14:paraId="4A0D762E" w14:textId="77777777" w:rsidTr="00662B68">
        <w:trPr>
          <w:trHeight w:val="288"/>
        </w:trPr>
        <w:tc>
          <w:tcPr>
            <w:tcW w:w="6295" w:type="dxa"/>
            <w:gridSpan w:val="2"/>
            <w:noWrap/>
          </w:tcPr>
          <w:p w14:paraId="099EE30B" w14:textId="1ADD6BB1" w:rsidR="00F36C83" w:rsidRPr="00662B68" w:rsidRDefault="00F36C83">
            <w:pPr>
              <w:rPr>
                <w:color w:val="222222"/>
              </w:rPr>
            </w:pPr>
            <w:r w:rsidRPr="00662B68">
              <w:rPr>
                <w:b/>
                <w:bCs/>
                <w:color w:val="222222"/>
              </w:rPr>
              <w:t>Mean Age</w:t>
            </w:r>
            <w:r w:rsidRPr="00F36C83">
              <w:rPr>
                <w:color w:val="222222"/>
              </w:rPr>
              <w:t xml:space="preserve"> = 190.1 Ma</w:t>
            </w:r>
          </w:p>
        </w:tc>
      </w:tr>
    </w:tbl>
    <w:p w14:paraId="7B7D0426" w14:textId="34227985" w:rsidR="00D45E01" w:rsidRDefault="00F0665F" w:rsidP="00F0665F">
      <w:pPr>
        <w:ind w:left="720"/>
        <w:rPr>
          <w:b/>
          <w:bCs/>
          <w:color w:val="222222"/>
        </w:rPr>
      </w:pPr>
      <w:r>
        <w:rPr>
          <w:color w:val="222222"/>
        </w:rPr>
        <w:t>Reported a</w:t>
      </w:r>
      <w:r w:rsidRPr="00392F1F">
        <w:rPr>
          <w:color w:val="222222"/>
        </w:rPr>
        <w:t>ge</w:t>
      </w:r>
      <w:r>
        <w:rPr>
          <w:color w:val="222222"/>
        </w:rPr>
        <w:t xml:space="preserve">s </w:t>
      </w:r>
      <w:r w:rsidRPr="00392F1F">
        <w:rPr>
          <w:color w:val="222222"/>
        </w:rPr>
        <w:t>derived from timetree.org.</w:t>
      </w:r>
    </w:p>
    <w:p w14:paraId="7257CB34" w14:textId="50561453" w:rsidR="003A265F" w:rsidRDefault="003A265F" w:rsidP="00D45E01">
      <w:pPr>
        <w:ind w:left="1440"/>
        <w:rPr>
          <w:b/>
          <w:bCs/>
          <w:color w:val="222222"/>
        </w:rPr>
      </w:pPr>
    </w:p>
    <w:p w14:paraId="1156993C" w14:textId="5C87A18C" w:rsidR="003A265F" w:rsidRDefault="003A265F" w:rsidP="00D45E01">
      <w:pPr>
        <w:ind w:left="1440"/>
        <w:rPr>
          <w:b/>
          <w:bCs/>
          <w:color w:val="222222"/>
        </w:rPr>
      </w:pPr>
    </w:p>
    <w:p w14:paraId="5A4D622E" w14:textId="529E04C9" w:rsidR="003A265F" w:rsidRDefault="003A265F" w:rsidP="00D45E01">
      <w:pPr>
        <w:ind w:left="1440"/>
        <w:rPr>
          <w:b/>
          <w:bCs/>
          <w:color w:val="222222"/>
        </w:rPr>
      </w:pPr>
    </w:p>
    <w:p w14:paraId="132A6C1D" w14:textId="60A638C7" w:rsidR="003A265F" w:rsidRDefault="003A265F" w:rsidP="00D45E01">
      <w:pPr>
        <w:ind w:left="1440"/>
        <w:rPr>
          <w:b/>
          <w:bCs/>
          <w:color w:val="222222"/>
        </w:rPr>
      </w:pPr>
    </w:p>
    <w:p w14:paraId="63DD04F4" w14:textId="5A9D8E00" w:rsidR="003A265F" w:rsidRDefault="003A265F" w:rsidP="00D45E01">
      <w:pPr>
        <w:ind w:left="1440"/>
        <w:rPr>
          <w:b/>
          <w:bCs/>
          <w:color w:val="222222"/>
        </w:rPr>
      </w:pPr>
    </w:p>
    <w:p w14:paraId="62ADE524" w14:textId="764AF15A" w:rsidR="00025444" w:rsidRPr="003A265F" w:rsidRDefault="00025444" w:rsidP="00025444">
      <w:pPr>
        <w:rPr>
          <w:b/>
          <w:bCs/>
          <w:i/>
          <w:iCs/>
          <w:color w:val="222222"/>
        </w:rPr>
      </w:pPr>
      <w:bookmarkStart w:id="23" w:name="_Hlk98857869"/>
      <w:r>
        <w:rPr>
          <w:b/>
          <w:bCs/>
          <w:color w:val="222222"/>
        </w:rPr>
        <w:t xml:space="preserve">Supplementary Table </w:t>
      </w:r>
      <w:r w:rsidR="008D66CA">
        <w:rPr>
          <w:b/>
          <w:bCs/>
          <w:color w:val="222222"/>
        </w:rPr>
        <w:t>8</w:t>
      </w:r>
      <w:r w:rsidRPr="00062F7E">
        <w:rPr>
          <w:b/>
          <w:bCs/>
          <w:color w:val="222222"/>
        </w:rPr>
        <w:t xml:space="preserve">. </w:t>
      </w:r>
      <w:r>
        <w:rPr>
          <w:b/>
          <w:bCs/>
          <w:color w:val="222222"/>
        </w:rPr>
        <w:t>Micro-computed tomographic scan</w:t>
      </w:r>
      <w:r w:rsidRPr="00062F7E">
        <w:rPr>
          <w:b/>
          <w:bCs/>
          <w:color w:val="222222"/>
        </w:rPr>
        <w:t xml:space="preserve"> parameters </w:t>
      </w:r>
      <w:bookmarkEnd w:id="23"/>
    </w:p>
    <w:tbl>
      <w:tblPr>
        <w:tblStyle w:val="TableGrid"/>
        <w:tblW w:w="0" w:type="auto"/>
        <w:tblInd w:w="-95" w:type="dxa"/>
        <w:tblLook w:val="04A0" w:firstRow="1" w:lastRow="0" w:firstColumn="1" w:lastColumn="0" w:noHBand="0" w:noVBand="1"/>
      </w:tblPr>
      <w:tblGrid>
        <w:gridCol w:w="1598"/>
        <w:gridCol w:w="2306"/>
        <w:gridCol w:w="1077"/>
        <w:gridCol w:w="950"/>
        <w:gridCol w:w="3514"/>
      </w:tblGrid>
      <w:tr w:rsidR="00025444" w14:paraId="2881E7E3" w14:textId="77777777" w:rsidTr="00A30351">
        <w:tc>
          <w:tcPr>
            <w:tcW w:w="1598" w:type="dxa"/>
          </w:tcPr>
          <w:p w14:paraId="443C807A" w14:textId="77777777" w:rsidR="00025444" w:rsidRDefault="00025444" w:rsidP="00A30351">
            <w:pPr>
              <w:jc w:val="center"/>
              <w:rPr>
                <w:color w:val="222222"/>
              </w:rPr>
            </w:pPr>
            <w:r>
              <w:rPr>
                <w:color w:val="222222"/>
              </w:rPr>
              <w:t>Specimen</w:t>
            </w:r>
          </w:p>
        </w:tc>
        <w:tc>
          <w:tcPr>
            <w:tcW w:w="2306" w:type="dxa"/>
          </w:tcPr>
          <w:p w14:paraId="60199F76" w14:textId="77777777" w:rsidR="00025444" w:rsidRDefault="00025444" w:rsidP="00A30351">
            <w:pPr>
              <w:jc w:val="center"/>
              <w:rPr>
                <w:color w:val="222222"/>
              </w:rPr>
            </w:pPr>
            <w:r>
              <w:rPr>
                <w:color w:val="222222"/>
              </w:rPr>
              <w:t>Resolution</w:t>
            </w:r>
          </w:p>
        </w:tc>
        <w:tc>
          <w:tcPr>
            <w:tcW w:w="1077" w:type="dxa"/>
          </w:tcPr>
          <w:p w14:paraId="52075539" w14:textId="77777777" w:rsidR="00025444" w:rsidRDefault="00025444" w:rsidP="00A30351">
            <w:pPr>
              <w:jc w:val="center"/>
              <w:rPr>
                <w:color w:val="222222"/>
              </w:rPr>
            </w:pPr>
            <w:r>
              <w:rPr>
                <w:color w:val="222222"/>
              </w:rPr>
              <w:t>Source Voltage</w:t>
            </w:r>
          </w:p>
        </w:tc>
        <w:tc>
          <w:tcPr>
            <w:tcW w:w="950" w:type="dxa"/>
          </w:tcPr>
          <w:p w14:paraId="7E5D3FFF" w14:textId="77777777" w:rsidR="00025444" w:rsidRDefault="00025444" w:rsidP="00A30351">
            <w:pPr>
              <w:jc w:val="center"/>
              <w:rPr>
                <w:color w:val="222222"/>
              </w:rPr>
            </w:pPr>
            <w:r>
              <w:rPr>
                <w:color w:val="222222"/>
              </w:rPr>
              <w:t>Source Current</w:t>
            </w:r>
          </w:p>
        </w:tc>
        <w:tc>
          <w:tcPr>
            <w:tcW w:w="3514" w:type="dxa"/>
          </w:tcPr>
          <w:p w14:paraId="5A6D271A" w14:textId="77777777" w:rsidR="00025444" w:rsidRDefault="00025444" w:rsidP="00A30351">
            <w:pPr>
              <w:jc w:val="center"/>
              <w:rPr>
                <w:color w:val="222222"/>
              </w:rPr>
            </w:pPr>
            <w:r>
              <w:rPr>
                <w:color w:val="222222"/>
              </w:rPr>
              <w:t>Scanner</w:t>
            </w:r>
          </w:p>
        </w:tc>
      </w:tr>
      <w:tr w:rsidR="00025444" w14:paraId="3033346F" w14:textId="77777777" w:rsidTr="00A30351">
        <w:tc>
          <w:tcPr>
            <w:tcW w:w="1598" w:type="dxa"/>
          </w:tcPr>
          <w:p w14:paraId="1AA9C855" w14:textId="77777777" w:rsidR="00025444" w:rsidRDefault="00025444" w:rsidP="00A30351">
            <w:pPr>
              <w:rPr>
                <w:color w:val="222222"/>
              </w:rPr>
            </w:pPr>
            <w:r w:rsidRPr="00C22EE0">
              <w:rPr>
                <w:color w:val="222222"/>
              </w:rPr>
              <w:t>PEFO 44432</w:t>
            </w:r>
          </w:p>
        </w:tc>
        <w:tc>
          <w:tcPr>
            <w:tcW w:w="2306" w:type="dxa"/>
          </w:tcPr>
          <w:p w14:paraId="7E7728AF" w14:textId="77777777" w:rsidR="00025444" w:rsidRDefault="00025444" w:rsidP="00A30351">
            <w:pPr>
              <w:rPr>
                <w:color w:val="222222"/>
              </w:rPr>
            </w:pPr>
            <w:r>
              <w:rPr>
                <w:color w:val="222222"/>
              </w:rPr>
              <w:t>x, y, and z = 3.83</w:t>
            </w:r>
            <w:r w:rsidRPr="009F6396">
              <w:rPr>
                <w:color w:val="222222"/>
              </w:rPr>
              <w:t xml:space="preserve"> </w:t>
            </w:r>
            <w:proofErr w:type="spellStart"/>
            <w:r w:rsidRPr="009F6396">
              <w:rPr>
                <w:color w:val="222222"/>
              </w:rPr>
              <w:t>μm</w:t>
            </w:r>
            <w:proofErr w:type="spellEnd"/>
          </w:p>
        </w:tc>
        <w:tc>
          <w:tcPr>
            <w:tcW w:w="1077" w:type="dxa"/>
          </w:tcPr>
          <w:p w14:paraId="3C60D08A" w14:textId="77777777" w:rsidR="00025444" w:rsidRDefault="00025444" w:rsidP="00A30351">
            <w:pPr>
              <w:rPr>
                <w:color w:val="222222"/>
              </w:rPr>
            </w:pPr>
            <w:r>
              <w:rPr>
                <w:color w:val="222222"/>
              </w:rPr>
              <w:t>62 kV</w:t>
            </w:r>
          </w:p>
        </w:tc>
        <w:tc>
          <w:tcPr>
            <w:tcW w:w="950" w:type="dxa"/>
          </w:tcPr>
          <w:p w14:paraId="692D077C" w14:textId="77777777" w:rsidR="00025444" w:rsidRDefault="00025444" w:rsidP="00A30351">
            <w:pPr>
              <w:rPr>
                <w:color w:val="222222"/>
              </w:rPr>
            </w:pPr>
            <w:r>
              <w:rPr>
                <w:color w:val="222222"/>
              </w:rPr>
              <w:t xml:space="preserve">159 </w:t>
            </w:r>
            <w:proofErr w:type="spellStart"/>
            <w:r w:rsidRPr="009F6396">
              <w:rPr>
                <w:color w:val="222222"/>
              </w:rPr>
              <w:t>μ</w:t>
            </w:r>
            <w:r>
              <w:rPr>
                <w:color w:val="222222"/>
              </w:rPr>
              <w:t>A</w:t>
            </w:r>
            <w:proofErr w:type="spellEnd"/>
          </w:p>
        </w:tc>
        <w:tc>
          <w:tcPr>
            <w:tcW w:w="3514" w:type="dxa"/>
          </w:tcPr>
          <w:p w14:paraId="7F851994" w14:textId="77777777" w:rsidR="00025444" w:rsidRDefault="00025444" w:rsidP="00A30351">
            <w:pPr>
              <w:rPr>
                <w:color w:val="222222"/>
              </w:rPr>
            </w:pPr>
            <w:proofErr w:type="spellStart"/>
            <w:r w:rsidRPr="008D0154">
              <w:rPr>
                <w:color w:val="222222"/>
              </w:rPr>
              <w:t>Skyscan</w:t>
            </w:r>
            <w:proofErr w:type="spellEnd"/>
            <w:r w:rsidRPr="008D0154">
              <w:rPr>
                <w:color w:val="222222"/>
              </w:rPr>
              <w:t xml:space="preserve"> 1172 </w:t>
            </w:r>
            <w:r>
              <w:rPr>
                <w:color w:val="222222"/>
              </w:rPr>
              <w:t>(VT ICTAS)</w:t>
            </w:r>
          </w:p>
        </w:tc>
      </w:tr>
      <w:tr w:rsidR="00025444" w14:paraId="74C2B767" w14:textId="77777777" w:rsidTr="00A30351">
        <w:tc>
          <w:tcPr>
            <w:tcW w:w="1598" w:type="dxa"/>
          </w:tcPr>
          <w:p w14:paraId="376F4EEE" w14:textId="77777777" w:rsidR="00025444" w:rsidRPr="00C22EE0" w:rsidRDefault="00025444" w:rsidP="00A30351">
            <w:pPr>
              <w:rPr>
                <w:color w:val="222222"/>
              </w:rPr>
            </w:pPr>
            <w:r>
              <w:rPr>
                <w:color w:val="222222"/>
              </w:rPr>
              <w:t>PEFO 43811</w:t>
            </w:r>
          </w:p>
        </w:tc>
        <w:tc>
          <w:tcPr>
            <w:tcW w:w="2306" w:type="dxa"/>
          </w:tcPr>
          <w:p w14:paraId="4433DAAD" w14:textId="77777777" w:rsidR="00025444" w:rsidRDefault="00025444" w:rsidP="00A30351">
            <w:pPr>
              <w:rPr>
                <w:color w:val="222222"/>
              </w:rPr>
            </w:pPr>
            <w:r>
              <w:rPr>
                <w:color w:val="222222"/>
              </w:rPr>
              <w:t>x, y, and z = 5.92</w:t>
            </w:r>
            <w:r w:rsidRPr="009F6396">
              <w:rPr>
                <w:color w:val="222222"/>
              </w:rPr>
              <w:t xml:space="preserve"> </w:t>
            </w:r>
            <w:proofErr w:type="spellStart"/>
            <w:r w:rsidRPr="009F6396">
              <w:rPr>
                <w:color w:val="222222"/>
              </w:rPr>
              <w:t>μm</w:t>
            </w:r>
            <w:proofErr w:type="spellEnd"/>
          </w:p>
        </w:tc>
        <w:tc>
          <w:tcPr>
            <w:tcW w:w="1077" w:type="dxa"/>
          </w:tcPr>
          <w:p w14:paraId="1458ED00" w14:textId="77777777" w:rsidR="00025444" w:rsidRDefault="00025444" w:rsidP="00A30351">
            <w:pPr>
              <w:rPr>
                <w:color w:val="222222"/>
              </w:rPr>
            </w:pPr>
            <w:r>
              <w:rPr>
                <w:color w:val="222222"/>
              </w:rPr>
              <w:t>71 kV</w:t>
            </w:r>
          </w:p>
        </w:tc>
        <w:tc>
          <w:tcPr>
            <w:tcW w:w="950" w:type="dxa"/>
          </w:tcPr>
          <w:p w14:paraId="3288DDC9" w14:textId="77777777" w:rsidR="00025444" w:rsidRDefault="00025444" w:rsidP="00A30351">
            <w:pPr>
              <w:rPr>
                <w:color w:val="222222"/>
              </w:rPr>
            </w:pPr>
            <w:r>
              <w:rPr>
                <w:color w:val="222222"/>
              </w:rPr>
              <w:t xml:space="preserve">131 </w:t>
            </w:r>
            <w:proofErr w:type="spellStart"/>
            <w:r w:rsidRPr="009F6396">
              <w:rPr>
                <w:color w:val="222222"/>
              </w:rPr>
              <w:t>μ</w:t>
            </w:r>
            <w:r>
              <w:rPr>
                <w:color w:val="222222"/>
              </w:rPr>
              <w:t>A</w:t>
            </w:r>
            <w:proofErr w:type="spellEnd"/>
          </w:p>
        </w:tc>
        <w:tc>
          <w:tcPr>
            <w:tcW w:w="3514" w:type="dxa"/>
          </w:tcPr>
          <w:p w14:paraId="47B1381E" w14:textId="77777777" w:rsidR="00025444" w:rsidRPr="008D0154" w:rsidRDefault="00025444" w:rsidP="00A30351">
            <w:pPr>
              <w:rPr>
                <w:color w:val="222222"/>
              </w:rPr>
            </w:pPr>
            <w:proofErr w:type="spellStart"/>
            <w:r w:rsidRPr="008D0154">
              <w:rPr>
                <w:color w:val="222222"/>
              </w:rPr>
              <w:t>Skyscan</w:t>
            </w:r>
            <w:proofErr w:type="spellEnd"/>
            <w:r w:rsidRPr="008D0154">
              <w:rPr>
                <w:color w:val="222222"/>
              </w:rPr>
              <w:t xml:space="preserve"> 1172 </w:t>
            </w:r>
            <w:r>
              <w:rPr>
                <w:color w:val="222222"/>
              </w:rPr>
              <w:t>(VT ICTAS)</w:t>
            </w:r>
          </w:p>
        </w:tc>
      </w:tr>
      <w:tr w:rsidR="00025444" w14:paraId="04C4D006" w14:textId="77777777" w:rsidTr="00A30351">
        <w:tc>
          <w:tcPr>
            <w:tcW w:w="1598" w:type="dxa"/>
          </w:tcPr>
          <w:p w14:paraId="6D02E8D2" w14:textId="77777777" w:rsidR="00025444" w:rsidRDefault="00025444" w:rsidP="00A30351">
            <w:pPr>
              <w:rPr>
                <w:color w:val="222222"/>
              </w:rPr>
            </w:pPr>
            <w:r w:rsidRPr="00C22EE0">
              <w:rPr>
                <w:color w:val="222222"/>
              </w:rPr>
              <w:t>PEFO 45800</w:t>
            </w:r>
          </w:p>
        </w:tc>
        <w:tc>
          <w:tcPr>
            <w:tcW w:w="2306" w:type="dxa"/>
          </w:tcPr>
          <w:p w14:paraId="23AAAA9D" w14:textId="77777777" w:rsidR="00025444" w:rsidRDefault="00025444" w:rsidP="00A30351">
            <w:pPr>
              <w:rPr>
                <w:color w:val="222222"/>
              </w:rPr>
            </w:pPr>
            <w:r>
              <w:rPr>
                <w:color w:val="222222"/>
              </w:rPr>
              <w:t>x, y, and z = 5.92</w:t>
            </w:r>
            <w:r w:rsidRPr="009F6396">
              <w:rPr>
                <w:color w:val="222222"/>
              </w:rPr>
              <w:t xml:space="preserve"> </w:t>
            </w:r>
            <w:proofErr w:type="spellStart"/>
            <w:r w:rsidRPr="009F6396">
              <w:rPr>
                <w:color w:val="222222"/>
              </w:rPr>
              <w:t>μm</w:t>
            </w:r>
            <w:proofErr w:type="spellEnd"/>
          </w:p>
        </w:tc>
        <w:tc>
          <w:tcPr>
            <w:tcW w:w="1077" w:type="dxa"/>
          </w:tcPr>
          <w:p w14:paraId="65601948" w14:textId="77777777" w:rsidR="00025444" w:rsidRDefault="00025444" w:rsidP="00A30351">
            <w:pPr>
              <w:rPr>
                <w:color w:val="222222"/>
              </w:rPr>
            </w:pPr>
            <w:r>
              <w:rPr>
                <w:color w:val="222222"/>
              </w:rPr>
              <w:t>80 kV</w:t>
            </w:r>
          </w:p>
        </w:tc>
        <w:tc>
          <w:tcPr>
            <w:tcW w:w="950" w:type="dxa"/>
          </w:tcPr>
          <w:p w14:paraId="32B6CD9A" w14:textId="77777777" w:rsidR="00025444" w:rsidRDefault="00025444" w:rsidP="00A30351">
            <w:pPr>
              <w:rPr>
                <w:color w:val="222222"/>
              </w:rPr>
            </w:pPr>
            <w:proofErr w:type="spellStart"/>
            <w:r w:rsidRPr="009F6396">
              <w:rPr>
                <w:color w:val="222222"/>
              </w:rPr>
              <w:t>μ</w:t>
            </w:r>
            <w:r>
              <w:rPr>
                <w:color w:val="222222"/>
              </w:rPr>
              <w:t>A</w:t>
            </w:r>
            <w:proofErr w:type="spellEnd"/>
            <w:r>
              <w:rPr>
                <w:color w:val="222222"/>
              </w:rPr>
              <w:t xml:space="preserve"> 100</w:t>
            </w:r>
          </w:p>
        </w:tc>
        <w:tc>
          <w:tcPr>
            <w:tcW w:w="3514" w:type="dxa"/>
          </w:tcPr>
          <w:p w14:paraId="29FA5CBF" w14:textId="77777777" w:rsidR="00025444" w:rsidRDefault="00025444" w:rsidP="00A30351">
            <w:pPr>
              <w:rPr>
                <w:color w:val="222222"/>
              </w:rPr>
            </w:pPr>
            <w:proofErr w:type="spellStart"/>
            <w:r w:rsidRPr="008D0154">
              <w:rPr>
                <w:color w:val="222222"/>
              </w:rPr>
              <w:t>Skyscan</w:t>
            </w:r>
            <w:proofErr w:type="spellEnd"/>
            <w:r w:rsidRPr="008D0154">
              <w:rPr>
                <w:color w:val="222222"/>
              </w:rPr>
              <w:t xml:space="preserve"> 1172 </w:t>
            </w:r>
            <w:r>
              <w:rPr>
                <w:color w:val="222222"/>
              </w:rPr>
              <w:t>(VT ICTAS)</w:t>
            </w:r>
          </w:p>
        </w:tc>
      </w:tr>
      <w:tr w:rsidR="00025444" w14:paraId="5C7E1F32" w14:textId="77777777" w:rsidTr="00A30351">
        <w:tc>
          <w:tcPr>
            <w:tcW w:w="1598" w:type="dxa"/>
          </w:tcPr>
          <w:p w14:paraId="0D6D3858" w14:textId="77777777" w:rsidR="00025444" w:rsidRDefault="00025444" w:rsidP="00A30351">
            <w:pPr>
              <w:rPr>
                <w:color w:val="222222"/>
              </w:rPr>
            </w:pPr>
            <w:r w:rsidRPr="00C22EE0">
              <w:rPr>
                <w:color w:val="222222"/>
              </w:rPr>
              <w:t>PEFO 45910</w:t>
            </w:r>
          </w:p>
        </w:tc>
        <w:tc>
          <w:tcPr>
            <w:tcW w:w="2306" w:type="dxa"/>
          </w:tcPr>
          <w:p w14:paraId="32174A5B" w14:textId="77777777" w:rsidR="00025444" w:rsidRDefault="00025444" w:rsidP="00A30351">
            <w:pPr>
              <w:rPr>
                <w:color w:val="222222"/>
              </w:rPr>
            </w:pPr>
            <w:r>
              <w:rPr>
                <w:color w:val="222222"/>
              </w:rPr>
              <w:t>x, y, and z = 5.57</w:t>
            </w:r>
            <w:r w:rsidRPr="009F6396">
              <w:rPr>
                <w:color w:val="222222"/>
              </w:rPr>
              <w:t xml:space="preserve"> </w:t>
            </w:r>
            <w:proofErr w:type="spellStart"/>
            <w:r w:rsidRPr="009F6396">
              <w:rPr>
                <w:color w:val="222222"/>
              </w:rPr>
              <w:t>μm</w:t>
            </w:r>
            <w:proofErr w:type="spellEnd"/>
          </w:p>
        </w:tc>
        <w:tc>
          <w:tcPr>
            <w:tcW w:w="1077" w:type="dxa"/>
          </w:tcPr>
          <w:p w14:paraId="428C5C5A" w14:textId="77777777" w:rsidR="00025444" w:rsidRDefault="00025444" w:rsidP="00A30351">
            <w:pPr>
              <w:rPr>
                <w:color w:val="222222"/>
              </w:rPr>
            </w:pPr>
            <w:r>
              <w:rPr>
                <w:color w:val="222222"/>
              </w:rPr>
              <w:t>55 kV</w:t>
            </w:r>
          </w:p>
        </w:tc>
        <w:tc>
          <w:tcPr>
            <w:tcW w:w="950" w:type="dxa"/>
          </w:tcPr>
          <w:p w14:paraId="1DBFB3A0" w14:textId="77777777" w:rsidR="00025444" w:rsidRDefault="00025444" w:rsidP="00A30351">
            <w:pPr>
              <w:rPr>
                <w:color w:val="222222"/>
              </w:rPr>
            </w:pPr>
            <w:r>
              <w:rPr>
                <w:color w:val="222222"/>
              </w:rPr>
              <w:t xml:space="preserve">179 </w:t>
            </w:r>
            <w:proofErr w:type="spellStart"/>
            <w:r w:rsidRPr="009F6396">
              <w:rPr>
                <w:color w:val="222222"/>
              </w:rPr>
              <w:t>μ</w:t>
            </w:r>
            <w:r>
              <w:rPr>
                <w:color w:val="222222"/>
              </w:rPr>
              <w:t>A</w:t>
            </w:r>
            <w:proofErr w:type="spellEnd"/>
          </w:p>
        </w:tc>
        <w:tc>
          <w:tcPr>
            <w:tcW w:w="3514" w:type="dxa"/>
          </w:tcPr>
          <w:p w14:paraId="5E5ACD2D" w14:textId="77777777" w:rsidR="00025444" w:rsidRDefault="00025444" w:rsidP="00A30351">
            <w:pPr>
              <w:rPr>
                <w:color w:val="222222"/>
              </w:rPr>
            </w:pPr>
            <w:proofErr w:type="spellStart"/>
            <w:r w:rsidRPr="008D0154">
              <w:rPr>
                <w:color w:val="222222"/>
              </w:rPr>
              <w:t>Skyscan</w:t>
            </w:r>
            <w:proofErr w:type="spellEnd"/>
            <w:r w:rsidRPr="008D0154">
              <w:rPr>
                <w:color w:val="222222"/>
              </w:rPr>
              <w:t xml:space="preserve"> 1172 </w:t>
            </w:r>
            <w:r>
              <w:rPr>
                <w:color w:val="222222"/>
              </w:rPr>
              <w:t>(VT ICTAS)</w:t>
            </w:r>
          </w:p>
        </w:tc>
      </w:tr>
      <w:tr w:rsidR="00025444" w14:paraId="3837D2A2" w14:textId="77777777" w:rsidTr="00A30351">
        <w:tc>
          <w:tcPr>
            <w:tcW w:w="1598" w:type="dxa"/>
          </w:tcPr>
          <w:p w14:paraId="6D7FB7EC" w14:textId="77777777" w:rsidR="00025444" w:rsidRDefault="00025444" w:rsidP="00A30351">
            <w:pPr>
              <w:rPr>
                <w:color w:val="222222"/>
              </w:rPr>
            </w:pPr>
            <w:r w:rsidRPr="00C22EE0">
              <w:rPr>
                <w:color w:val="222222"/>
              </w:rPr>
              <w:t>PEFO 46284</w:t>
            </w:r>
          </w:p>
        </w:tc>
        <w:tc>
          <w:tcPr>
            <w:tcW w:w="2306" w:type="dxa"/>
          </w:tcPr>
          <w:p w14:paraId="57BFD51D" w14:textId="77777777" w:rsidR="00025444" w:rsidRDefault="00025444" w:rsidP="00A30351">
            <w:pPr>
              <w:rPr>
                <w:color w:val="222222"/>
              </w:rPr>
            </w:pPr>
            <w:r>
              <w:rPr>
                <w:color w:val="222222"/>
              </w:rPr>
              <w:t>x, y, and z = 5.92</w:t>
            </w:r>
            <w:r w:rsidRPr="009F6396">
              <w:rPr>
                <w:color w:val="222222"/>
              </w:rPr>
              <w:t xml:space="preserve"> </w:t>
            </w:r>
            <w:proofErr w:type="spellStart"/>
            <w:r w:rsidRPr="009F6396">
              <w:rPr>
                <w:color w:val="222222"/>
              </w:rPr>
              <w:t>μm</w:t>
            </w:r>
            <w:proofErr w:type="spellEnd"/>
          </w:p>
        </w:tc>
        <w:tc>
          <w:tcPr>
            <w:tcW w:w="1077" w:type="dxa"/>
          </w:tcPr>
          <w:p w14:paraId="755FA774" w14:textId="77777777" w:rsidR="00025444" w:rsidRDefault="00025444" w:rsidP="00A30351">
            <w:pPr>
              <w:rPr>
                <w:color w:val="222222"/>
              </w:rPr>
            </w:pPr>
            <w:r>
              <w:rPr>
                <w:color w:val="222222"/>
              </w:rPr>
              <w:t>71 kV</w:t>
            </w:r>
          </w:p>
        </w:tc>
        <w:tc>
          <w:tcPr>
            <w:tcW w:w="950" w:type="dxa"/>
          </w:tcPr>
          <w:p w14:paraId="71A7F8E3" w14:textId="77777777" w:rsidR="00025444" w:rsidRDefault="00025444" w:rsidP="00A30351">
            <w:pPr>
              <w:rPr>
                <w:color w:val="222222"/>
              </w:rPr>
            </w:pPr>
            <w:r>
              <w:rPr>
                <w:color w:val="222222"/>
              </w:rPr>
              <w:t xml:space="preserve">131 </w:t>
            </w:r>
            <w:proofErr w:type="spellStart"/>
            <w:r w:rsidRPr="009F6396">
              <w:rPr>
                <w:color w:val="222222"/>
              </w:rPr>
              <w:t>μ</w:t>
            </w:r>
            <w:r>
              <w:rPr>
                <w:color w:val="222222"/>
              </w:rPr>
              <w:t>A</w:t>
            </w:r>
            <w:proofErr w:type="spellEnd"/>
            <w:r>
              <w:rPr>
                <w:color w:val="222222"/>
              </w:rPr>
              <w:t xml:space="preserve"> </w:t>
            </w:r>
          </w:p>
        </w:tc>
        <w:tc>
          <w:tcPr>
            <w:tcW w:w="3514" w:type="dxa"/>
          </w:tcPr>
          <w:p w14:paraId="5403FE18" w14:textId="77777777" w:rsidR="00025444" w:rsidRDefault="00025444" w:rsidP="00A30351">
            <w:pPr>
              <w:rPr>
                <w:color w:val="222222"/>
              </w:rPr>
            </w:pPr>
            <w:proofErr w:type="spellStart"/>
            <w:r w:rsidRPr="008D0154">
              <w:rPr>
                <w:color w:val="222222"/>
              </w:rPr>
              <w:t>Skyscan</w:t>
            </w:r>
            <w:proofErr w:type="spellEnd"/>
            <w:r w:rsidRPr="008D0154">
              <w:rPr>
                <w:color w:val="222222"/>
              </w:rPr>
              <w:t xml:space="preserve"> 1172 </w:t>
            </w:r>
            <w:r>
              <w:rPr>
                <w:color w:val="222222"/>
              </w:rPr>
              <w:t>(VT ICTAS)</w:t>
            </w:r>
          </w:p>
        </w:tc>
      </w:tr>
      <w:tr w:rsidR="00025444" w14:paraId="192AEC43" w14:textId="77777777" w:rsidTr="00A30351">
        <w:tc>
          <w:tcPr>
            <w:tcW w:w="1598" w:type="dxa"/>
          </w:tcPr>
          <w:p w14:paraId="50986A9D" w14:textId="77777777" w:rsidR="00025444" w:rsidRDefault="00025444" w:rsidP="00A30351">
            <w:pPr>
              <w:rPr>
                <w:color w:val="222222"/>
              </w:rPr>
            </w:pPr>
            <w:r w:rsidRPr="00C22EE0">
              <w:rPr>
                <w:color w:val="222222"/>
              </w:rPr>
              <w:t>PEFO 46480</w:t>
            </w:r>
          </w:p>
        </w:tc>
        <w:tc>
          <w:tcPr>
            <w:tcW w:w="2306" w:type="dxa"/>
          </w:tcPr>
          <w:p w14:paraId="023EFA1B" w14:textId="77777777" w:rsidR="00025444" w:rsidRDefault="00025444" w:rsidP="00A30351">
            <w:pPr>
              <w:rPr>
                <w:color w:val="222222"/>
              </w:rPr>
            </w:pPr>
            <w:r>
              <w:rPr>
                <w:color w:val="222222"/>
              </w:rPr>
              <w:t xml:space="preserve">x, y, and z = 3.66 </w:t>
            </w:r>
            <w:proofErr w:type="spellStart"/>
            <w:r w:rsidRPr="009F6396">
              <w:rPr>
                <w:color w:val="222222"/>
              </w:rPr>
              <w:t>μm</w:t>
            </w:r>
            <w:proofErr w:type="spellEnd"/>
          </w:p>
        </w:tc>
        <w:tc>
          <w:tcPr>
            <w:tcW w:w="1077" w:type="dxa"/>
          </w:tcPr>
          <w:p w14:paraId="450D94F5" w14:textId="77777777" w:rsidR="00025444" w:rsidRDefault="00025444" w:rsidP="00A30351">
            <w:pPr>
              <w:rPr>
                <w:color w:val="222222"/>
              </w:rPr>
            </w:pPr>
            <w:r>
              <w:rPr>
                <w:color w:val="222222"/>
              </w:rPr>
              <w:t>100 kV</w:t>
            </w:r>
          </w:p>
        </w:tc>
        <w:tc>
          <w:tcPr>
            <w:tcW w:w="950" w:type="dxa"/>
          </w:tcPr>
          <w:p w14:paraId="351848DC" w14:textId="77777777" w:rsidR="00025444" w:rsidRDefault="00025444" w:rsidP="00A30351">
            <w:pPr>
              <w:rPr>
                <w:color w:val="222222"/>
              </w:rPr>
            </w:pPr>
            <w:r>
              <w:rPr>
                <w:color w:val="222222"/>
              </w:rPr>
              <w:t xml:space="preserve">100 </w:t>
            </w:r>
            <w:proofErr w:type="spellStart"/>
            <w:r w:rsidRPr="009F6396">
              <w:rPr>
                <w:color w:val="222222"/>
              </w:rPr>
              <w:t>μ</w:t>
            </w:r>
            <w:r>
              <w:rPr>
                <w:color w:val="222222"/>
              </w:rPr>
              <w:t>A</w:t>
            </w:r>
            <w:proofErr w:type="spellEnd"/>
          </w:p>
        </w:tc>
        <w:tc>
          <w:tcPr>
            <w:tcW w:w="3514" w:type="dxa"/>
          </w:tcPr>
          <w:p w14:paraId="7FAFDFD5" w14:textId="77777777" w:rsidR="00025444" w:rsidRDefault="00025444" w:rsidP="00A30351">
            <w:pPr>
              <w:rPr>
                <w:color w:val="222222"/>
              </w:rPr>
            </w:pPr>
            <w:proofErr w:type="spellStart"/>
            <w:r w:rsidRPr="008D0154">
              <w:rPr>
                <w:color w:val="222222"/>
              </w:rPr>
              <w:t>Skyscan</w:t>
            </w:r>
            <w:proofErr w:type="spellEnd"/>
            <w:r w:rsidRPr="008D0154">
              <w:rPr>
                <w:color w:val="222222"/>
              </w:rPr>
              <w:t xml:space="preserve"> 1172 </w:t>
            </w:r>
            <w:r>
              <w:rPr>
                <w:color w:val="222222"/>
              </w:rPr>
              <w:t>(VT ICTAS)</w:t>
            </w:r>
          </w:p>
        </w:tc>
      </w:tr>
      <w:tr w:rsidR="00025444" w14:paraId="4AC32002" w14:textId="77777777" w:rsidTr="00A30351">
        <w:tc>
          <w:tcPr>
            <w:tcW w:w="1598" w:type="dxa"/>
          </w:tcPr>
          <w:p w14:paraId="1EB67FD0" w14:textId="77777777" w:rsidR="00025444" w:rsidRDefault="00025444" w:rsidP="00A30351">
            <w:pPr>
              <w:rPr>
                <w:color w:val="222222"/>
              </w:rPr>
            </w:pPr>
            <w:r w:rsidRPr="00C22EE0">
              <w:rPr>
                <w:color w:val="222222"/>
              </w:rPr>
              <w:t>PEFO 46481</w:t>
            </w:r>
          </w:p>
        </w:tc>
        <w:tc>
          <w:tcPr>
            <w:tcW w:w="2306" w:type="dxa"/>
          </w:tcPr>
          <w:p w14:paraId="5A520E40" w14:textId="77777777" w:rsidR="00025444" w:rsidRDefault="00025444" w:rsidP="00A30351">
            <w:pPr>
              <w:rPr>
                <w:color w:val="222222"/>
              </w:rPr>
            </w:pPr>
            <w:r>
              <w:rPr>
                <w:color w:val="222222"/>
              </w:rPr>
              <w:t xml:space="preserve">x, y, and z = 3.83 </w:t>
            </w:r>
            <w:proofErr w:type="spellStart"/>
            <w:r w:rsidRPr="009F6396">
              <w:rPr>
                <w:color w:val="222222"/>
              </w:rPr>
              <w:t>μm</w:t>
            </w:r>
            <w:proofErr w:type="spellEnd"/>
          </w:p>
        </w:tc>
        <w:tc>
          <w:tcPr>
            <w:tcW w:w="1077" w:type="dxa"/>
          </w:tcPr>
          <w:p w14:paraId="18F9963A" w14:textId="77777777" w:rsidR="00025444" w:rsidRDefault="00025444" w:rsidP="00A30351">
            <w:pPr>
              <w:rPr>
                <w:color w:val="222222"/>
              </w:rPr>
            </w:pPr>
            <w:r>
              <w:rPr>
                <w:color w:val="222222"/>
              </w:rPr>
              <w:t>58 kV</w:t>
            </w:r>
          </w:p>
        </w:tc>
        <w:tc>
          <w:tcPr>
            <w:tcW w:w="950" w:type="dxa"/>
          </w:tcPr>
          <w:p w14:paraId="3A04F4E7" w14:textId="77777777" w:rsidR="00025444" w:rsidRDefault="00025444" w:rsidP="00A30351">
            <w:pPr>
              <w:rPr>
                <w:color w:val="222222"/>
              </w:rPr>
            </w:pPr>
            <w:r>
              <w:rPr>
                <w:color w:val="222222"/>
              </w:rPr>
              <w:t xml:space="preserve">171 </w:t>
            </w:r>
            <w:proofErr w:type="spellStart"/>
            <w:r w:rsidRPr="009F6396">
              <w:rPr>
                <w:color w:val="222222"/>
              </w:rPr>
              <w:t>μ</w:t>
            </w:r>
            <w:r>
              <w:rPr>
                <w:color w:val="222222"/>
              </w:rPr>
              <w:t>A</w:t>
            </w:r>
            <w:proofErr w:type="spellEnd"/>
          </w:p>
        </w:tc>
        <w:tc>
          <w:tcPr>
            <w:tcW w:w="3514" w:type="dxa"/>
          </w:tcPr>
          <w:p w14:paraId="6B3426D8" w14:textId="77777777" w:rsidR="00025444" w:rsidRDefault="00025444" w:rsidP="00A30351">
            <w:pPr>
              <w:rPr>
                <w:color w:val="222222"/>
              </w:rPr>
            </w:pPr>
            <w:proofErr w:type="spellStart"/>
            <w:r w:rsidRPr="008D0154">
              <w:rPr>
                <w:color w:val="222222"/>
              </w:rPr>
              <w:t>Skyscan</w:t>
            </w:r>
            <w:proofErr w:type="spellEnd"/>
            <w:r w:rsidRPr="008D0154">
              <w:rPr>
                <w:color w:val="222222"/>
              </w:rPr>
              <w:t xml:space="preserve"> 1172 </w:t>
            </w:r>
            <w:r>
              <w:rPr>
                <w:color w:val="222222"/>
              </w:rPr>
              <w:t>(VT ICTAS)</w:t>
            </w:r>
          </w:p>
        </w:tc>
      </w:tr>
      <w:tr w:rsidR="00025444" w14:paraId="22A3D0C1" w14:textId="77777777" w:rsidTr="00A30351">
        <w:tc>
          <w:tcPr>
            <w:tcW w:w="1598" w:type="dxa"/>
          </w:tcPr>
          <w:p w14:paraId="3AAFCA2A" w14:textId="77777777" w:rsidR="00025444" w:rsidRDefault="00025444" w:rsidP="00A30351">
            <w:pPr>
              <w:rPr>
                <w:color w:val="222222"/>
              </w:rPr>
            </w:pPr>
            <w:r w:rsidRPr="005C4E78">
              <w:rPr>
                <w:color w:val="222222"/>
              </w:rPr>
              <w:t>PEFO 43891</w:t>
            </w:r>
          </w:p>
        </w:tc>
        <w:tc>
          <w:tcPr>
            <w:tcW w:w="2306" w:type="dxa"/>
          </w:tcPr>
          <w:p w14:paraId="04EB7425" w14:textId="77777777" w:rsidR="00025444" w:rsidRDefault="00025444" w:rsidP="00A30351">
            <w:pPr>
              <w:rPr>
                <w:color w:val="222222"/>
              </w:rPr>
            </w:pPr>
            <w:r>
              <w:rPr>
                <w:color w:val="222222"/>
              </w:rPr>
              <w:t xml:space="preserve">x, y, and z = 10.2 </w:t>
            </w:r>
            <w:proofErr w:type="spellStart"/>
            <w:r w:rsidRPr="009F6396">
              <w:rPr>
                <w:color w:val="222222"/>
              </w:rPr>
              <w:t>μm</w:t>
            </w:r>
            <w:proofErr w:type="spellEnd"/>
          </w:p>
        </w:tc>
        <w:tc>
          <w:tcPr>
            <w:tcW w:w="1077" w:type="dxa"/>
          </w:tcPr>
          <w:p w14:paraId="57D35C79" w14:textId="77777777" w:rsidR="00025444" w:rsidRPr="008D0154" w:rsidRDefault="00025444" w:rsidP="00A30351">
            <w:pPr>
              <w:rPr>
                <w:color w:val="222222"/>
              </w:rPr>
            </w:pPr>
            <w:r>
              <w:rPr>
                <w:color w:val="222222"/>
              </w:rPr>
              <w:t>201 kV</w:t>
            </w:r>
          </w:p>
        </w:tc>
        <w:tc>
          <w:tcPr>
            <w:tcW w:w="950" w:type="dxa"/>
          </w:tcPr>
          <w:p w14:paraId="628F6E2A" w14:textId="77777777" w:rsidR="00025444" w:rsidRPr="008D0154" w:rsidRDefault="00025444" w:rsidP="00A30351">
            <w:pPr>
              <w:rPr>
                <w:color w:val="222222"/>
              </w:rPr>
            </w:pPr>
            <w:r>
              <w:rPr>
                <w:color w:val="222222"/>
              </w:rPr>
              <w:t xml:space="preserve">50 </w:t>
            </w:r>
            <w:proofErr w:type="spellStart"/>
            <w:r w:rsidRPr="009F6396">
              <w:rPr>
                <w:color w:val="222222"/>
              </w:rPr>
              <w:t>μ</w:t>
            </w:r>
            <w:r>
              <w:rPr>
                <w:color w:val="222222"/>
              </w:rPr>
              <w:t>A</w:t>
            </w:r>
            <w:proofErr w:type="spellEnd"/>
          </w:p>
        </w:tc>
        <w:tc>
          <w:tcPr>
            <w:tcW w:w="3514" w:type="dxa"/>
          </w:tcPr>
          <w:p w14:paraId="338223CA" w14:textId="77777777" w:rsidR="00025444" w:rsidRDefault="00025444" w:rsidP="00A30351">
            <w:pPr>
              <w:rPr>
                <w:color w:val="222222"/>
              </w:rPr>
            </w:pPr>
            <w:r w:rsidRPr="008D0154">
              <w:rPr>
                <w:color w:val="222222"/>
              </w:rPr>
              <w:t>Nikon XTH 225 ST</w:t>
            </w:r>
            <w:r>
              <w:rPr>
                <w:color w:val="222222"/>
              </w:rPr>
              <w:t xml:space="preserve"> (Duke SMIF)</w:t>
            </w:r>
          </w:p>
        </w:tc>
      </w:tr>
    </w:tbl>
    <w:p w14:paraId="018C43D3" w14:textId="77777777" w:rsidR="00025444" w:rsidRDefault="00025444" w:rsidP="00025444">
      <w:pPr>
        <w:rPr>
          <w:color w:val="222222"/>
        </w:rPr>
      </w:pPr>
    </w:p>
    <w:p w14:paraId="7D12A29B" w14:textId="176974E5" w:rsidR="00025444" w:rsidRDefault="00025444" w:rsidP="00025444">
      <w:pPr>
        <w:pStyle w:val="ListParagraph"/>
        <w:ind w:left="0"/>
        <w:rPr>
          <w:rFonts w:ascii="Times New Roman" w:eastAsia="Times New Roman" w:hAnsi="Times New Roman" w:cs="Times New Roman"/>
          <w:color w:val="222222"/>
        </w:rPr>
      </w:pPr>
    </w:p>
    <w:p w14:paraId="43B634E1" w14:textId="1183F104" w:rsidR="003A265F" w:rsidRDefault="003A265F" w:rsidP="00025444">
      <w:pPr>
        <w:pStyle w:val="ListParagraph"/>
        <w:ind w:left="0"/>
        <w:rPr>
          <w:rFonts w:ascii="Times New Roman" w:eastAsia="Times New Roman" w:hAnsi="Times New Roman" w:cs="Times New Roman"/>
          <w:color w:val="222222"/>
        </w:rPr>
      </w:pPr>
    </w:p>
    <w:p w14:paraId="0DC1E9AB" w14:textId="47FF4F9C" w:rsidR="003A265F" w:rsidRDefault="003A265F" w:rsidP="00025444">
      <w:pPr>
        <w:pStyle w:val="ListParagraph"/>
        <w:ind w:left="0"/>
        <w:rPr>
          <w:rFonts w:ascii="Times New Roman" w:eastAsia="Times New Roman" w:hAnsi="Times New Roman" w:cs="Times New Roman"/>
          <w:color w:val="222222"/>
        </w:rPr>
      </w:pPr>
    </w:p>
    <w:p w14:paraId="289DFAED" w14:textId="5CD20EBD" w:rsidR="003A265F" w:rsidRDefault="003A265F" w:rsidP="00025444">
      <w:pPr>
        <w:pStyle w:val="ListParagraph"/>
        <w:ind w:left="0"/>
        <w:rPr>
          <w:rFonts w:ascii="Times New Roman" w:eastAsia="Times New Roman" w:hAnsi="Times New Roman" w:cs="Times New Roman"/>
          <w:color w:val="222222"/>
        </w:rPr>
      </w:pPr>
    </w:p>
    <w:p w14:paraId="018C4AAC" w14:textId="41A874EF" w:rsidR="003A265F" w:rsidRDefault="003A265F" w:rsidP="00025444">
      <w:pPr>
        <w:pStyle w:val="ListParagraph"/>
        <w:ind w:left="0"/>
        <w:rPr>
          <w:rFonts w:ascii="Times New Roman" w:eastAsia="Times New Roman" w:hAnsi="Times New Roman" w:cs="Times New Roman"/>
          <w:color w:val="222222"/>
        </w:rPr>
      </w:pPr>
    </w:p>
    <w:p w14:paraId="769ABCE7" w14:textId="4414D7B2" w:rsidR="003A265F" w:rsidRDefault="003A265F" w:rsidP="00025444">
      <w:pPr>
        <w:pStyle w:val="ListParagraph"/>
        <w:ind w:left="0"/>
        <w:rPr>
          <w:rFonts w:ascii="Times New Roman" w:eastAsia="Times New Roman" w:hAnsi="Times New Roman" w:cs="Times New Roman"/>
          <w:color w:val="222222"/>
        </w:rPr>
      </w:pPr>
    </w:p>
    <w:p w14:paraId="6EA3A5FF" w14:textId="121D7914" w:rsidR="003A265F" w:rsidRDefault="003A265F" w:rsidP="00025444">
      <w:pPr>
        <w:pStyle w:val="ListParagraph"/>
        <w:ind w:left="0"/>
        <w:rPr>
          <w:rFonts w:ascii="Times New Roman" w:eastAsia="Times New Roman" w:hAnsi="Times New Roman" w:cs="Times New Roman"/>
          <w:color w:val="222222"/>
        </w:rPr>
      </w:pPr>
    </w:p>
    <w:p w14:paraId="38FBD364" w14:textId="77777777" w:rsidR="003A265F" w:rsidRDefault="003A265F" w:rsidP="00025444">
      <w:pPr>
        <w:pStyle w:val="ListParagraph"/>
        <w:ind w:left="0"/>
        <w:rPr>
          <w:rFonts w:ascii="Times New Roman" w:eastAsia="Times New Roman" w:hAnsi="Times New Roman" w:cs="Times New Roman"/>
          <w:color w:val="222222"/>
        </w:rPr>
      </w:pPr>
      <w:bookmarkStart w:id="24" w:name="_Hlk98857877"/>
    </w:p>
    <w:p w14:paraId="2B09C3E9" w14:textId="5CA3032B" w:rsidR="00025444" w:rsidRDefault="00025444" w:rsidP="00025444">
      <w:pPr>
        <w:pStyle w:val="ListParagraph"/>
        <w:ind w:left="0"/>
        <w:rPr>
          <w:rFonts w:ascii="Times New Roman" w:eastAsia="Times New Roman" w:hAnsi="Times New Roman" w:cs="Times New Roman"/>
          <w:b/>
          <w:bCs/>
          <w:i/>
          <w:iCs/>
          <w:color w:val="222222"/>
        </w:rPr>
      </w:pPr>
      <w:r>
        <w:rPr>
          <w:rFonts w:ascii="Times New Roman" w:eastAsia="Times New Roman" w:hAnsi="Times New Roman" w:cs="Times New Roman"/>
          <w:b/>
          <w:bCs/>
          <w:color w:val="222222"/>
        </w:rPr>
        <w:t xml:space="preserve">Supplementary Table </w:t>
      </w:r>
      <w:r w:rsidR="001A0348">
        <w:rPr>
          <w:rFonts w:ascii="Times New Roman" w:eastAsia="Times New Roman" w:hAnsi="Times New Roman" w:cs="Times New Roman"/>
          <w:b/>
          <w:bCs/>
          <w:color w:val="222222"/>
        </w:rPr>
        <w:t>9</w:t>
      </w:r>
      <w:r>
        <w:rPr>
          <w:rFonts w:ascii="Times New Roman" w:eastAsia="Times New Roman" w:hAnsi="Times New Roman" w:cs="Times New Roman"/>
          <w:b/>
          <w:bCs/>
          <w:color w:val="222222"/>
        </w:rPr>
        <w:t xml:space="preserve">. Character and character state coding for </w:t>
      </w:r>
      <w:r w:rsidRPr="003E2EE4">
        <w:rPr>
          <w:rFonts w:ascii="Times New Roman" w:eastAsia="Times New Roman" w:hAnsi="Times New Roman" w:cs="Times New Roman"/>
          <w:b/>
          <w:bCs/>
          <w:i/>
          <w:iCs/>
          <w:color w:val="222222"/>
        </w:rPr>
        <w:t>Funcusvermis</w:t>
      </w:r>
      <w:r w:rsidRPr="00771757">
        <w:rPr>
          <w:rFonts w:ascii="Times New Roman" w:eastAsia="Times New Roman" w:hAnsi="Times New Roman" w:cs="Times New Roman"/>
          <w:b/>
          <w:bCs/>
          <w:i/>
          <w:iCs/>
          <w:color w:val="222222"/>
        </w:rPr>
        <w:t xml:space="preserve"> gilmorei</w:t>
      </w:r>
      <w:bookmarkEnd w:id="24"/>
    </w:p>
    <w:p w14:paraId="74BD6FA5" w14:textId="77777777" w:rsidR="006E6B01" w:rsidRDefault="006E6B01" w:rsidP="00025444">
      <w:pPr>
        <w:pStyle w:val="ListParagraph"/>
        <w:ind w:left="0"/>
        <w:rPr>
          <w:rFonts w:ascii="Times New Roman" w:eastAsia="Times New Roman" w:hAnsi="Times New Roman" w:cs="Times New Roman"/>
          <w:b/>
          <w:bCs/>
          <w:i/>
          <w:iCs/>
          <w:color w:val="222222"/>
        </w:rPr>
      </w:pPr>
    </w:p>
    <w:tbl>
      <w:tblPr>
        <w:tblStyle w:val="TableGrid"/>
        <w:tblW w:w="9783" w:type="dxa"/>
        <w:tblLayout w:type="fixed"/>
        <w:tblLook w:val="04A0" w:firstRow="1" w:lastRow="0" w:firstColumn="1" w:lastColumn="0" w:noHBand="0" w:noVBand="1"/>
      </w:tblPr>
      <w:tblGrid>
        <w:gridCol w:w="1154"/>
        <w:gridCol w:w="3559"/>
        <w:gridCol w:w="5070"/>
      </w:tblGrid>
      <w:tr w:rsidR="00025444" w:rsidRPr="00572EDD" w14:paraId="658A7539" w14:textId="77777777" w:rsidTr="00A30351">
        <w:tc>
          <w:tcPr>
            <w:tcW w:w="1154" w:type="dxa"/>
          </w:tcPr>
          <w:p w14:paraId="30AD9B8F" w14:textId="77777777" w:rsidR="00025444" w:rsidRPr="00572EDD" w:rsidRDefault="00025444" w:rsidP="00A30351">
            <w:r w:rsidRPr="00572EDD">
              <w:t>Character Number</w:t>
            </w:r>
          </w:p>
        </w:tc>
        <w:tc>
          <w:tcPr>
            <w:tcW w:w="3559" w:type="dxa"/>
          </w:tcPr>
          <w:p w14:paraId="0F359598" w14:textId="77777777" w:rsidR="00025444" w:rsidRPr="00572EDD" w:rsidRDefault="00025444" w:rsidP="00A30351">
            <w:r w:rsidRPr="00572EDD">
              <w:t>Character Name</w:t>
            </w:r>
          </w:p>
        </w:tc>
        <w:tc>
          <w:tcPr>
            <w:tcW w:w="5070" w:type="dxa"/>
          </w:tcPr>
          <w:p w14:paraId="15B89720" w14:textId="77777777" w:rsidR="00025444" w:rsidRPr="00572EDD" w:rsidRDefault="00025444" w:rsidP="00A30351">
            <w:r w:rsidRPr="00572EDD">
              <w:t>Character State</w:t>
            </w:r>
          </w:p>
        </w:tc>
      </w:tr>
      <w:tr w:rsidR="00025444" w:rsidRPr="00572EDD" w14:paraId="5038DF80" w14:textId="77777777" w:rsidTr="00A30351">
        <w:tc>
          <w:tcPr>
            <w:tcW w:w="1154" w:type="dxa"/>
          </w:tcPr>
          <w:p w14:paraId="0BBFFA4E" w14:textId="77777777" w:rsidR="00025444" w:rsidRPr="00572EDD" w:rsidRDefault="00025444" w:rsidP="00A30351">
            <w:r>
              <w:t>76</w:t>
            </w:r>
          </w:p>
        </w:tc>
        <w:tc>
          <w:tcPr>
            <w:tcW w:w="3559" w:type="dxa"/>
          </w:tcPr>
          <w:p w14:paraId="5EF239B5" w14:textId="77777777" w:rsidR="00025444" w:rsidRPr="00572EDD" w:rsidRDefault="00025444" w:rsidP="00A30351">
            <w:r w:rsidRPr="00E45A8B">
              <w:rPr>
                <w:color w:val="222222"/>
              </w:rPr>
              <w:t>Dentition (marginal)</w:t>
            </w:r>
          </w:p>
        </w:tc>
        <w:tc>
          <w:tcPr>
            <w:tcW w:w="5070" w:type="dxa"/>
          </w:tcPr>
          <w:p w14:paraId="0D9CB783" w14:textId="77777777" w:rsidR="00025444" w:rsidRPr="00572EDD" w:rsidRDefault="00025444" w:rsidP="00A30351">
            <w:r>
              <w:t>1</w:t>
            </w:r>
            <w:r w:rsidRPr="00572EDD">
              <w:t>:</w:t>
            </w:r>
            <w:r w:rsidRPr="00E45A8B">
              <w:rPr>
                <w:color w:val="222222"/>
              </w:rPr>
              <w:t xml:space="preserve"> homogeneous, small teeth, equidistant</w:t>
            </w:r>
          </w:p>
        </w:tc>
      </w:tr>
      <w:tr w:rsidR="00025444" w:rsidRPr="00572EDD" w14:paraId="727A5196" w14:textId="77777777" w:rsidTr="00A30351">
        <w:tc>
          <w:tcPr>
            <w:tcW w:w="1154" w:type="dxa"/>
          </w:tcPr>
          <w:p w14:paraId="30E31335" w14:textId="77777777" w:rsidR="00025444" w:rsidRPr="00572EDD" w:rsidRDefault="00025444" w:rsidP="00A30351">
            <w:r>
              <w:t>77</w:t>
            </w:r>
          </w:p>
        </w:tc>
        <w:tc>
          <w:tcPr>
            <w:tcW w:w="3559" w:type="dxa"/>
          </w:tcPr>
          <w:p w14:paraId="1264ACB4" w14:textId="77777777" w:rsidR="00025444" w:rsidRPr="00572EDD" w:rsidRDefault="00025444" w:rsidP="00A30351">
            <w:pPr>
              <w:rPr>
                <w:color w:val="222222"/>
              </w:rPr>
            </w:pPr>
            <w:r w:rsidRPr="00E45A8B">
              <w:rPr>
                <w:color w:val="222222"/>
              </w:rPr>
              <w:t>Dentition (marginal, tooth bases).</w:t>
            </w:r>
          </w:p>
        </w:tc>
        <w:tc>
          <w:tcPr>
            <w:tcW w:w="5070" w:type="dxa"/>
          </w:tcPr>
          <w:p w14:paraId="3B421DB4" w14:textId="77777777" w:rsidR="00025444" w:rsidRPr="00572EDD" w:rsidRDefault="00025444" w:rsidP="00A30351">
            <w:r>
              <w:t xml:space="preserve">0: </w:t>
            </w:r>
            <w:r>
              <w:rPr>
                <w:color w:val="222222"/>
              </w:rPr>
              <w:t>r</w:t>
            </w:r>
            <w:r w:rsidRPr="00E45A8B">
              <w:rPr>
                <w:color w:val="222222"/>
              </w:rPr>
              <w:t>ound or oval</w:t>
            </w:r>
          </w:p>
        </w:tc>
      </w:tr>
      <w:tr w:rsidR="00025444" w:rsidRPr="00572EDD" w14:paraId="50FDE178" w14:textId="77777777" w:rsidTr="00A30351">
        <w:tc>
          <w:tcPr>
            <w:tcW w:w="1154" w:type="dxa"/>
          </w:tcPr>
          <w:p w14:paraId="5998E778" w14:textId="77777777" w:rsidR="00025444" w:rsidRPr="00572EDD" w:rsidRDefault="00025444" w:rsidP="00A30351">
            <w:r>
              <w:t>79</w:t>
            </w:r>
          </w:p>
        </w:tc>
        <w:tc>
          <w:tcPr>
            <w:tcW w:w="3559" w:type="dxa"/>
          </w:tcPr>
          <w:p w14:paraId="59F4C9B9" w14:textId="77777777" w:rsidR="00025444" w:rsidRPr="00572EDD" w:rsidRDefault="00025444" w:rsidP="00A30351">
            <w:proofErr w:type="spellStart"/>
            <w:r w:rsidRPr="00E45A8B">
              <w:rPr>
                <w:color w:val="222222"/>
              </w:rPr>
              <w:t>Pedicely</w:t>
            </w:r>
            <w:proofErr w:type="spellEnd"/>
          </w:p>
        </w:tc>
        <w:tc>
          <w:tcPr>
            <w:tcW w:w="5070" w:type="dxa"/>
          </w:tcPr>
          <w:p w14:paraId="1EEBA3F6" w14:textId="65356CA5" w:rsidR="00025444" w:rsidRPr="00572EDD" w:rsidRDefault="00025444" w:rsidP="00A30351">
            <w:r>
              <w:t>1</w:t>
            </w:r>
            <w:r w:rsidRPr="00572EDD">
              <w:t xml:space="preserve">: </w:t>
            </w:r>
            <w:r w:rsidRPr="00E45A8B">
              <w:rPr>
                <w:color w:val="222222"/>
              </w:rPr>
              <w:t xml:space="preserve">at least some teeth with two separate mineralization </w:t>
            </w:r>
            <w:r w:rsidR="00A30351" w:rsidRPr="00E45A8B">
              <w:rPr>
                <w:color w:val="222222"/>
              </w:rPr>
              <w:t>centers</w:t>
            </w:r>
            <w:r w:rsidRPr="00E45A8B">
              <w:rPr>
                <w:color w:val="222222"/>
              </w:rPr>
              <w:t xml:space="preserve"> (pedicellate)</w:t>
            </w:r>
          </w:p>
        </w:tc>
      </w:tr>
      <w:tr w:rsidR="00025444" w:rsidRPr="00572EDD" w14:paraId="5CCC1663" w14:textId="77777777" w:rsidTr="00A30351">
        <w:tc>
          <w:tcPr>
            <w:tcW w:w="1154" w:type="dxa"/>
          </w:tcPr>
          <w:p w14:paraId="36BF8EE9" w14:textId="77777777" w:rsidR="00025444" w:rsidRDefault="00025444" w:rsidP="00A30351">
            <w:r>
              <w:t>81</w:t>
            </w:r>
          </w:p>
        </w:tc>
        <w:tc>
          <w:tcPr>
            <w:tcW w:w="3559" w:type="dxa"/>
          </w:tcPr>
          <w:p w14:paraId="6DDA6412" w14:textId="77777777" w:rsidR="00025444" w:rsidRPr="00E45A8B" w:rsidRDefault="00025444" w:rsidP="00A30351">
            <w:pPr>
              <w:rPr>
                <w:color w:val="222222"/>
              </w:rPr>
            </w:pPr>
            <w:proofErr w:type="spellStart"/>
            <w:r>
              <w:rPr>
                <w:color w:val="222222"/>
              </w:rPr>
              <w:t>Labyrinthodonty</w:t>
            </w:r>
            <w:proofErr w:type="spellEnd"/>
          </w:p>
        </w:tc>
        <w:tc>
          <w:tcPr>
            <w:tcW w:w="5070" w:type="dxa"/>
          </w:tcPr>
          <w:p w14:paraId="6E3E082A" w14:textId="77777777" w:rsidR="00025444" w:rsidRDefault="00025444" w:rsidP="00A30351">
            <w:r>
              <w:t>1: never labyrinthodont</w:t>
            </w:r>
          </w:p>
        </w:tc>
      </w:tr>
      <w:tr w:rsidR="00025444" w:rsidRPr="00572EDD" w14:paraId="3D04B111" w14:textId="77777777" w:rsidTr="00A30351">
        <w:tc>
          <w:tcPr>
            <w:tcW w:w="1154" w:type="dxa"/>
          </w:tcPr>
          <w:p w14:paraId="1C83B9CB" w14:textId="77777777" w:rsidR="00025444" w:rsidRPr="00572EDD" w:rsidRDefault="00025444" w:rsidP="00A30351">
            <w:r>
              <w:t>136</w:t>
            </w:r>
          </w:p>
        </w:tc>
        <w:tc>
          <w:tcPr>
            <w:tcW w:w="3559" w:type="dxa"/>
          </w:tcPr>
          <w:p w14:paraId="047B74D2" w14:textId="77777777" w:rsidR="00025444" w:rsidRPr="00572EDD" w:rsidRDefault="00025444" w:rsidP="00A30351">
            <w:r w:rsidRPr="00E45A8B">
              <w:rPr>
                <w:color w:val="222222"/>
              </w:rPr>
              <w:t>Postglenoid area</w:t>
            </w:r>
          </w:p>
        </w:tc>
        <w:tc>
          <w:tcPr>
            <w:tcW w:w="5070" w:type="dxa"/>
          </w:tcPr>
          <w:p w14:paraId="0F3D4820" w14:textId="77777777" w:rsidR="00025444" w:rsidRPr="00572EDD" w:rsidRDefault="00025444" w:rsidP="00A30351">
            <w:r>
              <w:t>0</w:t>
            </w:r>
            <w:r w:rsidRPr="00572EDD">
              <w:t xml:space="preserve">: </w:t>
            </w:r>
            <w:r>
              <w:rPr>
                <w:color w:val="222222"/>
              </w:rPr>
              <w:t>a</w:t>
            </w:r>
            <w:r w:rsidRPr="00E45A8B">
              <w:rPr>
                <w:color w:val="222222"/>
              </w:rPr>
              <w:t>bsent or present as very faint outgrowth</w:t>
            </w:r>
          </w:p>
        </w:tc>
      </w:tr>
      <w:tr w:rsidR="00025444" w:rsidRPr="00572EDD" w14:paraId="2231D4BF" w14:textId="77777777" w:rsidTr="00A30351">
        <w:tc>
          <w:tcPr>
            <w:tcW w:w="1154" w:type="dxa"/>
          </w:tcPr>
          <w:p w14:paraId="7809B0EA" w14:textId="77777777" w:rsidR="00025444" w:rsidRPr="00572EDD" w:rsidRDefault="00025444" w:rsidP="00A30351">
            <w:r>
              <w:t>138</w:t>
            </w:r>
          </w:p>
        </w:tc>
        <w:tc>
          <w:tcPr>
            <w:tcW w:w="3559" w:type="dxa"/>
          </w:tcPr>
          <w:p w14:paraId="26D4F5BF" w14:textId="77777777" w:rsidR="00025444" w:rsidRPr="00572EDD" w:rsidRDefault="00025444" w:rsidP="00A30351">
            <w:r w:rsidRPr="00E45A8B">
              <w:rPr>
                <w:color w:val="222222"/>
              </w:rPr>
              <w:t>Postglenoid area (dorsal)</w:t>
            </w:r>
          </w:p>
        </w:tc>
        <w:tc>
          <w:tcPr>
            <w:tcW w:w="5070" w:type="dxa"/>
          </w:tcPr>
          <w:p w14:paraId="52E47A3A" w14:textId="77777777" w:rsidR="00025444" w:rsidRPr="00572EDD" w:rsidRDefault="00025444" w:rsidP="00A30351">
            <w:r>
              <w:t>0</w:t>
            </w:r>
            <w:r w:rsidRPr="00572EDD">
              <w:t xml:space="preserve">: </w:t>
            </w:r>
            <w:r>
              <w:rPr>
                <w:color w:val="222222"/>
              </w:rPr>
              <w:t>p</w:t>
            </w:r>
            <w:r w:rsidRPr="00E45A8B">
              <w:rPr>
                <w:color w:val="222222"/>
              </w:rPr>
              <w:t>lain</w:t>
            </w:r>
          </w:p>
        </w:tc>
      </w:tr>
      <w:tr w:rsidR="00025444" w:rsidRPr="00572EDD" w14:paraId="320FB4B3" w14:textId="77777777" w:rsidTr="00A30351">
        <w:tc>
          <w:tcPr>
            <w:tcW w:w="1154" w:type="dxa"/>
          </w:tcPr>
          <w:p w14:paraId="6CBB5669" w14:textId="77777777" w:rsidR="00025444" w:rsidRPr="00572EDD" w:rsidRDefault="00025444" w:rsidP="00A30351">
            <w:r>
              <w:t>139</w:t>
            </w:r>
          </w:p>
        </w:tc>
        <w:tc>
          <w:tcPr>
            <w:tcW w:w="3559" w:type="dxa"/>
          </w:tcPr>
          <w:p w14:paraId="69EEEEBB" w14:textId="77777777" w:rsidR="00025444" w:rsidRPr="00572EDD" w:rsidRDefault="00025444" w:rsidP="00A30351">
            <w:r>
              <w:t>Hamate process</w:t>
            </w:r>
          </w:p>
        </w:tc>
        <w:tc>
          <w:tcPr>
            <w:tcW w:w="5070" w:type="dxa"/>
          </w:tcPr>
          <w:p w14:paraId="0E496E0E" w14:textId="77777777" w:rsidR="00025444" w:rsidRPr="00572EDD" w:rsidRDefault="00025444" w:rsidP="00A30351">
            <w:r>
              <w:t>1</w:t>
            </w:r>
            <w:r w:rsidRPr="00572EDD">
              <w:t xml:space="preserve">: </w:t>
            </w:r>
            <w:r w:rsidRPr="00E45A8B">
              <w:rPr>
                <w:color w:val="222222"/>
              </w:rPr>
              <w:t>present but lower than postglenoid portion is long</w:t>
            </w:r>
          </w:p>
        </w:tc>
      </w:tr>
      <w:tr w:rsidR="00025444" w:rsidRPr="00572EDD" w14:paraId="263E72FF" w14:textId="77777777" w:rsidTr="00A30351">
        <w:tc>
          <w:tcPr>
            <w:tcW w:w="1154" w:type="dxa"/>
          </w:tcPr>
          <w:p w14:paraId="1F9417E9" w14:textId="77777777" w:rsidR="00025444" w:rsidRPr="00572EDD" w:rsidRDefault="00025444" w:rsidP="00A30351">
            <w:r>
              <w:t>140</w:t>
            </w:r>
          </w:p>
        </w:tc>
        <w:tc>
          <w:tcPr>
            <w:tcW w:w="3559" w:type="dxa"/>
          </w:tcPr>
          <w:p w14:paraId="0F661A2B" w14:textId="77777777" w:rsidR="00025444" w:rsidRPr="00572EDD" w:rsidRDefault="00025444" w:rsidP="00A30351">
            <w:r w:rsidRPr="00E45A8B">
              <w:rPr>
                <w:color w:val="222222"/>
              </w:rPr>
              <w:t>Preglenoid process</w:t>
            </w:r>
          </w:p>
        </w:tc>
        <w:tc>
          <w:tcPr>
            <w:tcW w:w="5070" w:type="dxa"/>
          </w:tcPr>
          <w:p w14:paraId="5B0692E6" w14:textId="77777777" w:rsidR="00025444" w:rsidRPr="00572EDD" w:rsidRDefault="00025444" w:rsidP="00A30351">
            <w:r w:rsidRPr="00572EDD">
              <w:t xml:space="preserve">0: </w:t>
            </w:r>
            <w:r>
              <w:rPr>
                <w:color w:val="222222"/>
              </w:rPr>
              <w:t>l</w:t>
            </w:r>
            <w:r w:rsidRPr="00E45A8B">
              <w:rPr>
                <w:color w:val="222222"/>
              </w:rPr>
              <w:t>abial side of surangular with straight dorsal margin anterior to</w:t>
            </w:r>
            <w:r>
              <w:rPr>
                <w:color w:val="222222"/>
              </w:rPr>
              <w:t xml:space="preserve"> </w:t>
            </w:r>
            <w:r w:rsidRPr="00C74987">
              <w:rPr>
                <w:color w:val="222222"/>
              </w:rPr>
              <w:t>glenoid</w:t>
            </w:r>
          </w:p>
        </w:tc>
      </w:tr>
      <w:tr w:rsidR="00025444" w:rsidRPr="00572EDD" w14:paraId="2F0B9064" w14:textId="77777777" w:rsidTr="00A30351">
        <w:tc>
          <w:tcPr>
            <w:tcW w:w="1154" w:type="dxa"/>
          </w:tcPr>
          <w:p w14:paraId="44CE7AA0" w14:textId="77777777" w:rsidR="00025444" w:rsidRPr="00572EDD" w:rsidRDefault="00025444" w:rsidP="00A30351">
            <w:pPr>
              <w:tabs>
                <w:tab w:val="left" w:pos="838"/>
              </w:tabs>
            </w:pPr>
            <w:r>
              <w:t>141</w:t>
            </w:r>
          </w:p>
        </w:tc>
        <w:tc>
          <w:tcPr>
            <w:tcW w:w="3559" w:type="dxa"/>
          </w:tcPr>
          <w:p w14:paraId="40432BBC" w14:textId="77777777" w:rsidR="00025444" w:rsidRPr="00572EDD" w:rsidRDefault="00025444" w:rsidP="00A30351">
            <w:r w:rsidRPr="00E45A8B">
              <w:rPr>
                <w:color w:val="222222"/>
              </w:rPr>
              <w:t>Meckelian window</w:t>
            </w:r>
          </w:p>
        </w:tc>
        <w:tc>
          <w:tcPr>
            <w:tcW w:w="5070" w:type="dxa"/>
          </w:tcPr>
          <w:p w14:paraId="6BF19C71" w14:textId="77777777" w:rsidR="00025444" w:rsidRPr="00572EDD" w:rsidRDefault="00025444" w:rsidP="00A30351">
            <w:pPr>
              <w:tabs>
                <w:tab w:val="left" w:pos="741"/>
              </w:tabs>
            </w:pPr>
            <w:r>
              <w:t>0</w:t>
            </w:r>
            <w:r w:rsidRPr="00572EDD">
              <w:t xml:space="preserve">: </w:t>
            </w:r>
            <w:r>
              <w:rPr>
                <w:color w:val="222222"/>
              </w:rPr>
              <w:t>s</w:t>
            </w:r>
            <w:r w:rsidRPr="00E45A8B">
              <w:rPr>
                <w:color w:val="222222"/>
              </w:rPr>
              <w:t>mall round or oval opening</w:t>
            </w:r>
          </w:p>
        </w:tc>
      </w:tr>
      <w:tr w:rsidR="00025444" w:rsidRPr="00572EDD" w14:paraId="1A63D9BE" w14:textId="77777777" w:rsidTr="00A30351">
        <w:tc>
          <w:tcPr>
            <w:tcW w:w="1154" w:type="dxa"/>
          </w:tcPr>
          <w:p w14:paraId="69AF112F" w14:textId="77777777" w:rsidR="00025444" w:rsidRPr="00572EDD" w:rsidRDefault="00025444" w:rsidP="00A30351">
            <w:r>
              <w:t>142</w:t>
            </w:r>
          </w:p>
        </w:tc>
        <w:tc>
          <w:tcPr>
            <w:tcW w:w="3559" w:type="dxa"/>
          </w:tcPr>
          <w:p w14:paraId="7C333580" w14:textId="77777777" w:rsidR="00025444" w:rsidRPr="00572EDD" w:rsidRDefault="00025444" w:rsidP="00A30351">
            <w:r w:rsidRPr="00E45A8B">
              <w:rPr>
                <w:color w:val="222222"/>
              </w:rPr>
              <w:t>Symphyseal teeth</w:t>
            </w:r>
          </w:p>
        </w:tc>
        <w:tc>
          <w:tcPr>
            <w:tcW w:w="5070" w:type="dxa"/>
          </w:tcPr>
          <w:p w14:paraId="53987240" w14:textId="77777777" w:rsidR="00025444" w:rsidRPr="00572EDD" w:rsidRDefault="00025444" w:rsidP="00A30351">
            <w:r>
              <w:t>2</w:t>
            </w:r>
            <w:r w:rsidRPr="00572EDD">
              <w:t xml:space="preserve">: </w:t>
            </w:r>
            <w:r w:rsidRPr="00E45A8B">
              <w:rPr>
                <w:color w:val="222222"/>
              </w:rPr>
              <w:t>a row aligned parallel to the labial tooth row</w:t>
            </w:r>
          </w:p>
        </w:tc>
      </w:tr>
      <w:tr w:rsidR="00025444" w:rsidRPr="00572EDD" w14:paraId="781148FB" w14:textId="77777777" w:rsidTr="00A30351">
        <w:tc>
          <w:tcPr>
            <w:tcW w:w="1154" w:type="dxa"/>
          </w:tcPr>
          <w:p w14:paraId="03A5155C" w14:textId="77777777" w:rsidR="00025444" w:rsidRDefault="00025444" w:rsidP="00A30351">
            <w:r>
              <w:t>164</w:t>
            </w:r>
          </w:p>
        </w:tc>
        <w:tc>
          <w:tcPr>
            <w:tcW w:w="3559" w:type="dxa"/>
          </w:tcPr>
          <w:p w14:paraId="6F311AE6" w14:textId="77777777" w:rsidR="00025444" w:rsidRPr="00572EDD" w:rsidRDefault="00025444" w:rsidP="00A30351">
            <w:r w:rsidRPr="00E45A8B">
              <w:rPr>
                <w:color w:val="222222"/>
              </w:rPr>
              <w:t>Pleurocentrum (presence)</w:t>
            </w:r>
          </w:p>
        </w:tc>
        <w:tc>
          <w:tcPr>
            <w:tcW w:w="5070" w:type="dxa"/>
          </w:tcPr>
          <w:p w14:paraId="49E1D766" w14:textId="77777777" w:rsidR="00025444" w:rsidRPr="00572EDD" w:rsidRDefault="00025444" w:rsidP="00A30351">
            <w:r>
              <w:rPr>
                <w:color w:val="222222"/>
              </w:rPr>
              <w:t>0</w:t>
            </w:r>
            <w:r w:rsidRPr="00572EDD">
              <w:rPr>
                <w:color w:val="222222"/>
              </w:rPr>
              <w:t xml:space="preserve">: </w:t>
            </w:r>
            <w:r>
              <w:rPr>
                <w:color w:val="222222"/>
              </w:rPr>
              <w:t>o</w:t>
            </w:r>
            <w:r w:rsidRPr="00E45A8B">
              <w:rPr>
                <w:color w:val="222222"/>
              </w:rPr>
              <w:t>ssified</w:t>
            </w:r>
          </w:p>
        </w:tc>
      </w:tr>
      <w:tr w:rsidR="00025444" w:rsidRPr="00572EDD" w14:paraId="6EF8500C" w14:textId="77777777" w:rsidTr="00A30351">
        <w:tc>
          <w:tcPr>
            <w:tcW w:w="1154" w:type="dxa"/>
          </w:tcPr>
          <w:p w14:paraId="4A29B8B9" w14:textId="77777777" w:rsidR="00025444" w:rsidRDefault="00025444" w:rsidP="00A30351">
            <w:r>
              <w:t>166</w:t>
            </w:r>
          </w:p>
        </w:tc>
        <w:tc>
          <w:tcPr>
            <w:tcW w:w="3559" w:type="dxa"/>
          </w:tcPr>
          <w:p w14:paraId="3DA06EA5" w14:textId="77777777" w:rsidR="00025444" w:rsidRPr="00572EDD" w:rsidRDefault="00025444" w:rsidP="00A30351">
            <w:r w:rsidRPr="00E45A8B">
              <w:rPr>
                <w:color w:val="222222"/>
              </w:rPr>
              <w:t>Pleurocentrum (ventral extension)</w:t>
            </w:r>
          </w:p>
        </w:tc>
        <w:tc>
          <w:tcPr>
            <w:tcW w:w="5070" w:type="dxa"/>
          </w:tcPr>
          <w:p w14:paraId="4EC176D3" w14:textId="1F91147D" w:rsidR="00025444" w:rsidRDefault="00025444" w:rsidP="00A30351">
            <w:pPr>
              <w:rPr>
                <w:color w:val="222222"/>
              </w:rPr>
            </w:pPr>
            <w:r>
              <w:rPr>
                <w:color w:val="222222"/>
              </w:rPr>
              <w:t>2:</w:t>
            </w:r>
            <w:r w:rsidRPr="00E45A8B">
              <w:rPr>
                <w:color w:val="222222"/>
              </w:rPr>
              <w:t xml:space="preserve"> ventrally fused to form a single </w:t>
            </w:r>
            <w:r w:rsidR="00A30351" w:rsidRPr="00E45A8B">
              <w:rPr>
                <w:color w:val="222222"/>
              </w:rPr>
              <w:t>cylindrical</w:t>
            </w:r>
            <w:r w:rsidRPr="00E45A8B">
              <w:rPr>
                <w:color w:val="222222"/>
              </w:rPr>
              <w:t xml:space="preserve"> element</w:t>
            </w:r>
          </w:p>
        </w:tc>
      </w:tr>
      <w:tr w:rsidR="00025444" w:rsidRPr="00572EDD" w14:paraId="489743D5" w14:textId="77777777" w:rsidTr="00A30351">
        <w:tc>
          <w:tcPr>
            <w:tcW w:w="1154" w:type="dxa"/>
          </w:tcPr>
          <w:p w14:paraId="4723BC91" w14:textId="77777777" w:rsidR="00025444" w:rsidRPr="00572EDD" w:rsidRDefault="00025444" w:rsidP="00A30351">
            <w:r>
              <w:t>201</w:t>
            </w:r>
          </w:p>
        </w:tc>
        <w:tc>
          <w:tcPr>
            <w:tcW w:w="3559" w:type="dxa"/>
          </w:tcPr>
          <w:p w14:paraId="4105E935" w14:textId="77777777" w:rsidR="00025444" w:rsidRPr="00572EDD" w:rsidRDefault="00025444" w:rsidP="00A30351">
            <w:r w:rsidRPr="00E45A8B">
              <w:rPr>
                <w:color w:val="222222"/>
              </w:rPr>
              <w:t>Femur (trochanter)</w:t>
            </w:r>
          </w:p>
        </w:tc>
        <w:tc>
          <w:tcPr>
            <w:tcW w:w="5070" w:type="dxa"/>
          </w:tcPr>
          <w:p w14:paraId="1AD06AA0" w14:textId="77777777" w:rsidR="00025444" w:rsidRPr="00572EDD" w:rsidRDefault="00025444" w:rsidP="00A30351">
            <w:r w:rsidRPr="00572EDD">
              <w:t xml:space="preserve">0: </w:t>
            </w:r>
            <w:r>
              <w:rPr>
                <w:color w:val="222222"/>
              </w:rPr>
              <w:t>i</w:t>
            </w:r>
            <w:r w:rsidRPr="00E45A8B">
              <w:rPr>
                <w:color w:val="222222"/>
              </w:rPr>
              <w:t>nternal trochanter present as discrete process</w:t>
            </w:r>
          </w:p>
        </w:tc>
      </w:tr>
      <w:tr w:rsidR="00025444" w:rsidRPr="00572EDD" w14:paraId="65CF26EC" w14:textId="77777777" w:rsidTr="00A30351">
        <w:tc>
          <w:tcPr>
            <w:tcW w:w="1154" w:type="dxa"/>
          </w:tcPr>
          <w:p w14:paraId="6E1215B2" w14:textId="77777777" w:rsidR="00025444" w:rsidRPr="00572EDD" w:rsidRDefault="00025444" w:rsidP="00A30351">
            <w:r>
              <w:t>239</w:t>
            </w:r>
          </w:p>
        </w:tc>
        <w:tc>
          <w:tcPr>
            <w:tcW w:w="3559" w:type="dxa"/>
          </w:tcPr>
          <w:p w14:paraId="46D74D44" w14:textId="77777777" w:rsidR="00025444" w:rsidRPr="00572EDD" w:rsidRDefault="00025444" w:rsidP="00A30351">
            <w:r w:rsidRPr="00E45A8B">
              <w:rPr>
                <w:color w:val="222222"/>
              </w:rPr>
              <w:t>Teeth laterally compressed</w:t>
            </w:r>
          </w:p>
        </w:tc>
        <w:tc>
          <w:tcPr>
            <w:tcW w:w="5070" w:type="dxa"/>
          </w:tcPr>
          <w:p w14:paraId="4CBC106E" w14:textId="77777777" w:rsidR="00025444" w:rsidRPr="00572EDD" w:rsidRDefault="00025444" w:rsidP="00A30351">
            <w:r>
              <w:t>0: no</w:t>
            </w:r>
          </w:p>
        </w:tc>
      </w:tr>
      <w:tr w:rsidR="00025444" w:rsidRPr="00572EDD" w14:paraId="52344498" w14:textId="77777777" w:rsidTr="00A30351">
        <w:tc>
          <w:tcPr>
            <w:tcW w:w="1154" w:type="dxa"/>
          </w:tcPr>
          <w:p w14:paraId="57151934" w14:textId="77777777" w:rsidR="00025444" w:rsidRDefault="00025444" w:rsidP="00A30351">
            <w:r>
              <w:t>247</w:t>
            </w:r>
          </w:p>
        </w:tc>
        <w:tc>
          <w:tcPr>
            <w:tcW w:w="3559" w:type="dxa"/>
          </w:tcPr>
          <w:p w14:paraId="5F74C830" w14:textId="77777777" w:rsidR="00025444" w:rsidRPr="004777E3" w:rsidRDefault="00025444" w:rsidP="00A30351">
            <w:pPr>
              <w:rPr>
                <w:color w:val="222222"/>
              </w:rPr>
            </w:pPr>
            <w:r w:rsidRPr="00E45A8B">
              <w:rPr>
                <w:color w:val="222222"/>
              </w:rPr>
              <w:t>Denticles on palatines</w:t>
            </w:r>
          </w:p>
        </w:tc>
        <w:tc>
          <w:tcPr>
            <w:tcW w:w="5070" w:type="dxa"/>
          </w:tcPr>
          <w:p w14:paraId="1E30D3A6" w14:textId="77777777" w:rsidR="00025444" w:rsidRDefault="00025444" w:rsidP="00A30351">
            <w:r>
              <w:t>1: absent</w:t>
            </w:r>
          </w:p>
        </w:tc>
      </w:tr>
      <w:tr w:rsidR="00025444" w:rsidRPr="00572EDD" w14:paraId="21ECF952" w14:textId="77777777" w:rsidTr="00A30351">
        <w:tc>
          <w:tcPr>
            <w:tcW w:w="1154" w:type="dxa"/>
          </w:tcPr>
          <w:p w14:paraId="3A386B63" w14:textId="77777777" w:rsidR="00025444" w:rsidRPr="00572EDD" w:rsidRDefault="00025444" w:rsidP="00A30351">
            <w:r>
              <w:t>254</w:t>
            </w:r>
          </w:p>
        </w:tc>
        <w:tc>
          <w:tcPr>
            <w:tcW w:w="3559" w:type="dxa"/>
          </w:tcPr>
          <w:p w14:paraId="217C8B96" w14:textId="77777777" w:rsidR="00025444" w:rsidRPr="00572EDD" w:rsidRDefault="00025444" w:rsidP="00A30351">
            <w:r>
              <w:t>Dentary</w:t>
            </w:r>
          </w:p>
        </w:tc>
        <w:tc>
          <w:tcPr>
            <w:tcW w:w="5070" w:type="dxa"/>
          </w:tcPr>
          <w:p w14:paraId="4203AC12" w14:textId="77777777" w:rsidR="00025444" w:rsidRPr="00572EDD" w:rsidRDefault="00025444" w:rsidP="00A30351">
            <w:r>
              <w:t>0: long</w:t>
            </w:r>
          </w:p>
        </w:tc>
      </w:tr>
      <w:tr w:rsidR="00025444" w:rsidRPr="00572EDD" w14:paraId="518E13B8" w14:textId="77777777" w:rsidTr="00A30351">
        <w:tc>
          <w:tcPr>
            <w:tcW w:w="1154" w:type="dxa"/>
          </w:tcPr>
          <w:p w14:paraId="1B257CE8" w14:textId="77777777" w:rsidR="00025444" w:rsidRPr="00572EDD" w:rsidRDefault="00025444" w:rsidP="00A30351">
            <w:r>
              <w:t>255</w:t>
            </w:r>
          </w:p>
        </w:tc>
        <w:tc>
          <w:tcPr>
            <w:tcW w:w="3559" w:type="dxa"/>
          </w:tcPr>
          <w:p w14:paraId="08359A04" w14:textId="77777777" w:rsidR="00025444" w:rsidRPr="00572EDD" w:rsidRDefault="00025444" w:rsidP="00A30351">
            <w:r w:rsidRPr="00E45A8B">
              <w:rPr>
                <w:color w:val="222222"/>
              </w:rPr>
              <w:t>Dentary forms coronoid process</w:t>
            </w:r>
          </w:p>
        </w:tc>
        <w:tc>
          <w:tcPr>
            <w:tcW w:w="5070" w:type="dxa"/>
          </w:tcPr>
          <w:p w14:paraId="0B6234BE" w14:textId="77777777" w:rsidR="00025444" w:rsidRPr="00062F7E" w:rsidRDefault="00025444" w:rsidP="00A30351">
            <w:pPr>
              <w:rPr>
                <w:color w:val="222222"/>
              </w:rPr>
            </w:pPr>
            <w:r>
              <w:t>0: absent</w:t>
            </w:r>
          </w:p>
        </w:tc>
      </w:tr>
      <w:tr w:rsidR="00025444" w:rsidRPr="00572EDD" w14:paraId="4AF77410" w14:textId="77777777" w:rsidTr="00A30351">
        <w:tc>
          <w:tcPr>
            <w:tcW w:w="1154" w:type="dxa"/>
          </w:tcPr>
          <w:p w14:paraId="52976A9C" w14:textId="77777777" w:rsidR="00025444" w:rsidRPr="00572EDD" w:rsidRDefault="00025444" w:rsidP="00A30351">
            <w:r>
              <w:t>258</w:t>
            </w:r>
          </w:p>
        </w:tc>
        <w:tc>
          <w:tcPr>
            <w:tcW w:w="3559" w:type="dxa"/>
          </w:tcPr>
          <w:p w14:paraId="15E1CAAD" w14:textId="77777777" w:rsidR="00025444" w:rsidRPr="00572EDD" w:rsidRDefault="00025444" w:rsidP="00A30351">
            <w:r w:rsidRPr="00E45A8B">
              <w:rPr>
                <w:color w:val="222222"/>
              </w:rPr>
              <w:t xml:space="preserve">Number of </w:t>
            </w:r>
            <w:proofErr w:type="spellStart"/>
            <w:r w:rsidRPr="00E45A8B">
              <w:rPr>
                <w:color w:val="222222"/>
              </w:rPr>
              <w:t>splenials</w:t>
            </w:r>
            <w:proofErr w:type="spellEnd"/>
          </w:p>
        </w:tc>
        <w:tc>
          <w:tcPr>
            <w:tcW w:w="5070" w:type="dxa"/>
          </w:tcPr>
          <w:p w14:paraId="122906D2" w14:textId="77777777" w:rsidR="00025444" w:rsidRPr="00572EDD" w:rsidRDefault="00025444" w:rsidP="00A30351">
            <w:r>
              <w:t>2</w:t>
            </w:r>
            <w:r w:rsidRPr="00572EDD">
              <w:t xml:space="preserve">: </w:t>
            </w:r>
            <w:r>
              <w:t>0</w:t>
            </w:r>
          </w:p>
        </w:tc>
      </w:tr>
      <w:tr w:rsidR="00025444" w:rsidRPr="00572EDD" w14:paraId="6A69BE3B" w14:textId="77777777" w:rsidTr="00A30351">
        <w:tc>
          <w:tcPr>
            <w:tcW w:w="1154" w:type="dxa"/>
          </w:tcPr>
          <w:p w14:paraId="122C787C" w14:textId="77777777" w:rsidR="00025444" w:rsidRPr="00572EDD" w:rsidRDefault="00025444" w:rsidP="00A30351">
            <w:r>
              <w:t>260</w:t>
            </w:r>
          </w:p>
        </w:tc>
        <w:tc>
          <w:tcPr>
            <w:tcW w:w="3559" w:type="dxa"/>
          </w:tcPr>
          <w:p w14:paraId="4F16EB63" w14:textId="77777777" w:rsidR="00025444" w:rsidRPr="00572EDD" w:rsidRDefault="00025444" w:rsidP="00A30351">
            <w:r w:rsidRPr="00E45A8B">
              <w:rPr>
                <w:color w:val="222222"/>
              </w:rPr>
              <w:t>Meckelian fossae</w:t>
            </w:r>
            <w:r w:rsidRPr="00572EDD">
              <w:t xml:space="preserve"> </w:t>
            </w:r>
          </w:p>
        </w:tc>
        <w:tc>
          <w:tcPr>
            <w:tcW w:w="5070" w:type="dxa"/>
          </w:tcPr>
          <w:p w14:paraId="3D51139A" w14:textId="77777777" w:rsidR="00025444" w:rsidRPr="00572EDD" w:rsidRDefault="00025444" w:rsidP="00A30351">
            <w:r>
              <w:t>1: 1</w:t>
            </w:r>
          </w:p>
        </w:tc>
      </w:tr>
      <w:tr w:rsidR="00025444" w:rsidRPr="00572EDD" w14:paraId="1FDAABBB" w14:textId="77777777" w:rsidTr="00A30351">
        <w:tc>
          <w:tcPr>
            <w:tcW w:w="1154" w:type="dxa"/>
          </w:tcPr>
          <w:p w14:paraId="75B3BB9E" w14:textId="77777777" w:rsidR="00025444" w:rsidRPr="00572EDD" w:rsidRDefault="00025444" w:rsidP="00A30351">
            <w:r>
              <w:t>263</w:t>
            </w:r>
          </w:p>
        </w:tc>
        <w:tc>
          <w:tcPr>
            <w:tcW w:w="3559" w:type="dxa"/>
          </w:tcPr>
          <w:p w14:paraId="0B31829B" w14:textId="77777777" w:rsidR="00025444" w:rsidRPr="00C41FA6" w:rsidRDefault="00025444" w:rsidP="00A30351">
            <w:r w:rsidRPr="00E45A8B">
              <w:rPr>
                <w:color w:val="222222"/>
              </w:rPr>
              <w:t>Articulation to tooth row</w:t>
            </w:r>
          </w:p>
        </w:tc>
        <w:tc>
          <w:tcPr>
            <w:tcW w:w="5070" w:type="dxa"/>
          </w:tcPr>
          <w:p w14:paraId="056C1E7F" w14:textId="77777777" w:rsidR="00025444" w:rsidRPr="00C41FA6" w:rsidRDefault="00025444" w:rsidP="00A30351">
            <w:r>
              <w:t>0</w:t>
            </w:r>
            <w:r w:rsidRPr="00062F7E">
              <w:t xml:space="preserve">: </w:t>
            </w:r>
            <w:r>
              <w:t>above</w:t>
            </w:r>
          </w:p>
        </w:tc>
      </w:tr>
      <w:tr w:rsidR="00025444" w:rsidRPr="00572EDD" w14:paraId="51C9FDB0" w14:textId="77777777" w:rsidTr="00A30351">
        <w:tc>
          <w:tcPr>
            <w:tcW w:w="1154" w:type="dxa"/>
          </w:tcPr>
          <w:p w14:paraId="22FAE440" w14:textId="77777777" w:rsidR="00025444" w:rsidRPr="00572EDD" w:rsidRDefault="00025444" w:rsidP="00A30351">
            <w:r>
              <w:t>266</w:t>
            </w:r>
          </w:p>
        </w:tc>
        <w:tc>
          <w:tcPr>
            <w:tcW w:w="3559" w:type="dxa"/>
          </w:tcPr>
          <w:p w14:paraId="0E133163" w14:textId="77777777" w:rsidR="00025444" w:rsidRPr="00662B68" w:rsidRDefault="00025444" w:rsidP="00A30351">
            <w:pPr>
              <w:rPr>
                <w:color w:val="222222"/>
              </w:rPr>
            </w:pPr>
            <w:r w:rsidRPr="00E45A8B">
              <w:rPr>
                <w:color w:val="222222"/>
              </w:rPr>
              <w:t>Coronoid teeth</w:t>
            </w:r>
          </w:p>
        </w:tc>
        <w:tc>
          <w:tcPr>
            <w:tcW w:w="5070" w:type="dxa"/>
          </w:tcPr>
          <w:p w14:paraId="115A570B" w14:textId="77777777" w:rsidR="00025444" w:rsidRPr="00062F7E" w:rsidRDefault="00025444" w:rsidP="00A30351">
            <w:r w:rsidRPr="00062F7E">
              <w:t xml:space="preserve">0: </w:t>
            </w:r>
            <w:r>
              <w:t>present</w:t>
            </w:r>
          </w:p>
        </w:tc>
      </w:tr>
      <w:tr w:rsidR="00025444" w:rsidRPr="00572EDD" w14:paraId="7A790EDE" w14:textId="77777777" w:rsidTr="00A30351">
        <w:tc>
          <w:tcPr>
            <w:tcW w:w="1154" w:type="dxa"/>
          </w:tcPr>
          <w:p w14:paraId="4D1627B9" w14:textId="77777777" w:rsidR="00025444" w:rsidRPr="00572EDD" w:rsidRDefault="00025444" w:rsidP="00A30351">
            <w:r>
              <w:t>269</w:t>
            </w:r>
          </w:p>
        </w:tc>
        <w:tc>
          <w:tcPr>
            <w:tcW w:w="3559" w:type="dxa"/>
          </w:tcPr>
          <w:p w14:paraId="65FEB56D" w14:textId="77777777" w:rsidR="00025444" w:rsidRPr="00771757" w:rsidRDefault="00025444" w:rsidP="00A30351">
            <w:pPr>
              <w:rPr>
                <w:highlight w:val="yellow"/>
              </w:rPr>
            </w:pPr>
            <w:r w:rsidRPr="00E45A8B">
              <w:rPr>
                <w:color w:val="222222"/>
              </w:rPr>
              <w:t>Jaw sculpture</w:t>
            </w:r>
          </w:p>
        </w:tc>
        <w:tc>
          <w:tcPr>
            <w:tcW w:w="5070" w:type="dxa"/>
          </w:tcPr>
          <w:p w14:paraId="778312E7" w14:textId="77777777" w:rsidR="00025444" w:rsidRPr="00771757" w:rsidRDefault="00025444" w:rsidP="00A30351">
            <w:pPr>
              <w:rPr>
                <w:highlight w:val="yellow"/>
              </w:rPr>
            </w:pPr>
            <w:r>
              <w:t>1</w:t>
            </w:r>
            <w:r w:rsidRPr="00572EDD">
              <w:t xml:space="preserve">: </w:t>
            </w:r>
            <w:r>
              <w:t>absent</w:t>
            </w:r>
          </w:p>
        </w:tc>
      </w:tr>
      <w:tr w:rsidR="00025444" w:rsidRPr="00572EDD" w14:paraId="12E60FF4" w14:textId="77777777" w:rsidTr="00A30351">
        <w:tc>
          <w:tcPr>
            <w:tcW w:w="1154" w:type="dxa"/>
          </w:tcPr>
          <w:p w14:paraId="113C4AAB" w14:textId="77777777" w:rsidR="00025444" w:rsidRDefault="00025444" w:rsidP="00A30351">
            <w:r>
              <w:t>273</w:t>
            </w:r>
          </w:p>
        </w:tc>
        <w:tc>
          <w:tcPr>
            <w:tcW w:w="3559" w:type="dxa"/>
          </w:tcPr>
          <w:p w14:paraId="51094AE0" w14:textId="77777777" w:rsidR="00025444" w:rsidRPr="00572EDD" w:rsidRDefault="00025444" w:rsidP="00A30351">
            <w:r w:rsidRPr="00E45A8B">
              <w:rPr>
                <w:color w:val="222222"/>
              </w:rPr>
              <w:t>Trunk neural arch to centrum</w:t>
            </w:r>
          </w:p>
        </w:tc>
        <w:tc>
          <w:tcPr>
            <w:tcW w:w="5070" w:type="dxa"/>
          </w:tcPr>
          <w:p w14:paraId="6C8A5B86" w14:textId="77777777" w:rsidR="00025444" w:rsidRDefault="00025444" w:rsidP="00A30351">
            <w:r>
              <w:t>2: fused</w:t>
            </w:r>
          </w:p>
        </w:tc>
      </w:tr>
      <w:tr w:rsidR="00025444" w:rsidRPr="00572EDD" w14:paraId="64141041" w14:textId="77777777" w:rsidTr="00A30351">
        <w:tc>
          <w:tcPr>
            <w:tcW w:w="1154" w:type="dxa"/>
          </w:tcPr>
          <w:p w14:paraId="1EFEC940" w14:textId="77777777" w:rsidR="00025444" w:rsidRPr="00572EDD" w:rsidRDefault="00025444" w:rsidP="00A30351">
            <w:r>
              <w:t>315</w:t>
            </w:r>
          </w:p>
        </w:tc>
        <w:tc>
          <w:tcPr>
            <w:tcW w:w="3559" w:type="dxa"/>
          </w:tcPr>
          <w:p w14:paraId="2F7B6C46" w14:textId="77777777" w:rsidR="00025444" w:rsidRPr="00662B68" w:rsidRDefault="00025444" w:rsidP="00A30351">
            <w:pPr>
              <w:rPr>
                <w:color w:val="222222"/>
              </w:rPr>
            </w:pPr>
            <w:r>
              <w:rPr>
                <w:color w:val="222222"/>
              </w:rPr>
              <w:t>Tentacle</w:t>
            </w:r>
          </w:p>
        </w:tc>
        <w:tc>
          <w:tcPr>
            <w:tcW w:w="5070" w:type="dxa"/>
          </w:tcPr>
          <w:p w14:paraId="2CF592F8" w14:textId="77777777" w:rsidR="00025444" w:rsidRPr="00572EDD" w:rsidRDefault="00025444" w:rsidP="00A30351">
            <w:r>
              <w:t>0: absent</w:t>
            </w:r>
          </w:p>
        </w:tc>
      </w:tr>
      <w:tr w:rsidR="00025444" w:rsidRPr="00572EDD" w14:paraId="5128EC42" w14:textId="77777777" w:rsidTr="00A30351">
        <w:tc>
          <w:tcPr>
            <w:tcW w:w="1154" w:type="dxa"/>
          </w:tcPr>
          <w:p w14:paraId="70C0777C" w14:textId="77777777" w:rsidR="00025444" w:rsidRPr="00572EDD" w:rsidRDefault="00025444" w:rsidP="00A30351">
            <w:r>
              <w:t>338</w:t>
            </w:r>
          </w:p>
        </w:tc>
        <w:tc>
          <w:tcPr>
            <w:tcW w:w="3559" w:type="dxa"/>
          </w:tcPr>
          <w:p w14:paraId="22B4C324" w14:textId="77777777" w:rsidR="00025444" w:rsidRPr="00572EDD" w:rsidRDefault="00025444" w:rsidP="00A30351">
            <w:r w:rsidRPr="00E45A8B">
              <w:rPr>
                <w:color w:val="222222"/>
              </w:rPr>
              <w:t>Dentary marginal dentition</w:t>
            </w:r>
          </w:p>
        </w:tc>
        <w:tc>
          <w:tcPr>
            <w:tcW w:w="5070" w:type="dxa"/>
          </w:tcPr>
          <w:p w14:paraId="0BAEEF8F" w14:textId="77777777" w:rsidR="00025444" w:rsidRPr="00572EDD" w:rsidRDefault="00025444" w:rsidP="00A30351">
            <w:r>
              <w:t>1</w:t>
            </w:r>
            <w:r w:rsidRPr="00572EDD">
              <w:t xml:space="preserve">: </w:t>
            </w:r>
            <w:r>
              <w:t>multiple rows</w:t>
            </w:r>
          </w:p>
        </w:tc>
      </w:tr>
      <w:tr w:rsidR="00025444" w:rsidRPr="00572EDD" w14:paraId="06C00378" w14:textId="77777777" w:rsidTr="00A30351">
        <w:tc>
          <w:tcPr>
            <w:tcW w:w="1154" w:type="dxa"/>
          </w:tcPr>
          <w:p w14:paraId="29FC795E" w14:textId="77777777" w:rsidR="00025444" w:rsidRPr="00572EDD" w:rsidRDefault="00025444" w:rsidP="00A30351">
            <w:r>
              <w:t>345</w:t>
            </w:r>
          </w:p>
        </w:tc>
        <w:tc>
          <w:tcPr>
            <w:tcW w:w="3559" w:type="dxa"/>
          </w:tcPr>
          <w:p w14:paraId="55C8D95F" w14:textId="77777777" w:rsidR="00025444" w:rsidRPr="00572EDD" w:rsidRDefault="00025444" w:rsidP="00A30351">
            <w:r w:rsidRPr="00E45A8B">
              <w:rPr>
                <w:color w:val="222222"/>
              </w:rPr>
              <w:t>Continuous tooth row lateral to choana.</w:t>
            </w:r>
          </w:p>
        </w:tc>
        <w:tc>
          <w:tcPr>
            <w:tcW w:w="5070" w:type="dxa"/>
          </w:tcPr>
          <w:p w14:paraId="154803A1" w14:textId="77777777" w:rsidR="00025444" w:rsidRPr="00572EDD" w:rsidRDefault="00025444" w:rsidP="00A30351">
            <w:r w:rsidRPr="00572EDD">
              <w:t xml:space="preserve">0: </w:t>
            </w:r>
            <w:r>
              <w:t>absent</w:t>
            </w:r>
          </w:p>
        </w:tc>
      </w:tr>
      <w:tr w:rsidR="00025444" w:rsidRPr="00572EDD" w14:paraId="545F9D03" w14:textId="77777777" w:rsidTr="00A30351">
        <w:tc>
          <w:tcPr>
            <w:tcW w:w="1154" w:type="dxa"/>
          </w:tcPr>
          <w:p w14:paraId="0F51CD1E" w14:textId="77777777" w:rsidR="00025444" w:rsidRPr="00572EDD" w:rsidRDefault="00025444" w:rsidP="00A30351">
            <w:r>
              <w:t>349</w:t>
            </w:r>
          </w:p>
        </w:tc>
        <w:tc>
          <w:tcPr>
            <w:tcW w:w="3559" w:type="dxa"/>
          </w:tcPr>
          <w:p w14:paraId="5036A60E" w14:textId="77777777" w:rsidR="00025444" w:rsidRPr="00572EDD" w:rsidRDefault="00025444" w:rsidP="00A30351">
            <w:r w:rsidRPr="00E45A8B">
              <w:rPr>
                <w:color w:val="222222"/>
              </w:rPr>
              <w:t>Palatine in adults</w:t>
            </w:r>
          </w:p>
        </w:tc>
        <w:tc>
          <w:tcPr>
            <w:tcW w:w="5070" w:type="dxa"/>
          </w:tcPr>
          <w:p w14:paraId="5B8D3CBA" w14:textId="77777777" w:rsidR="00025444" w:rsidRPr="00572EDD" w:rsidRDefault="00025444" w:rsidP="00A30351">
            <w:r>
              <w:t>1</w:t>
            </w:r>
            <w:r w:rsidRPr="00572EDD">
              <w:t xml:space="preserve">: </w:t>
            </w:r>
            <w:r w:rsidRPr="00E45A8B">
              <w:rPr>
                <w:color w:val="222222"/>
              </w:rPr>
              <w:t xml:space="preserve">present but </w:t>
            </w:r>
            <w:proofErr w:type="spellStart"/>
            <w:r>
              <w:rPr>
                <w:color w:val="222222"/>
              </w:rPr>
              <w:t>coossified</w:t>
            </w:r>
            <w:proofErr w:type="spellEnd"/>
            <w:r w:rsidRPr="00E45A8B">
              <w:rPr>
                <w:color w:val="222222"/>
              </w:rPr>
              <w:t xml:space="preserve"> to maxilla to form maxillopalatine</w:t>
            </w:r>
          </w:p>
        </w:tc>
      </w:tr>
      <w:tr w:rsidR="00025444" w:rsidRPr="00572EDD" w14:paraId="528679A7" w14:textId="77777777" w:rsidTr="00A30351">
        <w:tc>
          <w:tcPr>
            <w:tcW w:w="1154" w:type="dxa"/>
          </w:tcPr>
          <w:p w14:paraId="73175613" w14:textId="77777777" w:rsidR="00025444" w:rsidRPr="00572EDD" w:rsidRDefault="00025444" w:rsidP="00A30351">
            <w:r>
              <w:t>3</w:t>
            </w:r>
            <w:r w:rsidRPr="00572EDD">
              <w:t>5</w:t>
            </w:r>
            <w:r>
              <w:t>4</w:t>
            </w:r>
          </w:p>
        </w:tc>
        <w:tc>
          <w:tcPr>
            <w:tcW w:w="3559" w:type="dxa"/>
          </w:tcPr>
          <w:p w14:paraId="614E1CDF" w14:textId="77777777" w:rsidR="00025444" w:rsidRPr="000D4B7A" w:rsidRDefault="00025444" w:rsidP="00A30351">
            <w:pPr>
              <w:rPr>
                <w:color w:val="222222"/>
              </w:rPr>
            </w:pPr>
            <w:r w:rsidRPr="000D4B7A">
              <w:rPr>
                <w:color w:val="222222"/>
              </w:rPr>
              <w:t>Cranio-mandibular articulation surface of the mandible</w:t>
            </w:r>
          </w:p>
        </w:tc>
        <w:tc>
          <w:tcPr>
            <w:tcW w:w="5070" w:type="dxa"/>
          </w:tcPr>
          <w:p w14:paraId="0CB68E87" w14:textId="77777777" w:rsidR="00025444" w:rsidRPr="00572EDD" w:rsidRDefault="00025444" w:rsidP="00A30351">
            <w:r>
              <w:t>0</w:t>
            </w:r>
            <w:r w:rsidRPr="00572EDD">
              <w:t xml:space="preserve">: </w:t>
            </w:r>
            <w:r w:rsidRPr="004C7A9E">
              <w:rPr>
                <w:color w:val="222222"/>
              </w:rPr>
              <w:t>dorsally facing planar circular or subcircular pad</w:t>
            </w:r>
          </w:p>
        </w:tc>
      </w:tr>
      <w:tr w:rsidR="00025444" w:rsidRPr="00572EDD" w14:paraId="297E05DA" w14:textId="77777777" w:rsidTr="00A30351">
        <w:tc>
          <w:tcPr>
            <w:tcW w:w="1154" w:type="dxa"/>
          </w:tcPr>
          <w:p w14:paraId="0BF5E6BE" w14:textId="77777777" w:rsidR="00025444" w:rsidRPr="00572EDD" w:rsidRDefault="00025444" w:rsidP="00A30351">
            <w:r>
              <w:t>355</w:t>
            </w:r>
          </w:p>
        </w:tc>
        <w:tc>
          <w:tcPr>
            <w:tcW w:w="3559" w:type="dxa"/>
          </w:tcPr>
          <w:p w14:paraId="73A1D027" w14:textId="77777777" w:rsidR="00025444" w:rsidRPr="00572EDD" w:rsidRDefault="00025444" w:rsidP="00A30351">
            <w:r>
              <w:rPr>
                <w:color w:val="222222"/>
              </w:rPr>
              <w:t>P</w:t>
            </w:r>
            <w:r w:rsidRPr="004C7A9E">
              <w:rPr>
                <w:color w:val="222222"/>
              </w:rPr>
              <w:t>seudoangular</w:t>
            </w:r>
          </w:p>
        </w:tc>
        <w:tc>
          <w:tcPr>
            <w:tcW w:w="5070" w:type="dxa"/>
          </w:tcPr>
          <w:p w14:paraId="21BB4CCD" w14:textId="77777777" w:rsidR="00025444" w:rsidRPr="00572EDD" w:rsidRDefault="00025444" w:rsidP="00A30351">
            <w:r>
              <w:t>1</w:t>
            </w:r>
            <w:r w:rsidRPr="00572EDD">
              <w:t>:</w:t>
            </w:r>
            <w:r>
              <w:t xml:space="preserve"> present</w:t>
            </w:r>
          </w:p>
        </w:tc>
      </w:tr>
    </w:tbl>
    <w:p w14:paraId="62B34A92" w14:textId="77777777" w:rsidR="00025444" w:rsidRDefault="00025444" w:rsidP="00025444">
      <w:pPr>
        <w:rPr>
          <w:b/>
          <w:bCs/>
          <w:color w:val="222222"/>
        </w:rPr>
        <w:sectPr w:rsidR="00025444" w:rsidSect="00062F7E">
          <w:footerReference w:type="even" r:id="rId13"/>
          <w:footerReference w:type="default" r:id="rId14"/>
          <w:pgSz w:w="12240" w:h="15840"/>
          <w:pgMar w:top="1440" w:right="1440" w:bottom="1440" w:left="1440" w:header="720" w:footer="720" w:gutter="0"/>
          <w:lnNumType w:countBy="1" w:restart="continuous"/>
          <w:cols w:space="720"/>
          <w:docGrid w:linePitch="360"/>
        </w:sectPr>
      </w:pPr>
    </w:p>
    <w:p w14:paraId="41851C29" w14:textId="77777777" w:rsidR="00D45E01" w:rsidRDefault="00D45E01" w:rsidP="00D45E01">
      <w:pPr>
        <w:ind w:left="1440"/>
        <w:rPr>
          <w:b/>
          <w:bCs/>
          <w:color w:val="222222"/>
        </w:rPr>
      </w:pPr>
    </w:p>
    <w:p w14:paraId="2C416BE9" w14:textId="48881858" w:rsidR="00DF4005" w:rsidRDefault="00DF4005" w:rsidP="00D45E01"/>
    <w:p w14:paraId="4EA5381B" w14:textId="16241A6D" w:rsidR="00511315" w:rsidRDefault="00511315" w:rsidP="00511315">
      <w:pPr>
        <w:rPr>
          <w:b/>
          <w:bCs/>
          <w:color w:val="222222"/>
          <w:sz w:val="28"/>
          <w:szCs w:val="28"/>
        </w:rPr>
      </w:pPr>
      <w:r>
        <w:rPr>
          <w:b/>
          <w:bCs/>
          <w:color w:val="222222"/>
          <w:sz w:val="28"/>
          <w:szCs w:val="28"/>
        </w:rPr>
        <w:t>6</w:t>
      </w:r>
      <w:r w:rsidRPr="00662B68">
        <w:rPr>
          <w:b/>
          <w:bCs/>
          <w:color w:val="222222"/>
          <w:sz w:val="28"/>
          <w:szCs w:val="28"/>
        </w:rPr>
        <w:t>. Institutional abbreviations</w:t>
      </w:r>
    </w:p>
    <w:p w14:paraId="33664D3C" w14:textId="77777777" w:rsidR="00511315" w:rsidRPr="00662B68" w:rsidRDefault="00511315" w:rsidP="00511315">
      <w:pPr>
        <w:rPr>
          <w:b/>
          <w:bCs/>
          <w:color w:val="222222"/>
          <w:sz w:val="28"/>
          <w:szCs w:val="28"/>
        </w:rPr>
      </w:pPr>
    </w:p>
    <w:p w14:paraId="76ADC013" w14:textId="1F254D36" w:rsidR="00511315" w:rsidRDefault="00511315" w:rsidP="00511315">
      <w:pPr>
        <w:rPr>
          <w:color w:val="222222"/>
        </w:rPr>
      </w:pPr>
      <w:r>
        <w:rPr>
          <w:color w:val="222222"/>
        </w:rPr>
        <w:t xml:space="preserve">AMNH, American Museum of Natural History, New York, New York, U.S.A.; </w:t>
      </w:r>
      <w:r w:rsidRPr="00662B68">
        <w:rPr>
          <w:color w:val="222222"/>
        </w:rPr>
        <w:t>FMNH, Field Museum of Natural History, Chicago, Illinois, U</w:t>
      </w:r>
      <w:r>
        <w:rPr>
          <w:color w:val="222222"/>
        </w:rPr>
        <w:t>.</w:t>
      </w:r>
      <w:r w:rsidRPr="00662B68">
        <w:rPr>
          <w:color w:val="222222"/>
        </w:rPr>
        <w:t>S</w:t>
      </w:r>
      <w:r>
        <w:rPr>
          <w:color w:val="222222"/>
        </w:rPr>
        <w:t>.</w:t>
      </w:r>
      <w:r w:rsidRPr="00662B68">
        <w:rPr>
          <w:color w:val="222222"/>
        </w:rPr>
        <w:t>A</w:t>
      </w:r>
      <w:r>
        <w:rPr>
          <w:color w:val="222222"/>
        </w:rPr>
        <w:t>.</w:t>
      </w:r>
      <w:r w:rsidRPr="00662B68">
        <w:rPr>
          <w:color w:val="222222"/>
        </w:rPr>
        <w:t xml:space="preserve">; MCZ, Museum of Comparative Zoology, </w:t>
      </w:r>
      <w:r>
        <w:rPr>
          <w:color w:val="222222"/>
        </w:rPr>
        <w:t xml:space="preserve">Harvard University, </w:t>
      </w:r>
      <w:r w:rsidRPr="00662B68">
        <w:rPr>
          <w:color w:val="222222"/>
        </w:rPr>
        <w:t>Cambridge, Massachusetts, U</w:t>
      </w:r>
      <w:r>
        <w:rPr>
          <w:color w:val="222222"/>
        </w:rPr>
        <w:t>.</w:t>
      </w:r>
      <w:r w:rsidRPr="00662B68">
        <w:rPr>
          <w:color w:val="222222"/>
        </w:rPr>
        <w:t>S</w:t>
      </w:r>
      <w:r>
        <w:rPr>
          <w:color w:val="222222"/>
        </w:rPr>
        <w:t>.</w:t>
      </w:r>
      <w:r w:rsidRPr="00662B68">
        <w:rPr>
          <w:color w:val="222222"/>
        </w:rPr>
        <w:t>A</w:t>
      </w:r>
      <w:r>
        <w:rPr>
          <w:color w:val="222222"/>
        </w:rPr>
        <w:t>.</w:t>
      </w:r>
      <w:r w:rsidRPr="00662B68">
        <w:rPr>
          <w:color w:val="222222"/>
        </w:rPr>
        <w:t>; MNA, Museum of Northern Arizona, Flagstaff, Arizona, U</w:t>
      </w:r>
      <w:r>
        <w:rPr>
          <w:color w:val="222222"/>
        </w:rPr>
        <w:t>.</w:t>
      </w:r>
      <w:r w:rsidRPr="00662B68">
        <w:rPr>
          <w:color w:val="222222"/>
        </w:rPr>
        <w:t>S</w:t>
      </w:r>
      <w:r>
        <w:rPr>
          <w:color w:val="222222"/>
        </w:rPr>
        <w:t>.</w:t>
      </w:r>
      <w:r w:rsidRPr="00662B68">
        <w:rPr>
          <w:color w:val="222222"/>
        </w:rPr>
        <w:t>A</w:t>
      </w:r>
      <w:r>
        <w:rPr>
          <w:color w:val="222222"/>
        </w:rPr>
        <w:t>.</w:t>
      </w:r>
      <w:r w:rsidRPr="00662B68">
        <w:rPr>
          <w:color w:val="222222"/>
        </w:rPr>
        <w:t xml:space="preserve">; </w:t>
      </w:r>
      <w:r>
        <w:rPr>
          <w:color w:val="222222"/>
        </w:rPr>
        <w:t xml:space="preserve">NHMUK, Natural History Museum, London, England; </w:t>
      </w:r>
      <w:r w:rsidRPr="00662B68">
        <w:rPr>
          <w:color w:val="222222"/>
        </w:rPr>
        <w:t>PEFO, Petrified Forest National Park, Arizona, U</w:t>
      </w:r>
      <w:r>
        <w:rPr>
          <w:color w:val="222222"/>
        </w:rPr>
        <w:t>.</w:t>
      </w:r>
      <w:r w:rsidRPr="00662B68">
        <w:rPr>
          <w:color w:val="222222"/>
        </w:rPr>
        <w:t>S</w:t>
      </w:r>
      <w:r>
        <w:rPr>
          <w:color w:val="222222"/>
        </w:rPr>
        <w:t>.</w:t>
      </w:r>
      <w:r w:rsidRPr="00662B68">
        <w:rPr>
          <w:color w:val="222222"/>
        </w:rPr>
        <w:t>A</w:t>
      </w:r>
      <w:r>
        <w:rPr>
          <w:color w:val="222222"/>
        </w:rPr>
        <w:t>.</w:t>
      </w:r>
      <w:r w:rsidRPr="00662B68">
        <w:rPr>
          <w:color w:val="222222"/>
        </w:rPr>
        <w:t xml:space="preserve">; </w:t>
      </w:r>
      <w:r>
        <w:rPr>
          <w:color w:val="222222"/>
        </w:rPr>
        <w:t xml:space="preserve">MW, field series (NHMUK); SMNS, </w:t>
      </w:r>
      <w:proofErr w:type="spellStart"/>
      <w:r w:rsidRPr="00080CC1">
        <w:rPr>
          <w:color w:val="222222"/>
        </w:rPr>
        <w:t>Staatliches</w:t>
      </w:r>
      <w:proofErr w:type="spellEnd"/>
      <w:r w:rsidRPr="00080CC1">
        <w:rPr>
          <w:color w:val="222222"/>
        </w:rPr>
        <w:t xml:space="preserve"> Museum für </w:t>
      </w:r>
      <w:proofErr w:type="spellStart"/>
      <w:r w:rsidRPr="00080CC1">
        <w:rPr>
          <w:color w:val="222222"/>
        </w:rPr>
        <w:t>Naturkunde</w:t>
      </w:r>
      <w:proofErr w:type="spellEnd"/>
      <w:r w:rsidRPr="00080CC1">
        <w:rPr>
          <w:color w:val="222222"/>
        </w:rPr>
        <w:t>, Stuttgart, Germany</w:t>
      </w:r>
      <w:r>
        <w:rPr>
          <w:color w:val="222222"/>
        </w:rPr>
        <w:t xml:space="preserve">; USNM, United States National Museum, Smithsonian Institution, Washington D.C., U.S.A.; ZPAL, Institute of Paleobiology of the Polish Academy of Science, Warsaw, Poland. </w:t>
      </w:r>
    </w:p>
    <w:p w14:paraId="750FD5FF" w14:textId="57E3D8C4" w:rsidR="00511315" w:rsidRDefault="00511315" w:rsidP="00511315">
      <w:pPr>
        <w:rPr>
          <w:color w:val="222222"/>
        </w:rPr>
      </w:pPr>
    </w:p>
    <w:p w14:paraId="5AFFAE45" w14:textId="0A9A2E71" w:rsidR="00B86756" w:rsidRDefault="00B86756" w:rsidP="00511315">
      <w:pPr>
        <w:rPr>
          <w:color w:val="222222"/>
        </w:rPr>
      </w:pPr>
    </w:p>
    <w:p w14:paraId="57F4681C" w14:textId="31736AD8" w:rsidR="00B86756" w:rsidRDefault="00B86756" w:rsidP="00511315">
      <w:pPr>
        <w:rPr>
          <w:color w:val="222222"/>
        </w:rPr>
      </w:pPr>
    </w:p>
    <w:p w14:paraId="33D6BDC1" w14:textId="0E60D017" w:rsidR="00B86756" w:rsidRDefault="00B86756" w:rsidP="00511315">
      <w:pPr>
        <w:rPr>
          <w:color w:val="222222"/>
        </w:rPr>
      </w:pPr>
    </w:p>
    <w:p w14:paraId="331BC1BF" w14:textId="76DB790B" w:rsidR="00B86756" w:rsidRDefault="00B86756" w:rsidP="00511315">
      <w:pPr>
        <w:rPr>
          <w:color w:val="222222"/>
        </w:rPr>
      </w:pPr>
    </w:p>
    <w:p w14:paraId="5CBF9341" w14:textId="7E994265" w:rsidR="00B86756" w:rsidRDefault="00B86756" w:rsidP="00511315">
      <w:pPr>
        <w:rPr>
          <w:color w:val="222222"/>
        </w:rPr>
      </w:pPr>
    </w:p>
    <w:p w14:paraId="58951088" w14:textId="227892EB" w:rsidR="00B86756" w:rsidRDefault="00B86756" w:rsidP="00511315">
      <w:pPr>
        <w:rPr>
          <w:color w:val="222222"/>
        </w:rPr>
      </w:pPr>
    </w:p>
    <w:p w14:paraId="06A90D5A" w14:textId="4D353ABD" w:rsidR="00B86756" w:rsidRDefault="00B86756" w:rsidP="00511315">
      <w:pPr>
        <w:rPr>
          <w:color w:val="222222"/>
        </w:rPr>
      </w:pPr>
    </w:p>
    <w:p w14:paraId="0E1B4BEA" w14:textId="3BCE8862" w:rsidR="00B86756" w:rsidRDefault="00B86756" w:rsidP="00511315">
      <w:pPr>
        <w:rPr>
          <w:color w:val="222222"/>
        </w:rPr>
      </w:pPr>
    </w:p>
    <w:p w14:paraId="7D52F269" w14:textId="3EB3889D" w:rsidR="00B86756" w:rsidRDefault="00B86756" w:rsidP="00511315">
      <w:pPr>
        <w:rPr>
          <w:color w:val="222222"/>
        </w:rPr>
      </w:pPr>
    </w:p>
    <w:p w14:paraId="088CC881" w14:textId="4A866647" w:rsidR="00B86756" w:rsidRDefault="00B86756" w:rsidP="00511315">
      <w:pPr>
        <w:rPr>
          <w:color w:val="222222"/>
        </w:rPr>
      </w:pPr>
    </w:p>
    <w:p w14:paraId="210E9347" w14:textId="7745BFF9" w:rsidR="00B86756" w:rsidRDefault="00B86756" w:rsidP="00511315">
      <w:pPr>
        <w:rPr>
          <w:color w:val="222222"/>
        </w:rPr>
      </w:pPr>
    </w:p>
    <w:p w14:paraId="49E2BDED" w14:textId="3FC1F980" w:rsidR="00B86756" w:rsidRDefault="00B86756" w:rsidP="00511315">
      <w:pPr>
        <w:rPr>
          <w:color w:val="222222"/>
        </w:rPr>
      </w:pPr>
    </w:p>
    <w:p w14:paraId="0F8D81D7" w14:textId="1D417AEB" w:rsidR="00B86756" w:rsidRDefault="00B86756" w:rsidP="00511315">
      <w:pPr>
        <w:rPr>
          <w:color w:val="222222"/>
        </w:rPr>
      </w:pPr>
    </w:p>
    <w:p w14:paraId="74154131" w14:textId="5410272C" w:rsidR="00B86756" w:rsidRDefault="00B86756" w:rsidP="00511315">
      <w:pPr>
        <w:rPr>
          <w:color w:val="222222"/>
        </w:rPr>
      </w:pPr>
    </w:p>
    <w:p w14:paraId="0ABB9DCD" w14:textId="3AC8FE59" w:rsidR="00B86756" w:rsidRDefault="00B86756" w:rsidP="00511315">
      <w:pPr>
        <w:rPr>
          <w:color w:val="222222"/>
        </w:rPr>
      </w:pPr>
    </w:p>
    <w:p w14:paraId="4BD2745F" w14:textId="7CFFBE71" w:rsidR="00B86756" w:rsidRDefault="00B86756" w:rsidP="00511315">
      <w:pPr>
        <w:rPr>
          <w:color w:val="222222"/>
        </w:rPr>
      </w:pPr>
    </w:p>
    <w:p w14:paraId="7A39DCF9" w14:textId="3FE2148F" w:rsidR="00B86756" w:rsidRDefault="00B86756" w:rsidP="00511315">
      <w:pPr>
        <w:rPr>
          <w:color w:val="222222"/>
        </w:rPr>
      </w:pPr>
    </w:p>
    <w:p w14:paraId="5F3B7F33" w14:textId="549AE5F0" w:rsidR="00B86756" w:rsidRDefault="00B86756" w:rsidP="00511315">
      <w:pPr>
        <w:rPr>
          <w:color w:val="222222"/>
        </w:rPr>
      </w:pPr>
    </w:p>
    <w:p w14:paraId="55741462" w14:textId="180FE343" w:rsidR="00B86756" w:rsidRDefault="00B86756" w:rsidP="00511315">
      <w:pPr>
        <w:rPr>
          <w:color w:val="222222"/>
        </w:rPr>
      </w:pPr>
    </w:p>
    <w:p w14:paraId="348E4719" w14:textId="2421325C" w:rsidR="00B86756" w:rsidRDefault="00B86756" w:rsidP="00511315">
      <w:pPr>
        <w:rPr>
          <w:color w:val="222222"/>
        </w:rPr>
      </w:pPr>
    </w:p>
    <w:p w14:paraId="2895BAC1" w14:textId="55426250" w:rsidR="00B86756" w:rsidRDefault="00B86756" w:rsidP="00511315">
      <w:pPr>
        <w:rPr>
          <w:color w:val="222222"/>
        </w:rPr>
      </w:pPr>
    </w:p>
    <w:p w14:paraId="6EC2764B" w14:textId="7D809FD5" w:rsidR="00B86756" w:rsidRDefault="00B86756" w:rsidP="00511315">
      <w:pPr>
        <w:rPr>
          <w:color w:val="222222"/>
        </w:rPr>
      </w:pPr>
    </w:p>
    <w:p w14:paraId="4A80AEE1" w14:textId="77777777" w:rsidR="00B86756" w:rsidRDefault="00B86756" w:rsidP="00511315">
      <w:pPr>
        <w:rPr>
          <w:color w:val="222222"/>
        </w:rPr>
      </w:pPr>
    </w:p>
    <w:p w14:paraId="29EA8F77" w14:textId="54218A67" w:rsidR="00B86756" w:rsidRDefault="00B86756" w:rsidP="00511315">
      <w:pPr>
        <w:rPr>
          <w:color w:val="222222"/>
        </w:rPr>
      </w:pPr>
    </w:p>
    <w:p w14:paraId="25C77706" w14:textId="5518ED70" w:rsidR="00B86756" w:rsidRDefault="00B86756" w:rsidP="00511315">
      <w:pPr>
        <w:rPr>
          <w:color w:val="222222"/>
        </w:rPr>
      </w:pPr>
    </w:p>
    <w:p w14:paraId="3859C56B" w14:textId="209A1997" w:rsidR="00B86756" w:rsidRDefault="00B86756" w:rsidP="00511315">
      <w:pPr>
        <w:rPr>
          <w:color w:val="222222"/>
        </w:rPr>
      </w:pPr>
    </w:p>
    <w:p w14:paraId="52D4752B" w14:textId="7024625D" w:rsidR="00B86756" w:rsidRDefault="00B86756" w:rsidP="00511315">
      <w:pPr>
        <w:rPr>
          <w:color w:val="222222"/>
        </w:rPr>
      </w:pPr>
    </w:p>
    <w:p w14:paraId="3EDE78E7" w14:textId="3CA58933" w:rsidR="00B86756" w:rsidRDefault="00B86756" w:rsidP="00511315">
      <w:pPr>
        <w:rPr>
          <w:color w:val="222222"/>
        </w:rPr>
      </w:pPr>
    </w:p>
    <w:p w14:paraId="358D46BA" w14:textId="6CEF6737" w:rsidR="00B86756" w:rsidRDefault="00B86756" w:rsidP="00511315">
      <w:pPr>
        <w:rPr>
          <w:color w:val="222222"/>
        </w:rPr>
      </w:pPr>
    </w:p>
    <w:p w14:paraId="37579939" w14:textId="73F5CA04" w:rsidR="00B86756" w:rsidRDefault="00B86756" w:rsidP="00511315">
      <w:pPr>
        <w:rPr>
          <w:color w:val="222222"/>
        </w:rPr>
      </w:pPr>
    </w:p>
    <w:p w14:paraId="3753F07E" w14:textId="494D30B9" w:rsidR="00B86756" w:rsidRDefault="00B86756" w:rsidP="00511315">
      <w:pPr>
        <w:rPr>
          <w:color w:val="222222"/>
        </w:rPr>
      </w:pPr>
    </w:p>
    <w:p w14:paraId="315317A7" w14:textId="79E0FBD5" w:rsidR="00B86756" w:rsidRDefault="00B86756" w:rsidP="00511315">
      <w:pPr>
        <w:rPr>
          <w:color w:val="222222"/>
        </w:rPr>
      </w:pPr>
    </w:p>
    <w:p w14:paraId="472A1350" w14:textId="3EF87B3F" w:rsidR="00C051DE" w:rsidRDefault="00C051DE" w:rsidP="00511315">
      <w:pPr>
        <w:rPr>
          <w:color w:val="222222"/>
        </w:rPr>
      </w:pPr>
    </w:p>
    <w:p w14:paraId="5D9CFE5F" w14:textId="77777777" w:rsidR="00C051DE" w:rsidRDefault="00C051DE" w:rsidP="00511315">
      <w:pPr>
        <w:rPr>
          <w:color w:val="222222"/>
        </w:rPr>
      </w:pPr>
    </w:p>
    <w:p w14:paraId="233107E5" w14:textId="77777777" w:rsidR="00B86756" w:rsidRPr="00662B68" w:rsidRDefault="00B86756" w:rsidP="00511315">
      <w:pPr>
        <w:rPr>
          <w:color w:val="222222"/>
        </w:rPr>
      </w:pPr>
    </w:p>
    <w:p w14:paraId="73D899DB" w14:textId="3F2F7560" w:rsidR="00DD2E01" w:rsidRDefault="00DD2E01" w:rsidP="00DD2E01">
      <w:r w:rsidRPr="00FF1DE0">
        <w:rPr>
          <w:b/>
          <w:bCs/>
          <w:color w:val="000000" w:themeColor="text1"/>
          <w:sz w:val="28"/>
          <w:szCs w:val="28"/>
        </w:rPr>
        <w:t>7</w:t>
      </w:r>
      <w:r w:rsidR="00001691" w:rsidRPr="00662B68">
        <w:rPr>
          <w:b/>
          <w:bCs/>
          <w:color w:val="000000" w:themeColor="text1"/>
          <w:sz w:val="28"/>
          <w:szCs w:val="28"/>
        </w:rPr>
        <w:t>. Supplementary References</w:t>
      </w:r>
    </w:p>
    <w:p w14:paraId="44A7345C" w14:textId="77777777" w:rsidR="00027B73" w:rsidRDefault="00027B73" w:rsidP="00D731DB"/>
    <w:p w14:paraId="6D6D8910" w14:textId="4B1EFBE8" w:rsidR="00027B73" w:rsidRPr="00027B73" w:rsidRDefault="00027B73" w:rsidP="00027B73">
      <w:pPr>
        <w:pStyle w:val="EndNoteBibliography"/>
        <w:ind w:left="720" w:hanging="720"/>
      </w:pPr>
      <w:r>
        <w:fldChar w:fldCharType="begin"/>
      </w:r>
      <w:r>
        <w:instrText xml:space="preserve"> ADDIN EN.REFLIST </w:instrText>
      </w:r>
      <w:r>
        <w:fldChar w:fldCharType="separate"/>
      </w:r>
      <w:r w:rsidRPr="00027B73">
        <w:t xml:space="preserve">Ahlberg, P. E. &amp; Clack, J. A. Lower jaws, lower tetrapods–a review based on the Devonian genus </w:t>
      </w:r>
      <w:r w:rsidRPr="00027B73">
        <w:rPr>
          <w:i/>
        </w:rPr>
        <w:t>Acanthostega</w:t>
      </w:r>
      <w:r w:rsidRPr="00027B73">
        <w:t xml:space="preserve">. </w:t>
      </w:r>
      <w:r w:rsidRPr="00027B73">
        <w:rPr>
          <w:i/>
        </w:rPr>
        <w:t>Earth and Environmental Science Transactions of The Royal Society of Edinburgh</w:t>
      </w:r>
      <w:r w:rsidRPr="00027B73">
        <w:t xml:space="preserve"> </w:t>
      </w:r>
      <w:r w:rsidRPr="00027B73">
        <w:rPr>
          <w:b/>
        </w:rPr>
        <w:t>89</w:t>
      </w:r>
      <w:r w:rsidRPr="00027B73">
        <w:t>, 11-46 (1998).</w:t>
      </w:r>
    </w:p>
    <w:p w14:paraId="5964F861" w14:textId="0EE11D08" w:rsidR="00027B73" w:rsidRPr="00027B73" w:rsidRDefault="00027B73" w:rsidP="00027B73">
      <w:pPr>
        <w:pStyle w:val="EndNoteBibliography"/>
        <w:ind w:left="720" w:hanging="720"/>
      </w:pPr>
      <w:r w:rsidRPr="00027B73">
        <w:t>Alfaro, M. E.</w:t>
      </w:r>
      <w:r w:rsidRPr="00027B73">
        <w:rPr>
          <w:i/>
        </w:rPr>
        <w:t xml:space="preserve"> et al.</w:t>
      </w:r>
      <w:r w:rsidRPr="00027B73">
        <w:t xml:space="preserve"> Nine exceptional radiations plus high turnover explain species diversity in jawed vertebrates. </w:t>
      </w:r>
      <w:r w:rsidRPr="00027B73">
        <w:rPr>
          <w:i/>
        </w:rPr>
        <w:t>Proceedings of the National Academy of Sciences</w:t>
      </w:r>
      <w:r w:rsidRPr="00027B73">
        <w:t xml:space="preserve"> </w:t>
      </w:r>
      <w:r w:rsidRPr="00027B73">
        <w:rPr>
          <w:b/>
        </w:rPr>
        <w:t>106</w:t>
      </w:r>
      <w:r w:rsidRPr="00027B73">
        <w:t>, 13410-13414 (2009).</w:t>
      </w:r>
    </w:p>
    <w:p w14:paraId="36F9BE0C" w14:textId="4B9B7F94" w:rsidR="00027B73" w:rsidRPr="00027B73" w:rsidRDefault="00027B73" w:rsidP="00027B73">
      <w:pPr>
        <w:pStyle w:val="EndNoteBibliography"/>
        <w:ind w:left="720" w:hanging="720"/>
      </w:pPr>
      <w:r w:rsidRPr="00027B73">
        <w:t xml:space="preserve">Anderson, J. S. On the skull of </w:t>
      </w:r>
      <w:r w:rsidRPr="00027B73">
        <w:rPr>
          <w:i/>
        </w:rPr>
        <w:t>Cacops aspidephorus</w:t>
      </w:r>
      <w:r w:rsidRPr="00027B73">
        <w:t xml:space="preserve"> Williston (Tetrapoda; Temnospondyli; Dissorophidae) from the Lower Permian of Texas. Part 1: lower jaw anatomy. </w:t>
      </w:r>
      <w:r w:rsidRPr="00027B73">
        <w:rPr>
          <w:i/>
        </w:rPr>
        <w:t>The Nonmarine Permian, New Mexico Museum of Natural History &amp; Science Bulletin</w:t>
      </w:r>
      <w:r w:rsidRPr="00027B73">
        <w:t xml:space="preserve"> </w:t>
      </w:r>
      <w:r w:rsidRPr="00027B73">
        <w:rPr>
          <w:b/>
        </w:rPr>
        <w:t>30</w:t>
      </w:r>
      <w:r w:rsidRPr="00027B73">
        <w:t>, 15 (2005).</w:t>
      </w:r>
    </w:p>
    <w:p w14:paraId="10053F37" w14:textId="16CDE474" w:rsidR="00027B73" w:rsidRPr="00027B73" w:rsidRDefault="00027B73" w:rsidP="00027B73">
      <w:pPr>
        <w:pStyle w:val="EndNoteBibliography"/>
        <w:ind w:left="720" w:hanging="720"/>
      </w:pPr>
      <w:r w:rsidRPr="00027B73">
        <w:t xml:space="preserve">Anderson, J. S. &amp; Bolt, J. R. New information on amphibamids (Tetrapoda, Temnospondyli) from Richards Spur (Fort Sill), Oklahoma. </w:t>
      </w:r>
      <w:r w:rsidRPr="00027B73">
        <w:rPr>
          <w:i/>
        </w:rPr>
        <w:t>Journal of Vertebrate Paleontology</w:t>
      </w:r>
      <w:r w:rsidRPr="00027B73">
        <w:t xml:space="preserve"> </w:t>
      </w:r>
      <w:r w:rsidRPr="00027B73">
        <w:rPr>
          <w:b/>
        </w:rPr>
        <w:t>33</w:t>
      </w:r>
      <w:r w:rsidRPr="00027B73">
        <w:t>, 553-567 (2013).</w:t>
      </w:r>
    </w:p>
    <w:p w14:paraId="0A729D2D" w14:textId="56FC69D9" w:rsidR="00027B73" w:rsidRPr="00027B73" w:rsidRDefault="00027B73" w:rsidP="00027B73">
      <w:pPr>
        <w:pStyle w:val="EndNoteBibliography"/>
        <w:ind w:left="720" w:hanging="720"/>
      </w:pPr>
      <w:r w:rsidRPr="00027B73">
        <w:t xml:space="preserve">Anderson, J. S., Henrici, A. C., Sumida, S. S., Martens, T. &amp; Berman, D. S. </w:t>
      </w:r>
      <w:r w:rsidRPr="00027B73">
        <w:rPr>
          <w:i/>
        </w:rPr>
        <w:t>Georgenthalia clavinasica</w:t>
      </w:r>
      <w:r w:rsidRPr="00027B73">
        <w:t xml:space="preserve">, a new genus and species of dissorophoid temnospondyl from the Early Permian of Germany, and the relationships of the family Amphibamidae. </w:t>
      </w:r>
      <w:r w:rsidRPr="00027B73">
        <w:rPr>
          <w:i/>
        </w:rPr>
        <w:t>Journal of Vertebrate Paleontology</w:t>
      </w:r>
      <w:r w:rsidRPr="00027B73">
        <w:t xml:space="preserve"> </w:t>
      </w:r>
      <w:r w:rsidRPr="00027B73">
        <w:rPr>
          <w:b/>
        </w:rPr>
        <w:t>28</w:t>
      </w:r>
      <w:r w:rsidRPr="00027B73">
        <w:t>, 61-75 (2008</w:t>
      </w:r>
      <w:r w:rsidR="00F60417">
        <w:t>a</w:t>
      </w:r>
      <w:r w:rsidRPr="00027B73">
        <w:t>).</w:t>
      </w:r>
    </w:p>
    <w:p w14:paraId="78DA07DE" w14:textId="4DAA8572" w:rsidR="00027B73" w:rsidRPr="00027B73" w:rsidRDefault="00027B73" w:rsidP="00027B73">
      <w:pPr>
        <w:pStyle w:val="EndNoteBibliography"/>
        <w:ind w:left="720" w:hanging="720"/>
      </w:pPr>
      <w:r w:rsidRPr="00027B73">
        <w:t xml:space="preserve">Anderson, J. S., Reisz, R. R., Scott, D., Fröbisch, N. B. &amp; Sumida, S. S. A stem batrachian from the Early Permian of Texas and the origin of frogs and salamanders. </w:t>
      </w:r>
      <w:r w:rsidRPr="00027B73">
        <w:rPr>
          <w:i/>
        </w:rPr>
        <w:t>Nature</w:t>
      </w:r>
      <w:r w:rsidRPr="00027B73">
        <w:t xml:space="preserve"> </w:t>
      </w:r>
      <w:r w:rsidRPr="00027B73">
        <w:rPr>
          <w:b/>
        </w:rPr>
        <w:t>453</w:t>
      </w:r>
      <w:r w:rsidRPr="00027B73">
        <w:t>, 515-518 (2008</w:t>
      </w:r>
      <w:r w:rsidR="00F60417">
        <w:t>b</w:t>
      </w:r>
      <w:r w:rsidRPr="00027B73">
        <w:t>).</w:t>
      </w:r>
    </w:p>
    <w:p w14:paraId="66033ADD" w14:textId="49F9F6DF" w:rsidR="00027B73" w:rsidRPr="00027B73" w:rsidRDefault="00027B73" w:rsidP="00027B73">
      <w:pPr>
        <w:pStyle w:val="EndNoteBibliography"/>
        <w:ind w:left="720" w:hanging="720"/>
      </w:pPr>
      <w:r w:rsidRPr="00027B73">
        <w:t xml:space="preserve">Anderson, J. S., Scott, D. &amp; Reisz, R. R. </w:t>
      </w:r>
      <w:r w:rsidRPr="00027B73">
        <w:rPr>
          <w:i/>
        </w:rPr>
        <w:t>Nannaroter mckinziei</w:t>
      </w:r>
      <w:r w:rsidRPr="00027B73">
        <w:t xml:space="preserve">, a new ostodolepid ‘microsaur’(Tetrapoda, Lepospondyli, Recumbirostra) from the Early Permian of Richards Spur (Ft. Sill), Oklahoma. </w:t>
      </w:r>
      <w:r w:rsidRPr="00027B73">
        <w:rPr>
          <w:i/>
        </w:rPr>
        <w:t>Journal of Vertebrate Paleontology</w:t>
      </w:r>
      <w:r w:rsidRPr="00027B73">
        <w:t xml:space="preserve"> </w:t>
      </w:r>
      <w:r w:rsidRPr="00027B73">
        <w:rPr>
          <w:b/>
        </w:rPr>
        <w:t>29</w:t>
      </w:r>
      <w:r w:rsidRPr="00027B73">
        <w:t>, 379-388 (2009).</w:t>
      </w:r>
    </w:p>
    <w:p w14:paraId="4715B4D4" w14:textId="5A6F055F" w:rsidR="00027B73" w:rsidRPr="00027B73" w:rsidRDefault="00027B73" w:rsidP="00027B73">
      <w:pPr>
        <w:pStyle w:val="EndNoteBibliography"/>
        <w:ind w:left="720" w:hanging="720"/>
      </w:pPr>
      <w:r w:rsidRPr="00027B73">
        <w:t xml:space="preserve">Anderson, J. S., Scott, D. &amp; Reisz, R. R. The anatomy of the dermatocranium and mandible of </w:t>
      </w:r>
      <w:r w:rsidRPr="00027B73">
        <w:rPr>
          <w:i/>
        </w:rPr>
        <w:t xml:space="preserve">Cacops aspidephorus </w:t>
      </w:r>
      <w:r w:rsidRPr="00027B73">
        <w:t xml:space="preserve">Williston, 1910 (Temnospondyli: Dissorophidae), from the Lower Permian of Texas. </w:t>
      </w:r>
      <w:r w:rsidRPr="00027B73">
        <w:rPr>
          <w:i/>
        </w:rPr>
        <w:t>Journal of Vertebrate Paleontology</w:t>
      </w:r>
      <w:r w:rsidRPr="00027B73">
        <w:t xml:space="preserve"> </w:t>
      </w:r>
      <w:r w:rsidRPr="00027B73">
        <w:rPr>
          <w:b/>
        </w:rPr>
        <w:t>40</w:t>
      </w:r>
      <w:r w:rsidRPr="00027B73">
        <w:t>, e1776720 (2020).</w:t>
      </w:r>
    </w:p>
    <w:p w14:paraId="214524D9" w14:textId="2B53A235" w:rsidR="00027B73" w:rsidRDefault="00027B73" w:rsidP="00027B73">
      <w:pPr>
        <w:pStyle w:val="EndNoteBibliography"/>
        <w:ind w:left="720" w:hanging="720"/>
      </w:pPr>
      <w:r w:rsidRPr="00027B73">
        <w:t xml:space="preserve">Arbez, T., Dahoumane, A. &amp; Steyer, J.-S. Exceptional endocranium and middle ear of </w:t>
      </w:r>
      <w:r w:rsidRPr="00027B73">
        <w:rPr>
          <w:i/>
        </w:rPr>
        <w:t xml:space="preserve">Stanocephalosaurus </w:t>
      </w:r>
      <w:r w:rsidRPr="00027B73">
        <w:t xml:space="preserve">(Temnospondyli: Capitosauria) from the Triassic of Algeria revealed by micro-CT scan, with new functional interpretations of the hearing system. </w:t>
      </w:r>
      <w:r w:rsidRPr="00027B73">
        <w:rPr>
          <w:i/>
        </w:rPr>
        <w:t>Zoological Journal of the Linnean Society</w:t>
      </w:r>
      <w:r w:rsidRPr="00027B73">
        <w:t xml:space="preserve"> </w:t>
      </w:r>
      <w:r w:rsidRPr="00027B73">
        <w:rPr>
          <w:b/>
        </w:rPr>
        <w:t>180</w:t>
      </w:r>
      <w:r w:rsidRPr="00027B73">
        <w:t>, 910-929 (2017).</w:t>
      </w:r>
    </w:p>
    <w:p w14:paraId="0ADF0E8C" w14:textId="7EAEA90E" w:rsidR="00AE6E32" w:rsidRPr="00027B73" w:rsidRDefault="00AE6E32" w:rsidP="00AE6E32">
      <w:pPr>
        <w:pStyle w:val="EndNoteBibliography"/>
        <w:ind w:left="720" w:hanging="720"/>
      </w:pPr>
      <w:r w:rsidRPr="00AE6E32">
        <w:t xml:space="preserve">Arbez, T., Atkins, J.B., &amp; Maddin, H.C. Cranial anatomy and systematics of </w:t>
      </w:r>
      <w:r w:rsidRPr="00AE6E32">
        <w:rPr>
          <w:i/>
          <w:iCs/>
        </w:rPr>
        <w:t>Dendrerpeton</w:t>
      </w:r>
      <w:r w:rsidRPr="00AE6E32">
        <w:t xml:space="preserve"> cf. </w:t>
      </w:r>
      <w:r w:rsidRPr="00AE6E32">
        <w:rPr>
          <w:i/>
          <w:iCs/>
        </w:rPr>
        <w:t>helogenes</w:t>
      </w:r>
      <w:r w:rsidRPr="00AE6E32">
        <w:t xml:space="preserve"> (Tetrapoda, Temnospondyli) from the Pennsylvanian of Joggins, revisited through micro‐CT scanning. </w:t>
      </w:r>
      <w:r w:rsidRPr="00AE6E32">
        <w:rPr>
          <w:i/>
          <w:iCs/>
        </w:rPr>
        <w:t>Papers in Palaeontology</w:t>
      </w:r>
      <w:r w:rsidRPr="00AE6E32">
        <w:t xml:space="preserve"> </w:t>
      </w:r>
      <w:r w:rsidRPr="00AE6E32">
        <w:rPr>
          <w:b/>
          <w:bCs/>
        </w:rPr>
        <w:t>8</w:t>
      </w:r>
      <w:r w:rsidRPr="00AE6E32">
        <w:t>, e1421 (2022).</w:t>
      </w:r>
    </w:p>
    <w:p w14:paraId="34463BEF" w14:textId="260AF0CF" w:rsidR="00027B73" w:rsidRPr="00027B73" w:rsidRDefault="00027B73" w:rsidP="00027B73">
      <w:pPr>
        <w:pStyle w:val="EndNoteBibliography"/>
        <w:ind w:left="720" w:hanging="720"/>
      </w:pPr>
      <w:r w:rsidRPr="00027B73">
        <w:t xml:space="preserve">Aris-Brosou, S. &amp; Yang, Z. Effects of models of rate evolution on estimation of divergence dates with special reference to the metazoan 18S ribosomal RNA phylogeny. </w:t>
      </w:r>
      <w:r w:rsidRPr="00027B73">
        <w:rPr>
          <w:i/>
        </w:rPr>
        <w:t>Systematic Biology</w:t>
      </w:r>
      <w:r w:rsidRPr="00027B73">
        <w:t xml:space="preserve"> </w:t>
      </w:r>
      <w:r w:rsidRPr="00027B73">
        <w:rPr>
          <w:b/>
        </w:rPr>
        <w:t>51</w:t>
      </w:r>
      <w:r w:rsidRPr="00027B73">
        <w:t>, 703-714 (2002).</w:t>
      </w:r>
    </w:p>
    <w:p w14:paraId="48765275" w14:textId="682A8C6E" w:rsidR="00027B73" w:rsidRPr="00027B73" w:rsidRDefault="00027B73" w:rsidP="00027B73">
      <w:pPr>
        <w:pStyle w:val="EndNoteBibliography"/>
        <w:ind w:left="720" w:hanging="720"/>
      </w:pPr>
      <w:r w:rsidRPr="00027B73">
        <w:t xml:space="preserve">Ascarrunz, E., Rage, J.-C., Legreneur, P. &amp; Laurin, M. </w:t>
      </w:r>
      <w:r w:rsidRPr="00027B73">
        <w:rPr>
          <w:i/>
        </w:rPr>
        <w:t>Triadobatrachus massinoti</w:t>
      </w:r>
      <w:r w:rsidRPr="00027B73">
        <w:t xml:space="preserve">, the earliest known lissamphibian (Vertebrata: Tetrapoda) re-examined by μCT scan, and the evolution of trunk length in batrachians. </w:t>
      </w:r>
      <w:r w:rsidRPr="00027B73">
        <w:rPr>
          <w:i/>
        </w:rPr>
        <w:t>Contributions to Zoology</w:t>
      </w:r>
      <w:r w:rsidRPr="00027B73">
        <w:t xml:space="preserve"> </w:t>
      </w:r>
      <w:r w:rsidRPr="00027B73">
        <w:rPr>
          <w:b/>
        </w:rPr>
        <w:t>85</w:t>
      </w:r>
      <w:r w:rsidRPr="00027B73">
        <w:t>, 201-234 (2016).</w:t>
      </w:r>
    </w:p>
    <w:p w14:paraId="657BF980" w14:textId="1C346207" w:rsidR="00027B73" w:rsidRPr="00027B73" w:rsidRDefault="00027B73" w:rsidP="00027B73">
      <w:pPr>
        <w:pStyle w:val="EndNoteBibliography"/>
        <w:ind w:left="720" w:hanging="720"/>
      </w:pPr>
      <w:r w:rsidRPr="00027B73">
        <w:t xml:space="preserve">Barrett, M., Donoghue, M. J. &amp; Sober, E. Against consensus. </w:t>
      </w:r>
      <w:r w:rsidRPr="00027B73">
        <w:rPr>
          <w:i/>
        </w:rPr>
        <w:t>Systematic Zoology</w:t>
      </w:r>
      <w:r w:rsidRPr="00027B73">
        <w:t xml:space="preserve"> </w:t>
      </w:r>
      <w:r w:rsidRPr="00027B73">
        <w:rPr>
          <w:b/>
        </w:rPr>
        <w:t>40</w:t>
      </w:r>
      <w:r w:rsidRPr="00027B73">
        <w:t>, 486-493 (1991).</w:t>
      </w:r>
    </w:p>
    <w:p w14:paraId="1B1DAA22" w14:textId="70699752" w:rsidR="00027B73" w:rsidRPr="00027B73" w:rsidRDefault="00027B73" w:rsidP="00027B73">
      <w:pPr>
        <w:pStyle w:val="EndNoteBibliography"/>
        <w:ind w:left="720" w:hanging="720"/>
      </w:pPr>
      <w:r w:rsidRPr="00027B73">
        <w:t xml:space="preserve">Bazard, D. R. &amp; Butler, R. F. Paleomagnetism of the Chinle and Kayenta Formations, New Mexico and Arizona. </w:t>
      </w:r>
      <w:r w:rsidRPr="00027B73">
        <w:rPr>
          <w:i/>
        </w:rPr>
        <w:t>Journal of Geophysical Research: Solid Earth</w:t>
      </w:r>
      <w:r w:rsidRPr="00027B73">
        <w:t xml:space="preserve"> </w:t>
      </w:r>
      <w:r w:rsidRPr="00027B73">
        <w:rPr>
          <w:b/>
        </w:rPr>
        <w:t>96</w:t>
      </w:r>
      <w:r w:rsidRPr="00027B73">
        <w:t>, 9847-9871 (1991).</w:t>
      </w:r>
    </w:p>
    <w:p w14:paraId="14231BFB" w14:textId="4BEF0640" w:rsidR="00027B73" w:rsidRPr="00027B73" w:rsidRDefault="00027B73" w:rsidP="00027B73">
      <w:pPr>
        <w:pStyle w:val="EndNoteBibliography"/>
        <w:ind w:left="720" w:hanging="720"/>
      </w:pPr>
      <w:r w:rsidRPr="00027B73">
        <w:t xml:space="preserve">Bemis, W. E., Schwenk, K. &amp; Wake, M. Morphology and function of the feeding apparatus in </w:t>
      </w:r>
      <w:r w:rsidRPr="00027B73">
        <w:rPr>
          <w:i/>
        </w:rPr>
        <w:t xml:space="preserve">Dermophis mexicanus </w:t>
      </w:r>
      <w:r w:rsidRPr="00027B73">
        <w:t xml:space="preserve">(Amphibia: Gymnophiona). </w:t>
      </w:r>
      <w:r w:rsidRPr="00027B73">
        <w:rPr>
          <w:i/>
        </w:rPr>
        <w:t>Zoological Journal of the Linnean Society</w:t>
      </w:r>
      <w:r w:rsidRPr="00027B73">
        <w:t xml:space="preserve"> </w:t>
      </w:r>
      <w:r w:rsidRPr="00027B73">
        <w:rPr>
          <w:b/>
        </w:rPr>
        <w:t>77</w:t>
      </w:r>
      <w:r w:rsidRPr="00027B73">
        <w:t>, 75-96 (1983).</w:t>
      </w:r>
    </w:p>
    <w:p w14:paraId="541724B4" w14:textId="17FA97C8" w:rsidR="00027B73" w:rsidRPr="00027B73" w:rsidRDefault="00027B73" w:rsidP="00027B73">
      <w:pPr>
        <w:pStyle w:val="EndNoteBibliography"/>
        <w:ind w:left="720" w:hanging="720"/>
      </w:pPr>
      <w:r w:rsidRPr="00027B73">
        <w:t xml:space="preserve">Berman, D. S. A trimerorhachid amphibian from the Upper Pennsylvanian of New Mexico. </w:t>
      </w:r>
      <w:r w:rsidRPr="00027B73">
        <w:rPr>
          <w:i/>
        </w:rPr>
        <w:t>Journal of Paleontology</w:t>
      </w:r>
      <w:r w:rsidRPr="00027B73">
        <w:t xml:space="preserve"> </w:t>
      </w:r>
      <w:r w:rsidRPr="00027B73">
        <w:rPr>
          <w:b/>
        </w:rPr>
        <w:t>47</w:t>
      </w:r>
      <w:r w:rsidRPr="00027B73">
        <w:t>, 932-945 (1973).</w:t>
      </w:r>
    </w:p>
    <w:p w14:paraId="47260644" w14:textId="48337155" w:rsidR="00027B73" w:rsidRPr="00027B73" w:rsidRDefault="00027B73" w:rsidP="00027B73">
      <w:pPr>
        <w:pStyle w:val="EndNoteBibliography"/>
        <w:ind w:left="720" w:hanging="720"/>
      </w:pPr>
      <w:r w:rsidRPr="00027B73">
        <w:t xml:space="preserve">Berman, D. S., Reisz, R. R. &amp; Eberth, D. A. </w:t>
      </w:r>
      <w:r w:rsidRPr="00027B73">
        <w:rPr>
          <w:i/>
        </w:rPr>
        <w:t>Ecolsonia cutlerensis</w:t>
      </w:r>
      <w:r w:rsidRPr="00027B73">
        <w:t xml:space="preserve">, an Early Permian dissorophid amphibian from the Cutler Formation of north-central New Mexico. </w:t>
      </w:r>
      <w:r w:rsidRPr="00027B73">
        <w:rPr>
          <w:i/>
        </w:rPr>
        <w:t>New Mexico Bureau of Mines &amp; Mineral Resources Circular</w:t>
      </w:r>
      <w:r w:rsidRPr="00027B73">
        <w:t xml:space="preserve"> </w:t>
      </w:r>
      <w:r w:rsidRPr="00027B73">
        <w:rPr>
          <w:b/>
        </w:rPr>
        <w:t>191</w:t>
      </w:r>
      <w:r w:rsidRPr="00027B73">
        <w:t>, 31 (1985).</w:t>
      </w:r>
    </w:p>
    <w:p w14:paraId="4CE87D45" w14:textId="7C9A48AA" w:rsidR="00027B73" w:rsidRPr="00027B73" w:rsidRDefault="00027B73" w:rsidP="00027B73">
      <w:pPr>
        <w:pStyle w:val="EndNoteBibliography"/>
        <w:ind w:left="720" w:hanging="720"/>
      </w:pPr>
      <w:r w:rsidRPr="00027B73">
        <w:t xml:space="preserve">Billo, R. &amp; Wake, M. H. Tentacle development in </w:t>
      </w:r>
      <w:r w:rsidRPr="00027B73">
        <w:rPr>
          <w:i/>
        </w:rPr>
        <w:t xml:space="preserve">Dermophis mexicanus </w:t>
      </w:r>
      <w:r w:rsidRPr="00027B73">
        <w:t xml:space="preserve">(Amphibia, Gymnophiona) with an hypothesis of tentacle origin. </w:t>
      </w:r>
      <w:r w:rsidRPr="00027B73">
        <w:rPr>
          <w:i/>
        </w:rPr>
        <w:t>Journal of Morphology</w:t>
      </w:r>
      <w:r w:rsidRPr="00027B73">
        <w:t xml:space="preserve"> </w:t>
      </w:r>
      <w:r w:rsidRPr="00027B73">
        <w:rPr>
          <w:b/>
        </w:rPr>
        <w:t>192</w:t>
      </w:r>
      <w:r w:rsidRPr="00027B73">
        <w:t>, 101-111 (1987).</w:t>
      </w:r>
    </w:p>
    <w:p w14:paraId="2DF0E68F" w14:textId="091E09DB" w:rsidR="00027B73" w:rsidRPr="00027B73" w:rsidRDefault="00027B73" w:rsidP="00027B73">
      <w:pPr>
        <w:pStyle w:val="EndNoteBibliography"/>
        <w:ind w:left="720" w:hanging="720"/>
      </w:pPr>
      <w:r w:rsidRPr="00027B73">
        <w:t xml:space="preserve">Bjerring, H. C. A new amphibious tetrapod from the Greenlandic Eotriassic. </w:t>
      </w:r>
      <w:r w:rsidRPr="00027B73">
        <w:rPr>
          <w:i/>
        </w:rPr>
        <w:t>Meddelelser om Grønland, Geosciences</w:t>
      </w:r>
      <w:r w:rsidRPr="00027B73">
        <w:t xml:space="preserve"> </w:t>
      </w:r>
      <w:r w:rsidRPr="00027B73">
        <w:rPr>
          <w:b/>
        </w:rPr>
        <w:t>38</w:t>
      </w:r>
      <w:r w:rsidRPr="00027B73">
        <w:t>, 1-42 (1999).</w:t>
      </w:r>
    </w:p>
    <w:p w14:paraId="2A54E7A7" w14:textId="22C3D56F" w:rsidR="00027B73" w:rsidRPr="00027B73" w:rsidRDefault="00027B73" w:rsidP="00027B73">
      <w:pPr>
        <w:pStyle w:val="EndNoteBibliography"/>
        <w:ind w:left="720" w:hanging="720"/>
      </w:pPr>
      <w:r w:rsidRPr="00027B73">
        <w:t xml:space="preserve">Blackburn, D. C., Bickford, D. P., Diesmos, A. C., Iskandar, D. T. &amp; Brown, R. M. An ancient origin for the enigmatic flat-headed frogs (Bombinatoridae: </w:t>
      </w:r>
      <w:r w:rsidRPr="00027B73">
        <w:rPr>
          <w:i/>
        </w:rPr>
        <w:t>Barbourula</w:t>
      </w:r>
      <w:r w:rsidRPr="00027B73">
        <w:t xml:space="preserve">) from the islands of Southeast Asia. </w:t>
      </w:r>
      <w:r w:rsidRPr="00027B73">
        <w:rPr>
          <w:i/>
        </w:rPr>
        <w:t>PLoS One</w:t>
      </w:r>
      <w:r w:rsidRPr="00027B73">
        <w:t xml:space="preserve"> </w:t>
      </w:r>
      <w:r w:rsidRPr="00027B73">
        <w:rPr>
          <w:b/>
        </w:rPr>
        <w:t>5</w:t>
      </w:r>
      <w:r w:rsidRPr="00027B73">
        <w:t>, e12090 (2010).</w:t>
      </w:r>
    </w:p>
    <w:p w14:paraId="4BB25CD2" w14:textId="0CE3F0DA" w:rsidR="00027B73" w:rsidRPr="00027B73" w:rsidRDefault="00027B73" w:rsidP="00027B73">
      <w:pPr>
        <w:pStyle w:val="EndNoteBibliography"/>
        <w:ind w:left="720" w:hanging="720"/>
      </w:pPr>
      <w:r w:rsidRPr="00027B73">
        <w:t xml:space="preserve">Bolt, J. in </w:t>
      </w:r>
      <w:r w:rsidRPr="00027B73">
        <w:rPr>
          <w:i/>
        </w:rPr>
        <w:t>Origins of the Higher Groups of Tetrapods. Controversy and Consensus</w:t>
      </w:r>
      <w:r w:rsidRPr="00027B73">
        <w:t xml:space="preserve"> (ed</w:t>
      </w:r>
      <w:r w:rsidR="0078387C">
        <w:t>s</w:t>
      </w:r>
      <w:r w:rsidRPr="00027B73">
        <w:t xml:space="preserve"> H. P. Schultze and L. Trueb)  194-222 (Comstock Publishing Associates, 1991).</w:t>
      </w:r>
    </w:p>
    <w:p w14:paraId="52A6631F" w14:textId="2171C364" w:rsidR="00027B73" w:rsidRPr="00027B73" w:rsidRDefault="00027B73" w:rsidP="00027B73">
      <w:pPr>
        <w:pStyle w:val="EndNoteBibliography"/>
        <w:ind w:left="720" w:hanging="720"/>
      </w:pPr>
      <w:r w:rsidRPr="00027B73">
        <w:t xml:space="preserve">Bolt, J. R. Lissamphibian origins: possible protolissamphibian from the Lower Permian of Oklahoma. </w:t>
      </w:r>
      <w:r w:rsidRPr="00027B73">
        <w:rPr>
          <w:i/>
        </w:rPr>
        <w:t>Science</w:t>
      </w:r>
      <w:r w:rsidRPr="00027B73">
        <w:t xml:space="preserve"> </w:t>
      </w:r>
      <w:r w:rsidRPr="00027B73">
        <w:rPr>
          <w:b/>
        </w:rPr>
        <w:t>166</w:t>
      </w:r>
      <w:r w:rsidRPr="00027B73">
        <w:t>, 888-891 (1969).</w:t>
      </w:r>
    </w:p>
    <w:p w14:paraId="60188299" w14:textId="67AFFF3F" w:rsidR="00027B73" w:rsidRPr="00027B73" w:rsidRDefault="00027B73" w:rsidP="00027B73">
      <w:pPr>
        <w:pStyle w:val="EndNoteBibliography"/>
        <w:ind w:left="720" w:hanging="720"/>
      </w:pPr>
      <w:r w:rsidRPr="00027B73">
        <w:t xml:space="preserve">Bolt, J. R. A trematopsid skull from the Lower Permian, and analysis of some characters of the dissorophoid (Amphibia: Labyrinthodontia) otic notch. </w:t>
      </w:r>
      <w:r w:rsidRPr="00027B73">
        <w:rPr>
          <w:i/>
        </w:rPr>
        <w:t>Fieldiana: Geology</w:t>
      </w:r>
      <w:r w:rsidRPr="00027B73">
        <w:t xml:space="preserve"> </w:t>
      </w:r>
      <w:r w:rsidRPr="00027B73">
        <w:rPr>
          <w:b/>
        </w:rPr>
        <w:t>30</w:t>
      </w:r>
      <w:r w:rsidRPr="00027B73">
        <w:t>, 67-79 (1974).</w:t>
      </w:r>
    </w:p>
    <w:p w14:paraId="10764033" w14:textId="4E151B2A" w:rsidR="00027B73" w:rsidRPr="00027B73" w:rsidRDefault="00027B73" w:rsidP="00027B73">
      <w:pPr>
        <w:pStyle w:val="EndNoteBibliography"/>
        <w:ind w:left="720" w:hanging="720"/>
      </w:pPr>
      <w:r w:rsidRPr="00027B73">
        <w:t xml:space="preserve">Bolt, J. R. Dissorophoid relationships and ontogeny, and the origin of the Lissamphibia. </w:t>
      </w:r>
      <w:r w:rsidRPr="00027B73">
        <w:rPr>
          <w:i/>
        </w:rPr>
        <w:t>Journal of Paleontology</w:t>
      </w:r>
      <w:r w:rsidRPr="00027B73">
        <w:t xml:space="preserve"> </w:t>
      </w:r>
      <w:r w:rsidRPr="00027B73">
        <w:rPr>
          <w:b/>
        </w:rPr>
        <w:t>51</w:t>
      </w:r>
      <w:r w:rsidRPr="00027B73">
        <w:t>, 235-249 (1977).</w:t>
      </w:r>
    </w:p>
    <w:p w14:paraId="7408C875" w14:textId="119F88FC" w:rsidR="00027B73" w:rsidRPr="00027B73" w:rsidRDefault="00027B73" w:rsidP="00027B73">
      <w:pPr>
        <w:pStyle w:val="EndNoteBibliography"/>
        <w:ind w:left="720" w:hanging="720"/>
      </w:pPr>
      <w:r w:rsidRPr="00027B73">
        <w:t xml:space="preserve">Bolt, J. R. in </w:t>
      </w:r>
      <w:r w:rsidRPr="00027B73">
        <w:rPr>
          <w:i/>
        </w:rPr>
        <w:t>Mazon Creek fossils</w:t>
      </w:r>
      <w:r w:rsidRPr="00027B73">
        <w:t xml:space="preserve"> (ed M H Nitecki)  529-563 (Academic Press, 1979).</w:t>
      </w:r>
    </w:p>
    <w:p w14:paraId="04B61D4D" w14:textId="19B53F99" w:rsidR="00027B73" w:rsidRPr="00027B73" w:rsidRDefault="00027B73" w:rsidP="00027B73">
      <w:pPr>
        <w:pStyle w:val="EndNoteBibliography"/>
        <w:ind w:left="720" w:hanging="720"/>
      </w:pPr>
      <w:r w:rsidRPr="00027B73">
        <w:t xml:space="preserve">Bolt, J. R. &amp; Chatterjee, S. A new temnospondyl amphibian from the Late Triassic of Texas. </w:t>
      </w:r>
      <w:r w:rsidRPr="00027B73">
        <w:rPr>
          <w:i/>
        </w:rPr>
        <w:t>Journal of Paleontology</w:t>
      </w:r>
      <w:r w:rsidRPr="00027B73">
        <w:t xml:space="preserve"> </w:t>
      </w:r>
      <w:r w:rsidRPr="00027B73">
        <w:rPr>
          <w:b/>
        </w:rPr>
        <w:t>74</w:t>
      </w:r>
      <w:r w:rsidRPr="00027B73">
        <w:t>, 670-683 (2000).</w:t>
      </w:r>
    </w:p>
    <w:p w14:paraId="5662AFCF" w14:textId="7360CAFA" w:rsidR="00027B73" w:rsidRPr="00027B73" w:rsidRDefault="00027B73" w:rsidP="00027B73">
      <w:pPr>
        <w:pStyle w:val="EndNoteBibliography"/>
        <w:ind w:left="720" w:hanging="720"/>
      </w:pPr>
      <w:r w:rsidRPr="00027B73">
        <w:t xml:space="preserve">Bolt, J. R. &amp; Lombard, R. E. The mandible of the primitive tetrapod </w:t>
      </w:r>
      <w:r w:rsidRPr="00027B73">
        <w:rPr>
          <w:i/>
        </w:rPr>
        <w:t>Greererpeton</w:t>
      </w:r>
      <w:r w:rsidRPr="00027B73">
        <w:t xml:space="preserve">, and the early evolution of the tetrapod lower jaw. </w:t>
      </w:r>
      <w:r w:rsidRPr="00027B73">
        <w:rPr>
          <w:i/>
        </w:rPr>
        <w:t>Journal of Paleontology</w:t>
      </w:r>
      <w:r w:rsidRPr="00027B73">
        <w:t xml:space="preserve"> </w:t>
      </w:r>
      <w:r w:rsidRPr="00027B73">
        <w:rPr>
          <w:b/>
        </w:rPr>
        <w:t>75</w:t>
      </w:r>
      <w:r w:rsidRPr="00027B73">
        <w:t>, 1016-1042 (2001).</w:t>
      </w:r>
    </w:p>
    <w:p w14:paraId="54284ECB" w14:textId="5E79E40B" w:rsidR="00027B73" w:rsidRPr="00027B73" w:rsidRDefault="00027B73" w:rsidP="00027B73">
      <w:pPr>
        <w:pStyle w:val="EndNoteBibliography"/>
        <w:ind w:left="720" w:hanging="720"/>
      </w:pPr>
      <w:r w:rsidRPr="00027B73">
        <w:t xml:space="preserve">Bolt, J. R. &amp; Lombard, R. E. </w:t>
      </w:r>
      <w:r w:rsidRPr="00027B73">
        <w:rPr>
          <w:i/>
        </w:rPr>
        <w:t>Sigournea multidentata</w:t>
      </w:r>
      <w:r w:rsidRPr="00027B73">
        <w:t xml:space="preserve">, a new stem tetrapod from the Upper Mississippian of Iowa, USA. </w:t>
      </w:r>
      <w:r w:rsidRPr="00027B73">
        <w:rPr>
          <w:i/>
        </w:rPr>
        <w:t>Journal of Paleontology</w:t>
      </w:r>
      <w:r w:rsidRPr="00027B73">
        <w:t xml:space="preserve"> </w:t>
      </w:r>
      <w:r w:rsidRPr="00027B73">
        <w:rPr>
          <w:b/>
        </w:rPr>
        <w:t>80</w:t>
      </w:r>
      <w:r w:rsidRPr="00027B73">
        <w:t>, 717-725 (2006).</w:t>
      </w:r>
    </w:p>
    <w:p w14:paraId="49E6BCEB" w14:textId="54DF20B9" w:rsidR="00027B73" w:rsidRPr="00027B73" w:rsidRDefault="00027B73" w:rsidP="00027B73">
      <w:pPr>
        <w:pStyle w:val="EndNoteBibliography"/>
        <w:ind w:left="720" w:hanging="720"/>
      </w:pPr>
      <w:r w:rsidRPr="00027B73">
        <w:t xml:space="preserve">Bolt, J. R. &amp; Wassersug, R. J. Functional morphology of the skull in </w:t>
      </w:r>
      <w:r w:rsidRPr="00027B73">
        <w:rPr>
          <w:i/>
        </w:rPr>
        <w:t>Lysorophus</w:t>
      </w:r>
      <w:r w:rsidRPr="00027B73">
        <w:t xml:space="preserve">: a snake-like Paleozoic amphibian (Lepospondyli). </w:t>
      </w:r>
      <w:r w:rsidRPr="00027B73">
        <w:rPr>
          <w:i/>
        </w:rPr>
        <w:t>Paleobiology</w:t>
      </w:r>
      <w:r w:rsidRPr="00027B73">
        <w:t xml:space="preserve"> </w:t>
      </w:r>
      <w:r w:rsidRPr="00027B73">
        <w:rPr>
          <w:b/>
        </w:rPr>
        <w:t>1</w:t>
      </w:r>
      <w:r w:rsidRPr="00027B73">
        <w:t>, 320-332 (1975).</w:t>
      </w:r>
    </w:p>
    <w:p w14:paraId="4C73F757" w14:textId="15C9D467" w:rsidR="00027B73" w:rsidRPr="00027B73" w:rsidRDefault="00027B73" w:rsidP="00027B73">
      <w:pPr>
        <w:pStyle w:val="EndNoteBibliography"/>
        <w:ind w:left="720" w:hanging="720"/>
      </w:pPr>
      <w:r w:rsidRPr="00027B73">
        <w:t xml:space="preserve">Bonett, R. M., Trujano-Alvarez, A. L., Williams, M. J. &amp; Timpe, E. K. Biogeography and body size shuffling of aquatic salamander communities on a shifting refuge. </w:t>
      </w:r>
      <w:r w:rsidRPr="00027B73">
        <w:rPr>
          <w:i/>
        </w:rPr>
        <w:t>Proceedings of the Royal Society B: Biological Sciences</w:t>
      </w:r>
      <w:r w:rsidRPr="00027B73">
        <w:t xml:space="preserve"> </w:t>
      </w:r>
      <w:r w:rsidRPr="00027B73">
        <w:rPr>
          <w:b/>
        </w:rPr>
        <w:t>280</w:t>
      </w:r>
      <w:r w:rsidRPr="00027B73">
        <w:t>, 20130200 (2013).</w:t>
      </w:r>
    </w:p>
    <w:p w14:paraId="36BF42AF" w14:textId="62FF125E" w:rsidR="00027B73" w:rsidRPr="00027B73" w:rsidRDefault="00027B73" w:rsidP="00027B73">
      <w:pPr>
        <w:pStyle w:val="EndNoteBibliography"/>
        <w:ind w:left="720" w:hanging="720"/>
      </w:pPr>
      <w:r w:rsidRPr="00027B73">
        <w:t xml:space="preserve">Boulenger, G. No. XVI.-A list of the freshwater fishes, batrachians, and reptiles obtained by Mr. J. Stanley Gardiner’s expedition to the Indian Ocean. </w:t>
      </w:r>
      <w:r w:rsidRPr="00027B73">
        <w:rPr>
          <w:i/>
        </w:rPr>
        <w:t>Transactions of the Linnean Society of London. 2nd Series: Zoology</w:t>
      </w:r>
      <w:r w:rsidRPr="00027B73">
        <w:t xml:space="preserve"> </w:t>
      </w:r>
      <w:r w:rsidRPr="00027B73">
        <w:rPr>
          <w:b/>
        </w:rPr>
        <w:t>12</w:t>
      </w:r>
      <w:r w:rsidRPr="00027B73">
        <w:t>, 291-300 (1909).</w:t>
      </w:r>
    </w:p>
    <w:p w14:paraId="020D0926" w14:textId="2631C82B" w:rsidR="00027B73" w:rsidRPr="00027B73" w:rsidRDefault="00027B73" w:rsidP="00027B73">
      <w:pPr>
        <w:pStyle w:val="EndNoteBibliography"/>
        <w:ind w:left="720" w:hanging="720"/>
      </w:pPr>
      <w:r w:rsidRPr="00027B73">
        <w:t xml:space="preserve">Boy, J. &amp; Sues, H. in </w:t>
      </w:r>
      <w:r w:rsidRPr="00027B73">
        <w:rPr>
          <w:i/>
        </w:rPr>
        <w:t>Amphibian biology</w:t>
      </w:r>
      <w:r w:rsidRPr="00027B73">
        <w:t xml:space="preserve"> Vol. 4  (eds H Heatwole &amp; RL Carroll)  1150-1197 (2000).</w:t>
      </w:r>
    </w:p>
    <w:p w14:paraId="605CA39A" w14:textId="50545024" w:rsidR="00027B73" w:rsidRDefault="00027B73" w:rsidP="00027B73">
      <w:pPr>
        <w:pStyle w:val="EndNoteBibliography"/>
        <w:ind w:left="720" w:hanging="720"/>
      </w:pPr>
      <w:r w:rsidRPr="00027B73">
        <w:t xml:space="preserve">Boy, J. A. Über </w:t>
      </w:r>
      <w:r w:rsidRPr="00027B73">
        <w:rPr>
          <w:i/>
        </w:rPr>
        <w:t>Micropholis</w:t>
      </w:r>
      <w:r w:rsidRPr="00027B73">
        <w:t xml:space="preserve">, den letzten Überlebenden der Dissorophoidea (Amphibia, Temnospondyli; Unter-Trias). </w:t>
      </w:r>
      <w:r w:rsidRPr="00027B73">
        <w:rPr>
          <w:i/>
        </w:rPr>
        <w:t>Neues Jahrbuch für Geologie und Paläontologie-Monatshefte</w:t>
      </w:r>
      <w:r w:rsidRPr="00027B73">
        <w:t xml:space="preserve"> </w:t>
      </w:r>
      <w:r w:rsidRPr="00027B73">
        <w:rPr>
          <w:b/>
        </w:rPr>
        <w:t>1985</w:t>
      </w:r>
      <w:r w:rsidRPr="00027B73">
        <w:t>, 29-45 (1985).</w:t>
      </w:r>
    </w:p>
    <w:p w14:paraId="457AA268" w14:textId="1342142C" w:rsidR="00F26BDB" w:rsidRPr="00027B73" w:rsidRDefault="00F26BDB" w:rsidP="00B2362F">
      <w:pPr>
        <w:pStyle w:val="EndNoteBibliography"/>
        <w:ind w:left="720" w:hanging="720"/>
      </w:pPr>
      <w:r>
        <w:t>Boy, J A</w:t>
      </w:r>
      <w:r w:rsidRPr="00027B73">
        <w:t xml:space="preserve">. Studien über die Branchiosauridae (Amphibia: Temnospondyli; Ober-Karbon-Unter-Perm). 2. Systematische Übersicht. </w:t>
      </w:r>
      <w:r w:rsidRPr="00027B73">
        <w:rPr>
          <w:i/>
        </w:rPr>
        <w:t>Neues Jahrbuch für Geologie und Paläontologie. Abhandlungen</w:t>
      </w:r>
      <w:r w:rsidRPr="00027B73">
        <w:t xml:space="preserve"> </w:t>
      </w:r>
      <w:r w:rsidRPr="00027B73">
        <w:rPr>
          <w:b/>
        </w:rPr>
        <w:t>174</w:t>
      </w:r>
      <w:r w:rsidRPr="00027B73">
        <w:t>, 75-104 (1987).</w:t>
      </w:r>
    </w:p>
    <w:p w14:paraId="7747FB60" w14:textId="2039F74B" w:rsidR="00027B73" w:rsidRPr="00027B73" w:rsidRDefault="00027B73" w:rsidP="00027B73">
      <w:pPr>
        <w:pStyle w:val="EndNoteBibliography"/>
        <w:ind w:left="720" w:hanging="720"/>
      </w:pPr>
      <w:r w:rsidRPr="00027B73">
        <w:t xml:space="preserve">Boy, J. A. Über einige Vertreter der Eryopoidea (Amphibia: Temnospondyli) aus dem europäischen Rotliegend (? höchstes Karbon—Perm) 1. </w:t>
      </w:r>
      <w:r w:rsidRPr="00027B73">
        <w:rPr>
          <w:i/>
        </w:rPr>
        <w:t>Sclerocephalus</w:t>
      </w:r>
      <w:r w:rsidRPr="00027B73">
        <w:t xml:space="preserve">. </w:t>
      </w:r>
      <w:r w:rsidRPr="00027B73">
        <w:rPr>
          <w:i/>
        </w:rPr>
        <w:t>Paläontologische Zeitschrift</w:t>
      </w:r>
      <w:r w:rsidRPr="00027B73">
        <w:t xml:space="preserve"> </w:t>
      </w:r>
      <w:r w:rsidRPr="00027B73">
        <w:rPr>
          <w:b/>
        </w:rPr>
        <w:t>62</w:t>
      </w:r>
      <w:r w:rsidRPr="00027B73">
        <w:t>, 107-132 (1988).</w:t>
      </w:r>
    </w:p>
    <w:p w14:paraId="17ABA83D" w14:textId="7DA4425E" w:rsidR="00027B73" w:rsidRPr="00027B73" w:rsidRDefault="00027B73" w:rsidP="00027B73">
      <w:pPr>
        <w:pStyle w:val="EndNoteBibliography"/>
        <w:ind w:left="720" w:hanging="720"/>
      </w:pPr>
      <w:r w:rsidRPr="00027B73">
        <w:t xml:space="preserve">Boy, J. A. Über einige Vertreter der Eryopoidea (Amphibia: Temnospondyli) aus dem europäischen Rotliegend (? höchstes Oberkarbon—Perm) 2. </w:t>
      </w:r>
      <w:r w:rsidRPr="00027B73">
        <w:rPr>
          <w:i/>
        </w:rPr>
        <w:t>Acanthostomatops</w:t>
      </w:r>
      <w:r w:rsidRPr="00027B73">
        <w:t xml:space="preserve">. </w:t>
      </w:r>
      <w:r w:rsidRPr="00027B73">
        <w:rPr>
          <w:i/>
        </w:rPr>
        <w:t>Paläontologische Zeitschrift</w:t>
      </w:r>
      <w:r w:rsidRPr="00027B73">
        <w:t xml:space="preserve"> </w:t>
      </w:r>
      <w:r w:rsidRPr="00027B73">
        <w:rPr>
          <w:b/>
        </w:rPr>
        <w:t>63</w:t>
      </w:r>
      <w:r w:rsidRPr="00027B73">
        <w:t>, 133-151 (1989).</w:t>
      </w:r>
    </w:p>
    <w:p w14:paraId="5197B2BA" w14:textId="369336A6" w:rsidR="00027B73" w:rsidRPr="00027B73" w:rsidRDefault="00027B73" w:rsidP="00027B73">
      <w:pPr>
        <w:pStyle w:val="EndNoteBibliography"/>
        <w:ind w:left="720" w:hanging="720"/>
      </w:pPr>
      <w:r w:rsidRPr="00027B73">
        <w:t xml:space="preserve">Boy, J. A. Über einige Vertreter der Eryopoidea (Amphibia: Temnospondyli) aus dem europäischen Rotliegend (? höchstes Karbon-Perm) 3. </w:t>
      </w:r>
      <w:r w:rsidRPr="00027B73">
        <w:rPr>
          <w:i/>
        </w:rPr>
        <w:t>Onchiodon</w:t>
      </w:r>
      <w:r w:rsidRPr="00027B73">
        <w:t xml:space="preserve">. </w:t>
      </w:r>
      <w:r w:rsidRPr="00027B73">
        <w:rPr>
          <w:i/>
        </w:rPr>
        <w:t>Paläontologische Zeitschrift</w:t>
      </w:r>
      <w:r w:rsidRPr="00027B73">
        <w:t xml:space="preserve"> </w:t>
      </w:r>
      <w:r w:rsidRPr="00027B73">
        <w:rPr>
          <w:b/>
        </w:rPr>
        <w:t>64</w:t>
      </w:r>
      <w:r w:rsidRPr="00027B73">
        <w:t>, 287-312 (1990).</w:t>
      </w:r>
    </w:p>
    <w:p w14:paraId="223AE1A5" w14:textId="76915E40" w:rsidR="00027B73" w:rsidRPr="00027B73" w:rsidRDefault="00027B73" w:rsidP="00027B73">
      <w:pPr>
        <w:pStyle w:val="EndNoteBibliography"/>
        <w:ind w:left="720" w:hanging="720"/>
      </w:pPr>
      <w:r w:rsidRPr="00027B73">
        <w:t xml:space="preserve">Boy, J. A. Über einige vertreter der Eryopoidea (Amphibia: Temnospondyli) aus dem europäischen Rotliegend (? höchstes Karbon-Perm) 4. </w:t>
      </w:r>
      <w:r w:rsidRPr="00027B73">
        <w:rPr>
          <w:i/>
        </w:rPr>
        <w:t>Cheliderpeton latirostre</w:t>
      </w:r>
      <w:r w:rsidRPr="00027B73">
        <w:t xml:space="preserve">. </w:t>
      </w:r>
      <w:r w:rsidRPr="00027B73">
        <w:rPr>
          <w:i/>
        </w:rPr>
        <w:t>Paläontologische Zeitschrift</w:t>
      </w:r>
      <w:r w:rsidRPr="00027B73">
        <w:t xml:space="preserve"> </w:t>
      </w:r>
      <w:r w:rsidRPr="00027B73">
        <w:rPr>
          <w:b/>
        </w:rPr>
        <w:t>67</w:t>
      </w:r>
      <w:r w:rsidRPr="00027B73">
        <w:t>, 123-143 (1993).</w:t>
      </w:r>
    </w:p>
    <w:p w14:paraId="71D4507D" w14:textId="564D54E9" w:rsidR="00027B73" w:rsidRPr="00027B73" w:rsidRDefault="00027B73" w:rsidP="00027B73">
      <w:pPr>
        <w:pStyle w:val="EndNoteBibliography"/>
        <w:ind w:left="720" w:hanging="720"/>
      </w:pPr>
      <w:r w:rsidRPr="00027B73">
        <w:t xml:space="preserve">Boy, J. A. Über die Micromelerpetontidae (Amphibia: Temnospondyli). 1. Morphologie und Paläoökologie des </w:t>
      </w:r>
      <w:r w:rsidRPr="00027B73">
        <w:rPr>
          <w:i/>
        </w:rPr>
        <w:t xml:space="preserve">Micromelerpeton credneri </w:t>
      </w:r>
      <w:r w:rsidRPr="00027B73">
        <w:t xml:space="preserve">(Unter-Perm; SW-Deutschland). </w:t>
      </w:r>
      <w:r w:rsidRPr="00027B73">
        <w:rPr>
          <w:i/>
        </w:rPr>
        <w:t>Paläontologische Zeitschrift</w:t>
      </w:r>
      <w:r w:rsidRPr="00027B73">
        <w:t xml:space="preserve"> </w:t>
      </w:r>
      <w:r w:rsidRPr="00027B73">
        <w:rPr>
          <w:b/>
        </w:rPr>
        <w:t>69</w:t>
      </w:r>
      <w:r w:rsidRPr="00027B73">
        <w:t>, 429-457 (1995).</w:t>
      </w:r>
    </w:p>
    <w:p w14:paraId="7A66B565" w14:textId="0AA5FD15" w:rsidR="00027B73" w:rsidRPr="00027B73" w:rsidRDefault="00027B73" w:rsidP="00027B73">
      <w:pPr>
        <w:pStyle w:val="EndNoteBibliography"/>
        <w:ind w:left="720" w:hanging="720"/>
      </w:pPr>
      <w:r w:rsidRPr="00027B73">
        <w:t xml:space="preserve">Brazeau, M. D. Problematic character coding methods in morphology and their effects. </w:t>
      </w:r>
      <w:r w:rsidRPr="00027B73">
        <w:rPr>
          <w:i/>
        </w:rPr>
        <w:t>Biological Journal of the Linnean Society</w:t>
      </w:r>
      <w:r w:rsidRPr="00027B73">
        <w:t xml:space="preserve"> </w:t>
      </w:r>
      <w:r w:rsidRPr="00027B73">
        <w:rPr>
          <w:b/>
        </w:rPr>
        <w:t>104</w:t>
      </w:r>
      <w:r w:rsidRPr="00027B73">
        <w:t>, 489-498 (2011).</w:t>
      </w:r>
    </w:p>
    <w:p w14:paraId="474B6AE6" w14:textId="0B28BDB3" w:rsidR="00027B73" w:rsidRPr="00027B73" w:rsidRDefault="00027B73" w:rsidP="0078387C">
      <w:pPr>
        <w:pStyle w:val="EndNoteBibliography"/>
        <w:ind w:left="720" w:hanging="720"/>
      </w:pPr>
      <w:r w:rsidRPr="00027B73">
        <w:t>Broili, F. &amp; Schröder, J. Beobachtungen an wirbeltieren der Karrooformation.</w:t>
      </w:r>
      <w:r w:rsidRPr="00027B73">
        <w:rPr>
          <w:i/>
        </w:rPr>
        <w:t xml:space="preserve"> Sitzungsberichte der Bayerischen Akademie</w:t>
      </w:r>
      <w:r w:rsidR="00FA5831">
        <w:rPr>
          <w:i/>
        </w:rPr>
        <w:t xml:space="preserve"> </w:t>
      </w:r>
      <w:r w:rsidRPr="00027B73">
        <w:rPr>
          <w:i/>
        </w:rPr>
        <w:t>der Wissenschaften, Mathematisch-Naturwissenschaftliche Abteilung</w:t>
      </w:r>
      <w:r w:rsidRPr="00027B73">
        <w:t xml:space="preserve"> </w:t>
      </w:r>
      <w:r w:rsidRPr="00027B73">
        <w:rPr>
          <w:b/>
        </w:rPr>
        <w:t>1937</w:t>
      </w:r>
      <w:r w:rsidRPr="00027B73">
        <w:t>, 19-37 (1937).</w:t>
      </w:r>
    </w:p>
    <w:p w14:paraId="56B45E0A" w14:textId="6B6BD89E" w:rsidR="00027B73" w:rsidRPr="00027B73" w:rsidRDefault="00027B73" w:rsidP="00027B73">
      <w:pPr>
        <w:pStyle w:val="EndNoteBibliography"/>
        <w:ind w:left="720" w:hanging="720"/>
      </w:pPr>
      <w:r w:rsidRPr="00027B73">
        <w:t xml:space="preserve">Broom, R. Notes on some labyrinthodonts in the Transvaal Museum. </w:t>
      </w:r>
      <w:r w:rsidRPr="00027B73">
        <w:rPr>
          <w:i/>
        </w:rPr>
        <w:t>Annals of the Transvaal Museum</w:t>
      </w:r>
      <w:r w:rsidRPr="00027B73">
        <w:t xml:space="preserve"> </w:t>
      </w:r>
      <w:r w:rsidRPr="00027B73">
        <w:rPr>
          <w:b/>
        </w:rPr>
        <w:t>14</w:t>
      </w:r>
      <w:r w:rsidRPr="00027B73">
        <w:t>, 1-10 (1930).</w:t>
      </w:r>
    </w:p>
    <w:p w14:paraId="7E2F9038" w14:textId="24BC3370" w:rsidR="00027B73" w:rsidRPr="00027B73" w:rsidRDefault="00027B73" w:rsidP="00027B73">
      <w:pPr>
        <w:pStyle w:val="EndNoteBibliography"/>
        <w:ind w:left="720" w:hanging="720"/>
      </w:pPr>
      <w:r w:rsidRPr="00027B73">
        <w:t xml:space="preserve">Brusatte, S. L., Butler, R. J., Mateus, O. &amp; Steyer, J. S. A new species of </w:t>
      </w:r>
      <w:r w:rsidRPr="00027B73">
        <w:rPr>
          <w:i/>
        </w:rPr>
        <w:t xml:space="preserve">Metoposaurus </w:t>
      </w:r>
      <w:r w:rsidRPr="00027B73">
        <w:t xml:space="preserve">from the Late Triassic of Portugal and comments on the systematics and biogeography of metoposaurid temnospondyls. </w:t>
      </w:r>
      <w:r w:rsidRPr="00027B73">
        <w:rPr>
          <w:i/>
        </w:rPr>
        <w:t>Journal of Vertebrate Paleontology</w:t>
      </w:r>
      <w:r w:rsidRPr="00027B73">
        <w:t xml:space="preserve"> </w:t>
      </w:r>
      <w:r w:rsidRPr="00027B73">
        <w:rPr>
          <w:b/>
        </w:rPr>
        <w:t>35</w:t>
      </w:r>
      <w:r w:rsidRPr="00027B73">
        <w:t>, e912988 (2015).</w:t>
      </w:r>
    </w:p>
    <w:p w14:paraId="73561B08" w14:textId="19523224" w:rsidR="00027B73" w:rsidRPr="00027B73" w:rsidRDefault="00027B73" w:rsidP="00027B73">
      <w:pPr>
        <w:pStyle w:val="EndNoteBibliography"/>
        <w:ind w:left="720" w:hanging="720"/>
      </w:pPr>
      <w:r w:rsidRPr="00027B73">
        <w:t xml:space="preserve">Buffa, V., Jalil, N. E. &amp; Steyer, J. S. Redescription of </w:t>
      </w:r>
      <w:r w:rsidRPr="00027B73">
        <w:rPr>
          <w:i/>
        </w:rPr>
        <w:t xml:space="preserve">Arganasaurus </w:t>
      </w:r>
      <w:r w:rsidRPr="00027B73">
        <w:t>(</w:t>
      </w:r>
      <w:r w:rsidRPr="00027B73">
        <w:rPr>
          <w:i/>
        </w:rPr>
        <w:t>Metoposaurus</w:t>
      </w:r>
      <w:r w:rsidRPr="00027B73">
        <w:t xml:space="preserve">) </w:t>
      </w:r>
      <w:r w:rsidRPr="00027B73">
        <w:rPr>
          <w:i/>
        </w:rPr>
        <w:t xml:space="preserve">azerouali </w:t>
      </w:r>
      <w:r w:rsidRPr="00027B73">
        <w:t xml:space="preserve">(Dutuit) comb. nov. from the Upper Triassic of the Argana Basin (Morocco), and the first phylogenetic analysis of the Metoposauridae (Amphibia, Temnospondyli). </w:t>
      </w:r>
      <w:r w:rsidRPr="00027B73">
        <w:rPr>
          <w:i/>
        </w:rPr>
        <w:t>Papers in Palaeontology</w:t>
      </w:r>
      <w:r w:rsidRPr="00027B73">
        <w:t xml:space="preserve"> </w:t>
      </w:r>
      <w:r w:rsidRPr="00027B73">
        <w:rPr>
          <w:b/>
        </w:rPr>
        <w:t>5</w:t>
      </w:r>
      <w:r w:rsidRPr="00027B73">
        <w:t>, 699-717 (2019).</w:t>
      </w:r>
    </w:p>
    <w:p w14:paraId="4C4DCC45" w14:textId="0881D498" w:rsidR="00027B73" w:rsidRPr="00027B73" w:rsidRDefault="00027B73" w:rsidP="00027B73">
      <w:pPr>
        <w:pStyle w:val="EndNoteBibliography"/>
        <w:ind w:left="720" w:hanging="720"/>
      </w:pPr>
      <w:r w:rsidRPr="00027B73">
        <w:t xml:space="preserve">Bystrow, A. </w:t>
      </w:r>
      <w:r w:rsidRPr="00027B73">
        <w:rPr>
          <w:i/>
        </w:rPr>
        <w:t xml:space="preserve">Dvinosaurus </w:t>
      </w:r>
      <w:r w:rsidRPr="00027B73">
        <w:t xml:space="preserve">als neotenische Form der Stegocephalen. </w:t>
      </w:r>
      <w:r w:rsidRPr="00027B73">
        <w:rPr>
          <w:i/>
        </w:rPr>
        <w:t>Acta Zoologica</w:t>
      </w:r>
      <w:r w:rsidRPr="00027B73">
        <w:t xml:space="preserve"> </w:t>
      </w:r>
      <w:r w:rsidRPr="00027B73">
        <w:rPr>
          <w:b/>
        </w:rPr>
        <w:t>19</w:t>
      </w:r>
      <w:r w:rsidRPr="00027B73">
        <w:t>, 209-295 (1938).</w:t>
      </w:r>
    </w:p>
    <w:p w14:paraId="0FF94617" w14:textId="15E57381" w:rsidR="00027B73" w:rsidRPr="00027B73" w:rsidRDefault="00027B73" w:rsidP="00027B73">
      <w:pPr>
        <w:pStyle w:val="EndNoteBibliography"/>
        <w:ind w:left="720" w:hanging="720"/>
      </w:pPr>
      <w:r w:rsidRPr="00027B73">
        <w:t xml:space="preserve">Bystrow, A. &amp; Efremov, J. </w:t>
      </w:r>
      <w:r w:rsidRPr="00027B73">
        <w:rPr>
          <w:i/>
        </w:rPr>
        <w:t>Benthosuchus sushkini</w:t>
      </w:r>
      <w:r w:rsidRPr="00027B73">
        <w:t xml:space="preserve"> Efr.—a labyrinthodont from the Eotriassic of Sharzhenga River. </w:t>
      </w:r>
      <w:r w:rsidRPr="00027B73">
        <w:rPr>
          <w:i/>
        </w:rPr>
        <w:t>Trudy Paleontologicheskogo Instituta</w:t>
      </w:r>
      <w:r w:rsidRPr="00027B73">
        <w:t xml:space="preserve"> </w:t>
      </w:r>
      <w:r w:rsidRPr="00027B73">
        <w:rPr>
          <w:b/>
        </w:rPr>
        <w:t>10</w:t>
      </w:r>
      <w:r w:rsidRPr="00027B73">
        <w:t>, 1-152 (1940).</w:t>
      </w:r>
    </w:p>
    <w:p w14:paraId="25948588" w14:textId="31A59FC8" w:rsidR="00027B73" w:rsidRPr="00027B73" w:rsidRDefault="00027B73" w:rsidP="00027B73">
      <w:pPr>
        <w:pStyle w:val="EndNoteBibliography"/>
        <w:ind w:left="720" w:hanging="720"/>
      </w:pPr>
      <w:r w:rsidRPr="00027B73">
        <w:t xml:space="preserve">Carlson, K. J. </w:t>
      </w:r>
      <w:r w:rsidRPr="00027B73">
        <w:rPr>
          <w:i/>
        </w:rPr>
        <w:t>Perryella</w:t>
      </w:r>
      <w:r w:rsidRPr="00027B73">
        <w:t xml:space="preserve">, a new temnospondylous amphibian from the Lower Permian of Oklahoma. </w:t>
      </w:r>
      <w:r w:rsidRPr="00027B73">
        <w:rPr>
          <w:i/>
        </w:rPr>
        <w:t>Journal of Paleontology</w:t>
      </w:r>
      <w:r w:rsidRPr="00027B73">
        <w:t xml:space="preserve"> </w:t>
      </w:r>
      <w:r w:rsidRPr="00027B73">
        <w:rPr>
          <w:b/>
        </w:rPr>
        <w:t>61</w:t>
      </w:r>
      <w:r w:rsidRPr="00027B73">
        <w:t>, 135-147 (1987).</w:t>
      </w:r>
    </w:p>
    <w:p w14:paraId="5E503DAC" w14:textId="02AD5619" w:rsidR="00027B73" w:rsidRPr="00027B73" w:rsidRDefault="00027B73" w:rsidP="00027B73">
      <w:pPr>
        <w:pStyle w:val="EndNoteBibliography"/>
        <w:ind w:left="720" w:hanging="720"/>
      </w:pPr>
      <w:r w:rsidRPr="00027B73">
        <w:t xml:space="preserve">Carroll, R. L. Early Evolution of the Dissorophid Amphibians. </w:t>
      </w:r>
      <w:r w:rsidRPr="00027B73">
        <w:rPr>
          <w:i/>
        </w:rPr>
        <w:t>Bulletin of the Museum of Comparative Zoology</w:t>
      </w:r>
      <w:r w:rsidRPr="00027B73">
        <w:t xml:space="preserve"> </w:t>
      </w:r>
      <w:r w:rsidRPr="00027B73">
        <w:rPr>
          <w:b/>
        </w:rPr>
        <w:t>131</w:t>
      </w:r>
      <w:r w:rsidRPr="00027B73">
        <w:t>, 161-250 (1964).</w:t>
      </w:r>
    </w:p>
    <w:p w14:paraId="05FAAC81" w14:textId="2CEA53AA" w:rsidR="00027B73" w:rsidRPr="00027B73" w:rsidRDefault="00027B73" w:rsidP="00027B73">
      <w:pPr>
        <w:pStyle w:val="EndNoteBibliography"/>
        <w:ind w:left="720" w:hanging="720"/>
      </w:pPr>
      <w:r w:rsidRPr="00027B73">
        <w:t xml:space="preserve">Carroll, R. L. A tiny microsaur from the Lower Permian of Texas: size constraints in Palaeozoic tetrapods. </w:t>
      </w:r>
      <w:r w:rsidRPr="00027B73">
        <w:rPr>
          <w:i/>
        </w:rPr>
        <w:t>Palaeontology</w:t>
      </w:r>
      <w:r w:rsidRPr="00027B73">
        <w:t xml:space="preserve"> </w:t>
      </w:r>
      <w:r w:rsidRPr="00027B73">
        <w:rPr>
          <w:b/>
        </w:rPr>
        <w:t>33</w:t>
      </w:r>
      <w:r w:rsidRPr="00027B73">
        <w:t>, 893-909 (1990).</w:t>
      </w:r>
    </w:p>
    <w:p w14:paraId="31AE7BF4" w14:textId="601D2E71" w:rsidR="00027B73" w:rsidRPr="00027B73" w:rsidRDefault="00027B73" w:rsidP="00027B73">
      <w:pPr>
        <w:pStyle w:val="EndNoteBibliography"/>
        <w:ind w:left="720" w:hanging="720"/>
      </w:pPr>
      <w:r w:rsidRPr="00027B73">
        <w:t xml:space="preserve">Carroll, R. L. </w:t>
      </w:r>
      <w:r w:rsidRPr="00027B73">
        <w:rPr>
          <w:i/>
        </w:rPr>
        <w:t>Batropetes</w:t>
      </w:r>
      <w:r w:rsidRPr="00027B73">
        <w:t xml:space="preserve"> from the Lower Permian of Europe—a microsaur, not a reptile. </w:t>
      </w:r>
      <w:r w:rsidRPr="00027B73">
        <w:rPr>
          <w:i/>
        </w:rPr>
        <w:t>Journal of Vertebrate Paleontology</w:t>
      </w:r>
      <w:r w:rsidRPr="00027B73">
        <w:t xml:space="preserve"> </w:t>
      </w:r>
      <w:r w:rsidRPr="00027B73">
        <w:rPr>
          <w:b/>
        </w:rPr>
        <w:t>11</w:t>
      </w:r>
      <w:r w:rsidRPr="00027B73">
        <w:t>, 229-242 (1991).</w:t>
      </w:r>
    </w:p>
    <w:p w14:paraId="6CED42BC" w14:textId="5AD10483" w:rsidR="00027B73" w:rsidRPr="00027B73" w:rsidRDefault="00027B73" w:rsidP="00027B73">
      <w:pPr>
        <w:pStyle w:val="EndNoteBibliography"/>
        <w:ind w:left="720" w:hanging="720"/>
      </w:pPr>
      <w:r w:rsidRPr="00027B73">
        <w:t xml:space="preserve">Carroll, R. L. The Palaeozoic ancestry of salamanders, frogs and caecilians. </w:t>
      </w:r>
      <w:r w:rsidRPr="00027B73">
        <w:rPr>
          <w:i/>
        </w:rPr>
        <w:t>Zoological Journal of the Linnean Society</w:t>
      </w:r>
      <w:r w:rsidRPr="00027B73">
        <w:t xml:space="preserve"> </w:t>
      </w:r>
      <w:r w:rsidRPr="00027B73">
        <w:rPr>
          <w:b/>
        </w:rPr>
        <w:t>150</w:t>
      </w:r>
      <w:r w:rsidRPr="00027B73">
        <w:t>, 1-140 (2007).</w:t>
      </w:r>
    </w:p>
    <w:p w14:paraId="016C6799" w14:textId="7E10B4C5" w:rsidR="00027B73" w:rsidRPr="00027B73" w:rsidRDefault="00027B73" w:rsidP="00027B73">
      <w:pPr>
        <w:pStyle w:val="EndNoteBibliography"/>
        <w:ind w:left="720" w:hanging="720"/>
      </w:pPr>
      <w:r w:rsidRPr="00027B73">
        <w:t xml:space="preserve">Carroll, R. L. &amp; Gaskill, P. The Order Microsauria </w:t>
      </w:r>
      <w:r w:rsidRPr="00027B73">
        <w:rPr>
          <w:i/>
        </w:rPr>
        <w:t>Memoirs of the American Philosophical Society</w:t>
      </w:r>
      <w:r w:rsidRPr="00027B73">
        <w:t xml:space="preserve"> </w:t>
      </w:r>
      <w:r w:rsidRPr="00027B73">
        <w:rPr>
          <w:b/>
        </w:rPr>
        <w:t>126</w:t>
      </w:r>
      <w:r w:rsidRPr="00027B73">
        <w:t>, 1-211 (1978).</w:t>
      </w:r>
    </w:p>
    <w:p w14:paraId="0E1EB48B" w14:textId="69CE6EFC" w:rsidR="00027B73" w:rsidRPr="00027B73" w:rsidRDefault="00027B73" w:rsidP="00027B73">
      <w:pPr>
        <w:pStyle w:val="EndNoteBibliography"/>
        <w:ind w:left="720" w:hanging="720"/>
      </w:pPr>
      <w:r w:rsidRPr="00027B73">
        <w:t xml:space="preserve">Carroll, R. L. &amp; Holmes, R. The skull and jaw musculature as guides to the ancestry of salamanders. </w:t>
      </w:r>
      <w:r w:rsidRPr="00027B73">
        <w:rPr>
          <w:i/>
        </w:rPr>
        <w:t>Zoological Journal of the Linnean Society</w:t>
      </w:r>
      <w:r w:rsidRPr="00027B73">
        <w:t xml:space="preserve"> </w:t>
      </w:r>
      <w:r w:rsidRPr="00027B73">
        <w:rPr>
          <w:b/>
        </w:rPr>
        <w:t>68</w:t>
      </w:r>
      <w:r w:rsidRPr="00027B73">
        <w:t>, 1-40 (1980).</w:t>
      </w:r>
    </w:p>
    <w:p w14:paraId="00ED38A7" w14:textId="4FFDC1EB" w:rsidR="00027B73" w:rsidRPr="00027B73" w:rsidRDefault="00027B73" w:rsidP="00027B73">
      <w:pPr>
        <w:pStyle w:val="EndNoteBibliography"/>
        <w:ind w:left="720" w:hanging="720"/>
      </w:pPr>
      <w:r w:rsidRPr="00027B73">
        <w:t xml:space="preserve">Case, E. C. Notes on the skull of </w:t>
      </w:r>
      <w:r w:rsidRPr="00027B73">
        <w:rPr>
          <w:i/>
        </w:rPr>
        <w:t>Lysorophus tricarinatus</w:t>
      </w:r>
      <w:r w:rsidRPr="00027B73">
        <w:t xml:space="preserve"> Cope. . </w:t>
      </w:r>
      <w:r w:rsidRPr="00027B73">
        <w:rPr>
          <w:i/>
        </w:rPr>
        <w:t>Bulletin of the American Museum of Natural History</w:t>
      </w:r>
      <w:r w:rsidRPr="00027B73">
        <w:t xml:space="preserve"> </w:t>
      </w:r>
      <w:r w:rsidRPr="00027B73">
        <w:rPr>
          <w:b/>
        </w:rPr>
        <w:t>24</w:t>
      </w:r>
      <w:r w:rsidRPr="00027B73">
        <w:t>, 1-26 (1908).</w:t>
      </w:r>
    </w:p>
    <w:p w14:paraId="294D81FB" w14:textId="02A36A4B" w:rsidR="00027B73" w:rsidRPr="00027B73" w:rsidRDefault="00027B73" w:rsidP="00027B73">
      <w:pPr>
        <w:pStyle w:val="EndNoteBibliography"/>
        <w:ind w:left="720" w:hanging="720"/>
      </w:pPr>
      <w:r w:rsidRPr="00027B73">
        <w:t xml:space="preserve">Case, E. C. Description of a new species of </w:t>
      </w:r>
      <w:r w:rsidRPr="00027B73">
        <w:rPr>
          <w:i/>
        </w:rPr>
        <w:t>Buettneria</w:t>
      </w:r>
      <w:r w:rsidRPr="00027B73">
        <w:t xml:space="preserve">, with a discussion of the brain case. </w:t>
      </w:r>
      <w:r w:rsidRPr="00027B73">
        <w:rPr>
          <w:i/>
        </w:rPr>
        <w:t>Contributions from the Museum of Paleontology, University of Michigan</w:t>
      </w:r>
      <w:r w:rsidRPr="00027B73">
        <w:t xml:space="preserve"> </w:t>
      </w:r>
      <w:r w:rsidRPr="00027B73">
        <w:rPr>
          <w:b/>
        </w:rPr>
        <w:t>3</w:t>
      </w:r>
      <w:r w:rsidRPr="00027B73">
        <w:t>, 18-206 (1931).</w:t>
      </w:r>
    </w:p>
    <w:p w14:paraId="709EAEF1" w14:textId="14A9AFD3" w:rsidR="00027B73" w:rsidRPr="00027B73" w:rsidRDefault="00027B73" w:rsidP="00027B73">
      <w:pPr>
        <w:pStyle w:val="EndNoteBibliography"/>
        <w:ind w:left="720" w:hanging="720"/>
      </w:pPr>
      <w:r w:rsidRPr="00027B73">
        <w:t xml:space="preserve">Case, E. C. Description of a collection of associated skeletons of </w:t>
      </w:r>
      <w:r w:rsidRPr="00027B73">
        <w:rPr>
          <w:i/>
        </w:rPr>
        <w:t>Trimerorhachis</w:t>
      </w:r>
      <w:r w:rsidRPr="00027B73">
        <w:t xml:space="preserve">. </w:t>
      </w:r>
      <w:r w:rsidRPr="00027B73">
        <w:rPr>
          <w:i/>
        </w:rPr>
        <w:t xml:space="preserve">Contributions from the </w:t>
      </w:r>
      <w:r w:rsidR="00FA5831">
        <w:rPr>
          <w:i/>
        </w:rPr>
        <w:t>M</w:t>
      </w:r>
      <w:r w:rsidRPr="00027B73">
        <w:rPr>
          <w:i/>
        </w:rPr>
        <w:t xml:space="preserve">useum of </w:t>
      </w:r>
      <w:r w:rsidR="00FA5831">
        <w:rPr>
          <w:i/>
        </w:rPr>
        <w:t>P</w:t>
      </w:r>
      <w:r w:rsidRPr="00027B73">
        <w:rPr>
          <w:i/>
        </w:rPr>
        <w:t>aleontology, University of Michigan</w:t>
      </w:r>
      <w:r w:rsidRPr="00027B73">
        <w:t xml:space="preserve"> </w:t>
      </w:r>
      <w:r w:rsidRPr="00027B73">
        <w:rPr>
          <w:b/>
        </w:rPr>
        <w:t>4</w:t>
      </w:r>
      <w:r w:rsidRPr="00027B73">
        <w:t>, 227-274 (1935).</w:t>
      </w:r>
    </w:p>
    <w:p w14:paraId="26DE1898" w14:textId="38FFC0C1" w:rsidR="00027B73" w:rsidRPr="00027B73" w:rsidRDefault="00027B73" w:rsidP="00027B73">
      <w:pPr>
        <w:pStyle w:val="EndNoteBibliography"/>
        <w:ind w:left="720" w:hanging="720"/>
      </w:pPr>
      <w:r w:rsidRPr="00027B73">
        <w:t xml:space="preserve">Casey, J. &amp; Lawson, R. A histological and scanning electron microscope study of the teeth of caecilian amphibians. </w:t>
      </w:r>
      <w:r w:rsidRPr="00027B73">
        <w:rPr>
          <w:i/>
        </w:rPr>
        <w:t xml:space="preserve">Archives of </w:t>
      </w:r>
      <w:r w:rsidR="00FA5831">
        <w:rPr>
          <w:i/>
        </w:rPr>
        <w:t>O</w:t>
      </w:r>
      <w:r w:rsidRPr="00027B73">
        <w:rPr>
          <w:i/>
        </w:rPr>
        <w:t xml:space="preserve">ral </w:t>
      </w:r>
      <w:r w:rsidR="00FA5831">
        <w:rPr>
          <w:i/>
        </w:rPr>
        <w:t>B</w:t>
      </w:r>
      <w:r w:rsidRPr="00027B73">
        <w:rPr>
          <w:i/>
        </w:rPr>
        <w:t>iology</w:t>
      </w:r>
      <w:r w:rsidRPr="00027B73">
        <w:t xml:space="preserve"> </w:t>
      </w:r>
      <w:r w:rsidRPr="00027B73">
        <w:rPr>
          <w:b/>
        </w:rPr>
        <w:t>26</w:t>
      </w:r>
      <w:r w:rsidRPr="00027B73">
        <w:t>, 49-58 (1981).</w:t>
      </w:r>
    </w:p>
    <w:p w14:paraId="7DB122DE" w14:textId="453E5B3F" w:rsidR="00027B73" w:rsidRPr="00027B73" w:rsidRDefault="00027B73" w:rsidP="00027B73">
      <w:pPr>
        <w:pStyle w:val="EndNoteBibliography"/>
        <w:ind w:left="720" w:hanging="720"/>
      </w:pPr>
      <w:r w:rsidRPr="00027B73">
        <w:t xml:space="preserve">Chernin, S. A new brachyopid, </w:t>
      </w:r>
      <w:r w:rsidRPr="00027B73">
        <w:rPr>
          <w:i/>
        </w:rPr>
        <w:t xml:space="preserve">Batrachosuchus concordi </w:t>
      </w:r>
      <w:r w:rsidRPr="00027B73">
        <w:t xml:space="preserve">sp. nov. from the Upper Luangwa Valley, Zambia with a redescription of </w:t>
      </w:r>
      <w:r w:rsidRPr="00027B73">
        <w:rPr>
          <w:i/>
        </w:rPr>
        <w:t>Batrachosuchus browni</w:t>
      </w:r>
      <w:r w:rsidRPr="00027B73">
        <w:t xml:space="preserve"> Broom, 1903. </w:t>
      </w:r>
      <w:r w:rsidRPr="00027B73">
        <w:rPr>
          <w:i/>
        </w:rPr>
        <w:t>Palaeontologia Africana</w:t>
      </w:r>
      <w:r w:rsidRPr="00027B73">
        <w:t xml:space="preserve"> </w:t>
      </w:r>
      <w:r w:rsidRPr="00027B73">
        <w:rPr>
          <w:b/>
        </w:rPr>
        <w:t>20</w:t>
      </w:r>
      <w:r w:rsidRPr="00027B73">
        <w:t>, 87-109 (1977).</w:t>
      </w:r>
    </w:p>
    <w:p w14:paraId="6DDB0A05" w14:textId="2C60E8EF" w:rsidR="00027B73" w:rsidRPr="00027B73" w:rsidRDefault="00027B73" w:rsidP="00027B73">
      <w:pPr>
        <w:pStyle w:val="EndNoteBibliography"/>
        <w:ind w:left="720" w:hanging="720"/>
      </w:pPr>
      <w:r w:rsidRPr="00027B73">
        <w:t xml:space="preserve">Chuliver, M. &amp; Scanferla, A. Morphology and postnatal ontogeny of the dentition of </w:t>
      </w:r>
      <w:r w:rsidRPr="00027B73">
        <w:rPr>
          <w:i/>
        </w:rPr>
        <w:t xml:space="preserve">Chthonerpeton indistinctum </w:t>
      </w:r>
      <w:r w:rsidRPr="00027B73">
        <w:t xml:space="preserve">(Gymnophiona: Typhlonectidae). </w:t>
      </w:r>
      <w:r w:rsidRPr="00027B73">
        <w:rPr>
          <w:i/>
        </w:rPr>
        <w:t>Amphibia-Reptilia</w:t>
      </w:r>
      <w:r w:rsidRPr="00027B73">
        <w:t xml:space="preserve"> </w:t>
      </w:r>
      <w:r w:rsidRPr="00027B73">
        <w:rPr>
          <w:b/>
        </w:rPr>
        <w:t>40</w:t>
      </w:r>
      <w:r w:rsidRPr="00027B73">
        <w:t>, 327-336 (2019).</w:t>
      </w:r>
    </w:p>
    <w:p w14:paraId="4DDC4941" w14:textId="28343FA0" w:rsidR="00027B73" w:rsidRPr="00027B73" w:rsidRDefault="00027B73" w:rsidP="00027B73">
      <w:pPr>
        <w:pStyle w:val="EndNoteBibliography"/>
        <w:ind w:left="720" w:hanging="720"/>
      </w:pPr>
      <w:r w:rsidRPr="00027B73">
        <w:t xml:space="preserve">Clack, J. A., Ahlberg, P. E., Blom, H. &amp; Finney, S. M. A new genus of Devonian tetrapod from North‐East Greenland, with new information on the lower jaw of </w:t>
      </w:r>
      <w:r w:rsidRPr="00027B73">
        <w:rPr>
          <w:i/>
        </w:rPr>
        <w:t>Ichthyostega</w:t>
      </w:r>
      <w:r w:rsidRPr="00027B73">
        <w:t xml:space="preserve">. </w:t>
      </w:r>
      <w:r w:rsidRPr="00027B73">
        <w:rPr>
          <w:i/>
        </w:rPr>
        <w:t>Palaeontology</w:t>
      </w:r>
      <w:r w:rsidRPr="00027B73">
        <w:t xml:space="preserve"> </w:t>
      </w:r>
      <w:r w:rsidRPr="00027B73">
        <w:rPr>
          <w:b/>
        </w:rPr>
        <w:t>55</w:t>
      </w:r>
      <w:r w:rsidRPr="00027B73">
        <w:t>, 73-86 (2012).</w:t>
      </w:r>
    </w:p>
    <w:p w14:paraId="0957CBA4" w14:textId="1C4FB23D" w:rsidR="00027B73" w:rsidRPr="00027B73" w:rsidRDefault="00027B73" w:rsidP="00027B73">
      <w:pPr>
        <w:pStyle w:val="EndNoteBibliography"/>
        <w:ind w:left="720" w:hanging="720"/>
      </w:pPr>
      <w:r w:rsidRPr="00027B73">
        <w:t xml:space="preserve">Clack, J. A. &amp; Anderson, J. S. in </w:t>
      </w:r>
      <w:r w:rsidRPr="00027B73">
        <w:rPr>
          <w:i/>
        </w:rPr>
        <w:t>Evolution of the Vertebrate Ear</w:t>
      </w:r>
      <w:r w:rsidRPr="00027B73">
        <w:t xml:space="preserve"> (eds J. A. Clack, R. R. Fay, &amp; A. N. Popper)  71-105 (Springer, 2016).</w:t>
      </w:r>
    </w:p>
    <w:p w14:paraId="5FC472F6" w14:textId="0CEC47AD" w:rsidR="00027B73" w:rsidRPr="00027B73" w:rsidRDefault="00027B73" w:rsidP="00027B73">
      <w:pPr>
        <w:pStyle w:val="EndNoteBibliography"/>
        <w:ind w:left="720" w:hanging="720"/>
      </w:pPr>
      <w:r w:rsidRPr="00027B73">
        <w:t xml:space="preserve">Clack, J. A. &amp; Milner, A. R. Morphology and systematics of the Pennsylvanian amphibian </w:t>
      </w:r>
      <w:r w:rsidRPr="00027B73">
        <w:rPr>
          <w:i/>
        </w:rPr>
        <w:t>Platyrhinops lyelli</w:t>
      </w:r>
      <w:r w:rsidRPr="00027B73">
        <w:t xml:space="preserve"> (Amphibia: Temnospondyli). </w:t>
      </w:r>
      <w:r w:rsidRPr="00027B73">
        <w:rPr>
          <w:i/>
        </w:rPr>
        <w:t>Earth and Environmental Science Transactions of the Royal Society of Edinburgh</w:t>
      </w:r>
      <w:r w:rsidRPr="00027B73">
        <w:t xml:space="preserve"> </w:t>
      </w:r>
      <w:r w:rsidRPr="00027B73">
        <w:rPr>
          <w:b/>
        </w:rPr>
        <w:t>100</w:t>
      </w:r>
      <w:r w:rsidRPr="00027B73">
        <w:t>, 275-295 (20</w:t>
      </w:r>
      <w:r w:rsidR="00BF5401">
        <w:t>10</w:t>
      </w:r>
      <w:r w:rsidRPr="00027B73">
        <w:t>).</w:t>
      </w:r>
    </w:p>
    <w:p w14:paraId="4D36AEED" w14:textId="3F4CE694" w:rsidR="00027B73" w:rsidRPr="00027B73" w:rsidRDefault="00027B73" w:rsidP="00027B73">
      <w:pPr>
        <w:pStyle w:val="EndNoteBibliography"/>
        <w:ind w:left="720" w:hanging="720"/>
      </w:pPr>
      <w:r w:rsidRPr="00027B73">
        <w:t xml:space="preserve">Cosgriff, J. Lower Triassic Temnospondyli from the Triassic of Western Australia. </w:t>
      </w:r>
      <w:r w:rsidRPr="00027B73">
        <w:rPr>
          <w:i/>
        </w:rPr>
        <w:t xml:space="preserve">Geological Society of America, Special Paper </w:t>
      </w:r>
      <w:r w:rsidRPr="00027B73">
        <w:rPr>
          <w:b/>
        </w:rPr>
        <w:t>14</w:t>
      </w:r>
      <w:r w:rsidRPr="00027B73">
        <w:t>, 1-131 (1974).</w:t>
      </w:r>
    </w:p>
    <w:p w14:paraId="79A4B37A" w14:textId="6503630E" w:rsidR="00027B73" w:rsidRPr="00027B73" w:rsidRDefault="00027B73" w:rsidP="00027B73">
      <w:pPr>
        <w:pStyle w:val="EndNoteBibliography"/>
        <w:ind w:left="720" w:hanging="720"/>
      </w:pPr>
      <w:r w:rsidRPr="00027B73">
        <w:t xml:space="preserve">Cosgriff, J. &amp; Garbutt, N. </w:t>
      </w:r>
      <w:r w:rsidRPr="00027B73">
        <w:rPr>
          <w:i/>
        </w:rPr>
        <w:t>Erythrobatrachus noonkanbahensis</w:t>
      </w:r>
      <w:r w:rsidRPr="00027B73">
        <w:t xml:space="preserve">, a trematosaurid species from the Blina Shale. </w:t>
      </w:r>
      <w:r w:rsidRPr="00027B73">
        <w:rPr>
          <w:i/>
        </w:rPr>
        <w:t>Journal of the Royal Society of Western Australia</w:t>
      </w:r>
      <w:r w:rsidRPr="00027B73">
        <w:t xml:space="preserve"> </w:t>
      </w:r>
      <w:r w:rsidRPr="00027B73">
        <w:rPr>
          <w:b/>
        </w:rPr>
        <w:t>55</w:t>
      </w:r>
      <w:r w:rsidRPr="00027B73">
        <w:t>, 5-18 (1972).</w:t>
      </w:r>
    </w:p>
    <w:p w14:paraId="2C6EF72D" w14:textId="5283E377" w:rsidR="00027B73" w:rsidRPr="00027B73" w:rsidRDefault="00027B73" w:rsidP="00027B73">
      <w:pPr>
        <w:pStyle w:val="EndNoteBibliography"/>
        <w:ind w:left="720" w:hanging="720"/>
      </w:pPr>
      <w:r w:rsidRPr="00027B73">
        <w:t>Crottini, A.</w:t>
      </w:r>
      <w:r w:rsidRPr="00027B73">
        <w:rPr>
          <w:i/>
        </w:rPr>
        <w:t xml:space="preserve"> et al.</w:t>
      </w:r>
      <w:r w:rsidRPr="00027B73">
        <w:t xml:space="preserve"> Vertebrate time-tree elucidates the biogeographic pattern of a major biotic change around the K–T boundary in Madagascar. </w:t>
      </w:r>
      <w:r w:rsidRPr="00027B73">
        <w:rPr>
          <w:i/>
        </w:rPr>
        <w:t>Proceedings of the National Academy of Sciences</w:t>
      </w:r>
      <w:r w:rsidRPr="00027B73">
        <w:t xml:space="preserve"> </w:t>
      </w:r>
      <w:r w:rsidRPr="00027B73">
        <w:rPr>
          <w:b/>
        </w:rPr>
        <w:t>109</w:t>
      </w:r>
      <w:r w:rsidRPr="00027B73">
        <w:t>, 5358-5363 (2012).</w:t>
      </w:r>
    </w:p>
    <w:p w14:paraId="6B024D9D" w14:textId="1D48F7F6" w:rsidR="00027B73" w:rsidRPr="00027B73" w:rsidRDefault="00027B73" w:rsidP="00027B73">
      <w:pPr>
        <w:pStyle w:val="EndNoteBibliography"/>
        <w:ind w:left="720" w:hanging="720"/>
      </w:pPr>
      <w:r w:rsidRPr="00027B73">
        <w:t xml:space="preserve">Daly, E. Amphibamidae (Amphibia: Temnospondyli), with a description of a new genus from the upper Pennsylvanian of Kansas. </w:t>
      </w:r>
      <w:r w:rsidRPr="00027B73">
        <w:rPr>
          <w:i/>
        </w:rPr>
        <w:t>University of Kansas Museum of Natural History Miscellaneous Publications</w:t>
      </w:r>
      <w:r w:rsidRPr="00027B73">
        <w:t xml:space="preserve"> </w:t>
      </w:r>
      <w:r w:rsidRPr="00027B73">
        <w:rPr>
          <w:b/>
        </w:rPr>
        <w:t>85</w:t>
      </w:r>
      <w:r w:rsidRPr="00027B73">
        <w:t>, 1-59 (1994).</w:t>
      </w:r>
    </w:p>
    <w:p w14:paraId="7BD102C8" w14:textId="3BE7CFB2" w:rsidR="00027B73" w:rsidRPr="00027B73" w:rsidRDefault="00027B73" w:rsidP="00027B73">
      <w:pPr>
        <w:pStyle w:val="EndNoteBibliography"/>
        <w:ind w:left="720" w:hanging="720"/>
      </w:pPr>
      <w:r w:rsidRPr="00027B73">
        <w:t xml:space="preserve">Damiani, R. A giant skull of the temnospondyl </w:t>
      </w:r>
      <w:r w:rsidRPr="00027B73">
        <w:rPr>
          <w:i/>
        </w:rPr>
        <w:t xml:space="preserve">Xenotosuchus africanus </w:t>
      </w:r>
      <w:r w:rsidRPr="00027B73">
        <w:t xml:space="preserve">from the Middle Triassic of South Africa and its ontogenetic implications. </w:t>
      </w:r>
      <w:r w:rsidRPr="00027B73">
        <w:rPr>
          <w:i/>
        </w:rPr>
        <w:t>Acta Palaeontologica Polonica</w:t>
      </w:r>
      <w:r w:rsidRPr="00027B73">
        <w:t xml:space="preserve"> </w:t>
      </w:r>
      <w:r w:rsidRPr="00027B73">
        <w:rPr>
          <w:b/>
        </w:rPr>
        <w:t>53</w:t>
      </w:r>
      <w:r w:rsidRPr="00027B73">
        <w:t>, 75-84 (2008).</w:t>
      </w:r>
    </w:p>
    <w:p w14:paraId="0781143D" w14:textId="7A0ABE0A" w:rsidR="00027B73" w:rsidRPr="00027B73" w:rsidRDefault="00027B73" w:rsidP="00027B73">
      <w:pPr>
        <w:pStyle w:val="EndNoteBibliography"/>
        <w:ind w:left="720" w:hanging="720"/>
      </w:pPr>
      <w:r w:rsidRPr="00027B73">
        <w:t xml:space="preserve">Damiani, R., Schoch, R. R., Hellrung, H., Werneburg, R. &amp; Gastou, S. The plagiosaurid temnospondyl </w:t>
      </w:r>
      <w:r w:rsidRPr="00027B73">
        <w:rPr>
          <w:i/>
        </w:rPr>
        <w:t xml:space="preserve">Plagiosuchus pustuliferus </w:t>
      </w:r>
      <w:r w:rsidRPr="00027B73">
        <w:t xml:space="preserve">(Amphibia: Temnospondyli) from the Middle Triassic of Germany: anatomy and functional morphology of the skull. </w:t>
      </w:r>
      <w:r w:rsidRPr="00027B73">
        <w:rPr>
          <w:i/>
        </w:rPr>
        <w:t>Zoological Journal of the Linnean Society</w:t>
      </w:r>
      <w:r w:rsidRPr="00027B73">
        <w:t xml:space="preserve"> </w:t>
      </w:r>
      <w:r w:rsidRPr="00027B73">
        <w:rPr>
          <w:b/>
        </w:rPr>
        <w:t>155</w:t>
      </w:r>
      <w:r w:rsidRPr="00027B73">
        <w:t>, 348-373 (2009).</w:t>
      </w:r>
    </w:p>
    <w:p w14:paraId="5465F194" w14:textId="497DE598" w:rsidR="00027B73" w:rsidRPr="00027B73" w:rsidRDefault="00027B73" w:rsidP="00027B73">
      <w:pPr>
        <w:pStyle w:val="EndNoteBibliography"/>
        <w:ind w:left="720" w:hanging="720"/>
      </w:pPr>
      <w:r w:rsidRPr="00027B73">
        <w:t xml:space="preserve">Damiani, R. J. A systematic revision and phylogenetic analysis of Triassic mastodonsauroids (Temnospondyli: Stereospondyli). </w:t>
      </w:r>
      <w:r w:rsidRPr="00027B73">
        <w:rPr>
          <w:i/>
        </w:rPr>
        <w:t>Zoological Journal of the Linnean Society</w:t>
      </w:r>
      <w:r w:rsidRPr="00027B73">
        <w:t xml:space="preserve"> </w:t>
      </w:r>
      <w:r w:rsidRPr="00027B73">
        <w:rPr>
          <w:b/>
        </w:rPr>
        <w:t>133</w:t>
      </w:r>
      <w:r w:rsidRPr="00027B73">
        <w:t>, 379-482 (2001).</w:t>
      </w:r>
    </w:p>
    <w:p w14:paraId="01406014" w14:textId="4C95FC81" w:rsidR="00027B73" w:rsidRPr="00027B73" w:rsidRDefault="00027B73" w:rsidP="00027B73">
      <w:pPr>
        <w:pStyle w:val="EndNoteBibliography"/>
        <w:ind w:left="720" w:hanging="720"/>
      </w:pPr>
      <w:r w:rsidRPr="00027B73">
        <w:t xml:space="preserve">Damiani, R. J. &amp; Jeannot, A. M. A brachyopid temnospondyl from the lower Cynognathus Assemblage Zone in the northern Karoo Basin, South Africa. </w:t>
      </w:r>
      <w:r w:rsidRPr="00027B73">
        <w:rPr>
          <w:i/>
        </w:rPr>
        <w:t>Palaeontologia Africana</w:t>
      </w:r>
      <w:r w:rsidRPr="00027B73">
        <w:t xml:space="preserve"> </w:t>
      </w:r>
      <w:r w:rsidRPr="00027B73">
        <w:rPr>
          <w:b/>
        </w:rPr>
        <w:t>38</w:t>
      </w:r>
      <w:r w:rsidRPr="00027B73">
        <w:t>, 57-69 (2002).</w:t>
      </w:r>
    </w:p>
    <w:p w14:paraId="25808421" w14:textId="1B87AD38" w:rsidR="00027B73" w:rsidRPr="00027B73" w:rsidRDefault="00027B73" w:rsidP="00027B73">
      <w:pPr>
        <w:pStyle w:val="EndNoteBibliography"/>
        <w:ind w:left="720" w:hanging="720"/>
      </w:pPr>
      <w:r w:rsidRPr="00027B73">
        <w:t xml:space="preserve">Damiani, R. J. &amp; Kitching, J. W. A new brachyopid temnospondyl from the Cynognathus Assemblage Zone, Upper Beaufort Group, South Africa. </w:t>
      </w:r>
      <w:r w:rsidRPr="00027B73">
        <w:rPr>
          <w:i/>
        </w:rPr>
        <w:t>Journal of Vertebrate Paleontology</w:t>
      </w:r>
      <w:r w:rsidRPr="00027B73">
        <w:t xml:space="preserve"> </w:t>
      </w:r>
      <w:r w:rsidRPr="00027B73">
        <w:rPr>
          <w:b/>
        </w:rPr>
        <w:t>23</w:t>
      </w:r>
      <w:r w:rsidRPr="00027B73">
        <w:t>, 67-78 (2003).</w:t>
      </w:r>
    </w:p>
    <w:p w14:paraId="77C42AD7" w14:textId="12312A54" w:rsidR="00027B73" w:rsidRPr="00027B73" w:rsidRDefault="00027B73" w:rsidP="00027B73">
      <w:pPr>
        <w:pStyle w:val="EndNoteBibliography"/>
        <w:ind w:left="720" w:hanging="720"/>
      </w:pPr>
      <w:r w:rsidRPr="00027B73">
        <w:t xml:space="preserve">Damiani, R. J. &amp; Warren, A. A new look at members of the Superfamily Brachyopoidea (Amphibia, Temnospondyli) from the Early Triassic of Queensland and a preliminary analysis of brachyopoid relationships. </w:t>
      </w:r>
      <w:r w:rsidRPr="00027B73">
        <w:rPr>
          <w:i/>
        </w:rPr>
        <w:t>Alcheringa</w:t>
      </w:r>
      <w:r w:rsidRPr="00027B73">
        <w:t xml:space="preserve"> </w:t>
      </w:r>
      <w:r w:rsidRPr="00027B73">
        <w:rPr>
          <w:b/>
        </w:rPr>
        <w:t>20</w:t>
      </w:r>
      <w:r w:rsidRPr="00027B73">
        <w:t>, 277-300 (1996).</w:t>
      </w:r>
    </w:p>
    <w:p w14:paraId="043D194C" w14:textId="781D3663" w:rsidR="00027B73" w:rsidRPr="00027B73" w:rsidRDefault="00027B73" w:rsidP="00027B73">
      <w:pPr>
        <w:pStyle w:val="EndNoteBibliography"/>
        <w:ind w:left="720" w:hanging="720"/>
      </w:pPr>
      <w:r w:rsidRPr="00027B73">
        <w:t xml:space="preserve">Damiani, R. J. &amp; Yates, A. M. The Triassic amphibian </w:t>
      </w:r>
      <w:r w:rsidRPr="00027B73">
        <w:rPr>
          <w:i/>
        </w:rPr>
        <w:t xml:space="preserve">Thoosuchus yakovlevi </w:t>
      </w:r>
      <w:r w:rsidRPr="00027B73">
        <w:t xml:space="preserve">and the relationships of the Trematosauroidea (Temnospondyli: Stereospondyli). </w:t>
      </w:r>
      <w:r w:rsidRPr="00027B73">
        <w:rPr>
          <w:i/>
        </w:rPr>
        <w:t>Records-Australian Museum</w:t>
      </w:r>
      <w:r w:rsidRPr="00027B73">
        <w:t xml:space="preserve"> </w:t>
      </w:r>
      <w:r w:rsidRPr="00027B73">
        <w:rPr>
          <w:b/>
        </w:rPr>
        <w:t>55</w:t>
      </w:r>
      <w:r w:rsidRPr="00027B73">
        <w:t>, 331-342 (2003).</w:t>
      </w:r>
    </w:p>
    <w:p w14:paraId="21537AC6" w14:textId="784D1B11" w:rsidR="00027B73" w:rsidRPr="00027B73" w:rsidRDefault="00027B73" w:rsidP="00027B73">
      <w:pPr>
        <w:pStyle w:val="EndNoteBibliography"/>
        <w:ind w:left="720" w:hanging="720"/>
      </w:pPr>
      <w:r w:rsidRPr="00027B73">
        <w:t xml:space="preserve">Danto, M., Witzmann, F. &amp; Fröbisch, N. B. Vertebral development in Paleozoic and Mesozoic tetrapods revealed by paleohistological data. </w:t>
      </w:r>
      <w:r w:rsidRPr="00027B73">
        <w:rPr>
          <w:i/>
        </w:rPr>
        <w:t>PloS One</w:t>
      </w:r>
      <w:r w:rsidRPr="00027B73">
        <w:t xml:space="preserve"> </w:t>
      </w:r>
      <w:r w:rsidRPr="00027B73">
        <w:rPr>
          <w:b/>
        </w:rPr>
        <w:t>11</w:t>
      </w:r>
      <w:r w:rsidRPr="00027B73">
        <w:t>, e0152586 (2016).</w:t>
      </w:r>
    </w:p>
    <w:p w14:paraId="17E0F5CE" w14:textId="3CD6DFB0" w:rsidR="00027B73" w:rsidRPr="00027B73" w:rsidRDefault="00027B73" w:rsidP="00027B73">
      <w:pPr>
        <w:pStyle w:val="EndNoteBibliography"/>
        <w:ind w:left="720" w:hanging="720"/>
      </w:pPr>
      <w:r w:rsidRPr="00027B73">
        <w:t xml:space="preserve">Danto, M., Witzmann, F., Pierce, S. E. &amp; Fröbisch, N. B. Intercentrum versus pleurocentrum growth in early tetrapods: A paleohistological approach. </w:t>
      </w:r>
      <w:r w:rsidRPr="00027B73">
        <w:rPr>
          <w:i/>
        </w:rPr>
        <w:t xml:space="preserve">Journal of </w:t>
      </w:r>
      <w:r w:rsidR="00FA5831">
        <w:rPr>
          <w:i/>
        </w:rPr>
        <w:t>M</w:t>
      </w:r>
      <w:r w:rsidRPr="00027B73">
        <w:rPr>
          <w:i/>
        </w:rPr>
        <w:t>orphology</w:t>
      </w:r>
      <w:r w:rsidRPr="00027B73">
        <w:t xml:space="preserve"> </w:t>
      </w:r>
      <w:r w:rsidRPr="00027B73">
        <w:rPr>
          <w:b/>
        </w:rPr>
        <w:t>278</w:t>
      </w:r>
      <w:r w:rsidRPr="00027B73">
        <w:t>, 1262-1283 (2017).</w:t>
      </w:r>
    </w:p>
    <w:p w14:paraId="72165F0E" w14:textId="48CA9943" w:rsidR="00027B73" w:rsidRPr="00027B73" w:rsidRDefault="00027B73" w:rsidP="00027B73">
      <w:pPr>
        <w:pStyle w:val="EndNoteBibliography"/>
        <w:ind w:left="720" w:hanging="720"/>
      </w:pPr>
      <w:r w:rsidRPr="00027B73">
        <w:t xml:space="preserve">Davit‐Béal, T., Chisaka, H., Delgado, S. &amp; Sire, J. Y. Amphibian teeth: current knowledge, unanswered questions, and some directions for future research. </w:t>
      </w:r>
      <w:r w:rsidRPr="00027B73">
        <w:rPr>
          <w:i/>
        </w:rPr>
        <w:t>Biological Reviews</w:t>
      </w:r>
      <w:r w:rsidRPr="00027B73">
        <w:t xml:space="preserve"> </w:t>
      </w:r>
      <w:r w:rsidRPr="00027B73">
        <w:rPr>
          <w:b/>
        </w:rPr>
        <w:t>82</w:t>
      </w:r>
      <w:r w:rsidRPr="00027B73">
        <w:t>, 49-81 (2007).</w:t>
      </w:r>
    </w:p>
    <w:p w14:paraId="4FD0C995" w14:textId="0B1BE62E" w:rsidR="00027B73" w:rsidRPr="00027B73" w:rsidRDefault="00027B73" w:rsidP="00027B73">
      <w:pPr>
        <w:pStyle w:val="EndNoteBibliography"/>
        <w:ind w:left="720" w:hanging="720"/>
      </w:pPr>
      <w:r w:rsidRPr="00027B73">
        <w:t>Daza, J. D.</w:t>
      </w:r>
      <w:r w:rsidRPr="00027B73">
        <w:rPr>
          <w:i/>
        </w:rPr>
        <w:t xml:space="preserve"> et al.</w:t>
      </w:r>
      <w:r w:rsidRPr="00027B73">
        <w:t xml:space="preserve"> Enigmatic amphibians in mid-Cretaceous amber were chameleon-like ballistic feeders. </w:t>
      </w:r>
      <w:r w:rsidRPr="00027B73">
        <w:rPr>
          <w:i/>
        </w:rPr>
        <w:t>Science</w:t>
      </w:r>
      <w:r w:rsidRPr="00027B73">
        <w:t xml:space="preserve"> </w:t>
      </w:r>
      <w:r w:rsidRPr="00027B73">
        <w:rPr>
          <w:b/>
        </w:rPr>
        <w:t>370</w:t>
      </w:r>
      <w:r w:rsidRPr="00027B73">
        <w:t>, 687-691 (2020).</w:t>
      </w:r>
    </w:p>
    <w:p w14:paraId="77C05154" w14:textId="3384BDA4" w:rsidR="00027B73" w:rsidRPr="00027B73" w:rsidRDefault="00027B73" w:rsidP="00027B73">
      <w:pPr>
        <w:pStyle w:val="EndNoteBibliography"/>
        <w:ind w:left="720" w:hanging="720"/>
      </w:pPr>
      <w:r w:rsidRPr="00027B73">
        <w:t>Delsuc, F.</w:t>
      </w:r>
      <w:r w:rsidRPr="00027B73">
        <w:rPr>
          <w:i/>
        </w:rPr>
        <w:t xml:space="preserve"> et al.</w:t>
      </w:r>
      <w:r w:rsidRPr="00027B73">
        <w:t xml:space="preserve"> A phylogenomic framework and timescale for comparative studies of tunicates. </w:t>
      </w:r>
      <w:r w:rsidRPr="00027B73">
        <w:rPr>
          <w:i/>
        </w:rPr>
        <w:t>BMC biology</w:t>
      </w:r>
      <w:r w:rsidRPr="00027B73">
        <w:t xml:space="preserve"> </w:t>
      </w:r>
      <w:r w:rsidRPr="00027B73">
        <w:rPr>
          <w:b/>
        </w:rPr>
        <w:t>16</w:t>
      </w:r>
      <w:r w:rsidRPr="00027B73">
        <w:t>, 1-14 (2018).</w:t>
      </w:r>
    </w:p>
    <w:p w14:paraId="57B97F56" w14:textId="156755B1" w:rsidR="00027B73" w:rsidRPr="00027B73" w:rsidRDefault="00027B73" w:rsidP="00027B73">
      <w:pPr>
        <w:pStyle w:val="EndNoteBibliography"/>
        <w:ind w:left="720" w:hanging="720"/>
      </w:pPr>
      <w:r w:rsidRPr="00027B73">
        <w:t xml:space="preserve">DeMar, R. The Permian labyrinthodont amphibian </w:t>
      </w:r>
      <w:r w:rsidRPr="00027B73">
        <w:rPr>
          <w:i/>
        </w:rPr>
        <w:t>Dissorophus multicinctus</w:t>
      </w:r>
      <w:r w:rsidRPr="00027B73">
        <w:t xml:space="preserve">, and adaptations and phylogeny of the family Dissorophidae. </w:t>
      </w:r>
      <w:r w:rsidRPr="00027B73">
        <w:rPr>
          <w:i/>
        </w:rPr>
        <w:t>Journal of Paleontology</w:t>
      </w:r>
      <w:r w:rsidRPr="00027B73">
        <w:t xml:space="preserve"> </w:t>
      </w:r>
      <w:r w:rsidRPr="00027B73">
        <w:rPr>
          <w:b/>
        </w:rPr>
        <w:t>42</w:t>
      </w:r>
      <w:r w:rsidRPr="00027B73">
        <w:t>, 1210-1242 (1968).</w:t>
      </w:r>
    </w:p>
    <w:p w14:paraId="3A3674F9" w14:textId="1C422410" w:rsidR="00027B73" w:rsidRPr="00027B73" w:rsidRDefault="00027B73" w:rsidP="00027B73">
      <w:pPr>
        <w:pStyle w:val="EndNoteBibliography"/>
        <w:ind w:left="720" w:hanging="720"/>
      </w:pPr>
      <w:r w:rsidRPr="00027B73">
        <w:t xml:space="preserve">Dias, E. V., Dias-da-Silva, S. &amp; Schultz, C. L. A new short-snouted rhinesuchid from the Permian of southern Brazil. </w:t>
      </w:r>
      <w:r w:rsidRPr="00027B73">
        <w:rPr>
          <w:i/>
        </w:rPr>
        <w:t>Revista Brasileira de Paleontologia</w:t>
      </w:r>
      <w:r w:rsidRPr="00027B73">
        <w:t xml:space="preserve"> </w:t>
      </w:r>
      <w:r w:rsidRPr="00027B73">
        <w:rPr>
          <w:b/>
        </w:rPr>
        <w:t>23</w:t>
      </w:r>
      <w:r w:rsidRPr="00027B73">
        <w:t>, 98-122 (2020).</w:t>
      </w:r>
    </w:p>
    <w:p w14:paraId="60DBE356" w14:textId="6AB91351" w:rsidR="00027B73" w:rsidRPr="00027B73" w:rsidRDefault="00027B73" w:rsidP="00027B73">
      <w:pPr>
        <w:pStyle w:val="EndNoteBibliography"/>
        <w:ind w:left="720" w:hanging="720"/>
      </w:pPr>
      <w:r w:rsidRPr="00027B73">
        <w:t xml:space="preserve">Dias, E. V. &amp; Schultz, C. L. The first Paleozoic temnospondyl postcranial skeleton from South America. </w:t>
      </w:r>
      <w:r w:rsidRPr="00027B73">
        <w:rPr>
          <w:i/>
        </w:rPr>
        <w:t>Revista Brasileira de Paleontologia</w:t>
      </w:r>
      <w:r w:rsidRPr="00027B73">
        <w:t xml:space="preserve"> </w:t>
      </w:r>
      <w:r w:rsidRPr="00027B73">
        <w:rPr>
          <w:b/>
        </w:rPr>
        <w:t>6</w:t>
      </w:r>
      <w:r w:rsidRPr="00027B73">
        <w:t>, 29-42 (2003).</w:t>
      </w:r>
    </w:p>
    <w:p w14:paraId="7B8A5442" w14:textId="6D8A01DC" w:rsidR="00027B73" w:rsidRPr="00027B73" w:rsidRDefault="00027B73" w:rsidP="00027B73">
      <w:pPr>
        <w:pStyle w:val="EndNoteBibliography"/>
        <w:ind w:left="720" w:hanging="720"/>
      </w:pPr>
      <w:r w:rsidRPr="00027B73">
        <w:t xml:space="preserve">Dias-da-Silva, S., Marsicano, C. &amp; Schultz, C. L. . Rhytidosteid temnospondyls in Gondwana: a new taxon from the Lower Triassic of Brazil. </w:t>
      </w:r>
      <w:r w:rsidRPr="00027B73">
        <w:rPr>
          <w:i/>
        </w:rPr>
        <w:t>Palaeontology</w:t>
      </w:r>
      <w:r w:rsidRPr="00027B73">
        <w:t xml:space="preserve"> </w:t>
      </w:r>
      <w:r w:rsidRPr="00027B73">
        <w:rPr>
          <w:b/>
        </w:rPr>
        <w:t>49</w:t>
      </w:r>
      <w:r w:rsidRPr="00027B73">
        <w:t>, 381-390 (2006).</w:t>
      </w:r>
    </w:p>
    <w:p w14:paraId="4174CA17" w14:textId="3EBA2FFD" w:rsidR="00027B73" w:rsidRPr="00027B73" w:rsidRDefault="00027B73" w:rsidP="00027B73">
      <w:pPr>
        <w:pStyle w:val="EndNoteBibliography"/>
        <w:ind w:left="720" w:hanging="720"/>
      </w:pPr>
      <w:bookmarkStart w:id="25" w:name="_Hlk98871965"/>
      <w:r w:rsidRPr="00027B73">
        <w:t xml:space="preserve">Dias-da-Silva, S. &amp; Marsicano, C. Phylogenetic reappraisal of Rhytidosteidae (Stereospondyli: Trematosauria), temnospondyl amphibians from the Permian and Triassic. </w:t>
      </w:r>
      <w:r w:rsidRPr="00027B73">
        <w:rPr>
          <w:i/>
        </w:rPr>
        <w:t>Journal of Systematic Palaeontology</w:t>
      </w:r>
      <w:r w:rsidRPr="00027B73">
        <w:t xml:space="preserve"> </w:t>
      </w:r>
      <w:r w:rsidRPr="00027B73">
        <w:rPr>
          <w:b/>
        </w:rPr>
        <w:t>9</w:t>
      </w:r>
      <w:r w:rsidRPr="00027B73">
        <w:t>, 305-325 (2011).</w:t>
      </w:r>
      <w:bookmarkEnd w:id="25"/>
    </w:p>
    <w:p w14:paraId="50D40FEA" w14:textId="502F6118" w:rsidR="00027B73" w:rsidRPr="00027B73" w:rsidRDefault="00027B73" w:rsidP="00027B73">
      <w:pPr>
        <w:pStyle w:val="EndNoteBibliography"/>
        <w:ind w:left="720" w:hanging="720"/>
      </w:pPr>
      <w:r w:rsidRPr="00027B73">
        <w:t xml:space="preserve">Dias-da-Silva, S., Marsicano, C. &amp; Schultz, C. L. Early Triassic temnospondyl skull fragments from southern South America (Paraná Basin, Brazil). </w:t>
      </w:r>
      <w:r w:rsidRPr="00027B73">
        <w:rPr>
          <w:i/>
        </w:rPr>
        <w:t>Revista Brasileira de Paleontologia</w:t>
      </w:r>
      <w:r w:rsidRPr="00027B73">
        <w:t xml:space="preserve"> </w:t>
      </w:r>
      <w:r w:rsidRPr="00027B73">
        <w:rPr>
          <w:b/>
        </w:rPr>
        <w:t>8</w:t>
      </w:r>
      <w:r w:rsidRPr="00027B73">
        <w:t>, 165-172 (2005).</w:t>
      </w:r>
    </w:p>
    <w:p w14:paraId="4D435241" w14:textId="6737D938" w:rsidR="00027B73" w:rsidRPr="00027B73" w:rsidRDefault="00027B73" w:rsidP="00027B73">
      <w:pPr>
        <w:pStyle w:val="EndNoteBibliography"/>
        <w:ind w:left="720" w:hanging="720"/>
      </w:pPr>
      <w:bookmarkStart w:id="26" w:name="_Hlk98873241"/>
      <w:r w:rsidRPr="00027B73">
        <w:t xml:space="preserve">Dilkes, D. Carpus and tarsus of Temnospondyli. </w:t>
      </w:r>
      <w:r w:rsidRPr="00027B73">
        <w:rPr>
          <w:i/>
        </w:rPr>
        <w:t>Vertebrate Anatomy Morphology Palaeontology</w:t>
      </w:r>
      <w:r w:rsidRPr="00027B73">
        <w:t xml:space="preserve"> </w:t>
      </w:r>
      <w:r w:rsidRPr="00027B73">
        <w:rPr>
          <w:b/>
        </w:rPr>
        <w:t>1</w:t>
      </w:r>
      <w:r w:rsidRPr="00027B73">
        <w:t>, 51-87 (201</w:t>
      </w:r>
      <w:r w:rsidR="00F12C68">
        <w:t>5</w:t>
      </w:r>
      <w:r w:rsidRPr="00027B73">
        <w:t>).</w:t>
      </w:r>
      <w:bookmarkEnd w:id="26"/>
    </w:p>
    <w:p w14:paraId="2812A93F" w14:textId="2B339AEC" w:rsidR="00027B73" w:rsidRPr="00027B73" w:rsidRDefault="00027B73" w:rsidP="00027B73">
      <w:pPr>
        <w:pStyle w:val="EndNoteBibliography"/>
        <w:ind w:left="720" w:hanging="720"/>
      </w:pPr>
      <w:r w:rsidRPr="00027B73">
        <w:t xml:space="preserve">Dilkes, D. &amp; Brown, L. E. Biomechanics of the vertebrae and associated osteoderms of the Early Permian amphibian </w:t>
      </w:r>
      <w:r w:rsidRPr="00027B73">
        <w:rPr>
          <w:i/>
        </w:rPr>
        <w:t>Cacops aspidephorus</w:t>
      </w:r>
      <w:r w:rsidRPr="00027B73">
        <w:t xml:space="preserve">. </w:t>
      </w:r>
      <w:r w:rsidRPr="00027B73">
        <w:rPr>
          <w:i/>
        </w:rPr>
        <w:t>Journal of Zoology</w:t>
      </w:r>
      <w:r w:rsidRPr="00027B73">
        <w:t xml:space="preserve"> </w:t>
      </w:r>
      <w:r w:rsidRPr="00027B73">
        <w:rPr>
          <w:b/>
        </w:rPr>
        <w:t>271</w:t>
      </w:r>
      <w:r w:rsidRPr="00027B73">
        <w:t>, 396-407 (2007).</w:t>
      </w:r>
    </w:p>
    <w:p w14:paraId="12F4836A" w14:textId="3550DBFC" w:rsidR="00027B73" w:rsidRPr="00027B73" w:rsidRDefault="00027B73" w:rsidP="00027B73">
      <w:pPr>
        <w:pStyle w:val="EndNoteBibliography"/>
        <w:ind w:left="720" w:hanging="720"/>
      </w:pPr>
      <w:r w:rsidRPr="00027B73">
        <w:t xml:space="preserve">Dilkes, D. W. A new trematopsid amphibian (Temnospondyli: Dissorophoidea) from the Lower Permian of Texas. </w:t>
      </w:r>
      <w:r w:rsidRPr="00027B73">
        <w:rPr>
          <w:i/>
        </w:rPr>
        <w:t>Journal of Vertebrate Paleontology</w:t>
      </w:r>
      <w:r w:rsidRPr="00027B73">
        <w:t xml:space="preserve"> </w:t>
      </w:r>
      <w:r w:rsidRPr="00027B73">
        <w:rPr>
          <w:b/>
        </w:rPr>
        <w:t>10</w:t>
      </w:r>
      <w:r w:rsidRPr="00027B73">
        <w:t>, 222-243 (1990).</w:t>
      </w:r>
    </w:p>
    <w:p w14:paraId="36164583" w14:textId="5B70A06C" w:rsidR="00027B73" w:rsidRPr="00027B73" w:rsidRDefault="00027B73" w:rsidP="00027B73">
      <w:pPr>
        <w:pStyle w:val="EndNoteBibliography"/>
        <w:ind w:left="720" w:hanging="720"/>
      </w:pPr>
      <w:r w:rsidRPr="00027B73">
        <w:t>Dilkes, D. W. Comparison and biomechanical interpretations of the vertebrae and osteoderms of</w:t>
      </w:r>
      <w:r w:rsidRPr="00027B73">
        <w:rPr>
          <w:i/>
        </w:rPr>
        <w:t xml:space="preserve"> Cacops aspidephorus </w:t>
      </w:r>
      <w:r w:rsidRPr="00027B73">
        <w:t xml:space="preserve">and </w:t>
      </w:r>
      <w:r w:rsidRPr="00027B73">
        <w:rPr>
          <w:i/>
        </w:rPr>
        <w:t>Dissorophus multicinctus</w:t>
      </w:r>
      <w:r w:rsidRPr="00027B73">
        <w:t xml:space="preserve"> (Temnospondyli, Dissorophidae). </w:t>
      </w:r>
      <w:r w:rsidRPr="00027B73">
        <w:rPr>
          <w:i/>
        </w:rPr>
        <w:t>Journal of Vertebrate Paleontology</w:t>
      </w:r>
      <w:r w:rsidRPr="00027B73">
        <w:t xml:space="preserve"> </w:t>
      </w:r>
      <w:r w:rsidRPr="00027B73">
        <w:rPr>
          <w:b/>
        </w:rPr>
        <w:t>29</w:t>
      </w:r>
      <w:r w:rsidRPr="00027B73">
        <w:t>, 1013-1021 (2009).</w:t>
      </w:r>
    </w:p>
    <w:p w14:paraId="6CCC761A" w14:textId="49B6199E" w:rsidR="00027B73" w:rsidRPr="00027B73" w:rsidRDefault="00027B73" w:rsidP="00027B73">
      <w:pPr>
        <w:pStyle w:val="EndNoteBibliography"/>
        <w:ind w:left="720" w:hanging="720"/>
      </w:pPr>
      <w:r w:rsidRPr="00027B73">
        <w:t>Dilkes, D. W. Revision of the Early Permian Dissorophid ‘</w:t>
      </w:r>
      <w:r w:rsidRPr="00027B73">
        <w:rPr>
          <w:i/>
        </w:rPr>
        <w:t>Dissorophus</w:t>
      </w:r>
      <w:r w:rsidRPr="00027B73">
        <w:t xml:space="preserve">’ </w:t>
      </w:r>
      <w:r w:rsidRPr="00027B73">
        <w:rPr>
          <w:i/>
        </w:rPr>
        <w:t>angustus</w:t>
      </w:r>
      <w:r w:rsidRPr="00027B73">
        <w:t xml:space="preserve"> (Temnospondyli: Dissorophoidea). </w:t>
      </w:r>
      <w:r w:rsidRPr="00027B73">
        <w:rPr>
          <w:i/>
        </w:rPr>
        <w:t>Journal of Vertebrate Paleontology</w:t>
      </w:r>
      <w:r w:rsidRPr="00027B73">
        <w:t xml:space="preserve"> </w:t>
      </w:r>
      <w:r w:rsidRPr="00027B73">
        <w:rPr>
          <w:b/>
        </w:rPr>
        <w:t>40</w:t>
      </w:r>
      <w:r w:rsidRPr="00027B73">
        <w:t>, e1801704 (2020).</w:t>
      </w:r>
    </w:p>
    <w:p w14:paraId="2BDCE764" w14:textId="786D66B8" w:rsidR="00027B73" w:rsidRPr="00027B73" w:rsidRDefault="00027B73" w:rsidP="00027B73">
      <w:pPr>
        <w:pStyle w:val="EndNoteBibliography"/>
        <w:ind w:left="720" w:hanging="720"/>
      </w:pPr>
      <w:r w:rsidRPr="00027B73">
        <w:t xml:space="preserve">Dilkes, D. W. &amp; Reisz, R. </w:t>
      </w:r>
      <w:r w:rsidRPr="00027B73">
        <w:rPr>
          <w:i/>
        </w:rPr>
        <w:t xml:space="preserve">Trematops milleri </w:t>
      </w:r>
      <w:r w:rsidRPr="00027B73">
        <w:t xml:space="preserve">Williston, 1909, identified as a junior synonym of </w:t>
      </w:r>
      <w:r w:rsidRPr="00027B73">
        <w:rPr>
          <w:i/>
        </w:rPr>
        <w:t>Acheloma cumminsi</w:t>
      </w:r>
      <w:r w:rsidRPr="00027B73">
        <w:t xml:space="preserve"> Cope, 1882: with a revision of the genus. </w:t>
      </w:r>
      <w:r w:rsidRPr="00027B73">
        <w:rPr>
          <w:i/>
        </w:rPr>
        <w:t>American Museum Novitates</w:t>
      </w:r>
      <w:r w:rsidRPr="00027B73">
        <w:t xml:space="preserve"> </w:t>
      </w:r>
      <w:r w:rsidRPr="00027B73">
        <w:rPr>
          <w:b/>
        </w:rPr>
        <w:t>2902</w:t>
      </w:r>
      <w:r w:rsidRPr="00027B73">
        <w:t xml:space="preserve"> (1987).</w:t>
      </w:r>
    </w:p>
    <w:p w14:paraId="735E1DE8" w14:textId="289DCA76" w:rsidR="00027B73" w:rsidRPr="00027B73" w:rsidRDefault="00027B73" w:rsidP="00027B73">
      <w:pPr>
        <w:pStyle w:val="EndNoteBibliography"/>
        <w:ind w:left="720" w:hanging="720"/>
        <w:rPr>
          <w:i/>
        </w:rPr>
      </w:pPr>
      <w:r w:rsidRPr="00027B73">
        <w:t xml:space="preserve">Dutuit, J. Découverte de pleurocentres dans les vertébrés de stégocephales métoposaurides. </w:t>
      </w:r>
      <w:r w:rsidRPr="00027B73">
        <w:rPr>
          <w:i/>
        </w:rPr>
        <w:t>Compte Rendu de l'Academie des</w:t>
      </w:r>
    </w:p>
    <w:p w14:paraId="4380DB02" w14:textId="77777777" w:rsidR="00027B73" w:rsidRPr="00027B73" w:rsidRDefault="00027B73" w:rsidP="0078387C">
      <w:pPr>
        <w:pStyle w:val="EndNoteBibliography"/>
        <w:ind w:left="720"/>
      </w:pPr>
      <w:r w:rsidRPr="00027B73">
        <w:rPr>
          <w:i/>
        </w:rPr>
        <w:t xml:space="preserve"> Sciences</w:t>
      </w:r>
      <w:r w:rsidRPr="00027B73">
        <w:t xml:space="preserve"> </w:t>
      </w:r>
      <w:r w:rsidRPr="00027B73">
        <w:rPr>
          <w:b/>
        </w:rPr>
        <w:t>274</w:t>
      </w:r>
      <w:r w:rsidRPr="00027B73">
        <w:t>, 536-537 (1972).</w:t>
      </w:r>
    </w:p>
    <w:p w14:paraId="11035BF8" w14:textId="41EC7B76" w:rsidR="00027B73" w:rsidRPr="00027B73" w:rsidRDefault="00027B73" w:rsidP="00027B73">
      <w:pPr>
        <w:pStyle w:val="EndNoteBibliography"/>
        <w:ind w:left="720" w:hanging="720"/>
      </w:pPr>
      <w:r w:rsidRPr="00027B73">
        <w:t xml:space="preserve">Dutuit, J.-M. Introduction à l'étude paléontologique du Trias continental marocain. Description des premiers stegocephales recueillis dans le couloir d'Argana (Atlas Occidental). </w:t>
      </w:r>
      <w:r w:rsidRPr="00027B73">
        <w:rPr>
          <w:i/>
        </w:rPr>
        <w:t xml:space="preserve">Mémoires du Muséum National d’Histoire </w:t>
      </w:r>
      <w:r w:rsidRPr="00027B73">
        <w:rPr>
          <w:b/>
        </w:rPr>
        <w:t>36</w:t>
      </w:r>
      <w:r w:rsidRPr="00027B73">
        <w:t>, 1-253 (1976).</w:t>
      </w:r>
    </w:p>
    <w:p w14:paraId="62A088B5" w14:textId="0F5A4933" w:rsidR="00027B73" w:rsidRPr="00027B73" w:rsidRDefault="00027B73" w:rsidP="00027B73">
      <w:pPr>
        <w:pStyle w:val="EndNoteBibliography"/>
        <w:ind w:left="720" w:hanging="720"/>
      </w:pPr>
      <w:bookmarkStart w:id="27" w:name="_Hlk98871846"/>
      <w:r w:rsidRPr="00027B73">
        <w:t xml:space="preserve">Eltink, E., Schoch, R. R. &amp; Langer, M. C. Interrelationships, palaeobiogeography and early evolution of Stereospondylomorpha (Tetrapoda: Temnospondyli). </w:t>
      </w:r>
      <w:r w:rsidRPr="00027B73">
        <w:rPr>
          <w:i/>
        </w:rPr>
        <w:t>Journal of Iberian Geology</w:t>
      </w:r>
      <w:r w:rsidRPr="00027B73">
        <w:t xml:space="preserve"> </w:t>
      </w:r>
      <w:r w:rsidRPr="00027B73">
        <w:rPr>
          <w:b/>
        </w:rPr>
        <w:t>45</w:t>
      </w:r>
      <w:r w:rsidRPr="00027B73">
        <w:t>, 251-267 (2019).</w:t>
      </w:r>
      <w:bookmarkEnd w:id="27"/>
    </w:p>
    <w:p w14:paraId="62585032" w14:textId="24C082FC" w:rsidR="00027B73" w:rsidRPr="00027B73" w:rsidRDefault="00027B73" w:rsidP="00027B73">
      <w:pPr>
        <w:pStyle w:val="EndNoteBibliography"/>
        <w:ind w:left="720" w:hanging="720"/>
      </w:pPr>
      <w:r w:rsidRPr="00027B73">
        <w:t>Englehorn, J., Small, B. J. &amp; Huttenlocker, A. A redescription of</w:t>
      </w:r>
      <w:r w:rsidRPr="00027B73">
        <w:rPr>
          <w:i/>
        </w:rPr>
        <w:t xml:space="preserve"> Acroplous vorax </w:t>
      </w:r>
      <w:r w:rsidRPr="00027B73">
        <w:t xml:space="preserve">(Temnospondyli: Dvinosauria) based on new specimens from the Early Permian of Nebraska and Kansas, USA. </w:t>
      </w:r>
      <w:r w:rsidRPr="00027B73">
        <w:rPr>
          <w:i/>
        </w:rPr>
        <w:t>Journal of Vertebrate Paleontology</w:t>
      </w:r>
      <w:r w:rsidRPr="00027B73">
        <w:t xml:space="preserve"> </w:t>
      </w:r>
      <w:r w:rsidRPr="00027B73">
        <w:rPr>
          <w:b/>
        </w:rPr>
        <w:t>28</w:t>
      </w:r>
      <w:r w:rsidRPr="00027B73">
        <w:t>, 291-305 (2008).</w:t>
      </w:r>
    </w:p>
    <w:p w14:paraId="149F353B" w14:textId="34D2C4F1" w:rsidR="00027B73" w:rsidRPr="00027B73" w:rsidRDefault="00027B73" w:rsidP="00027B73">
      <w:pPr>
        <w:pStyle w:val="EndNoteBibliography"/>
        <w:ind w:left="720" w:hanging="720"/>
      </w:pPr>
      <w:r w:rsidRPr="00027B73">
        <w:t xml:space="preserve">Estes, R. &amp; Wake, M. H. The first fossil record of caecilian amphibians. </w:t>
      </w:r>
      <w:r w:rsidRPr="00027B73">
        <w:rPr>
          <w:i/>
        </w:rPr>
        <w:t>Nature</w:t>
      </w:r>
      <w:r w:rsidRPr="00027B73">
        <w:t xml:space="preserve"> </w:t>
      </w:r>
      <w:r w:rsidRPr="00027B73">
        <w:rPr>
          <w:b/>
        </w:rPr>
        <w:t>239</w:t>
      </w:r>
      <w:r w:rsidRPr="00027B73">
        <w:t>, 228-231 (1972).</w:t>
      </w:r>
    </w:p>
    <w:p w14:paraId="4AB77F8B" w14:textId="59C3696F" w:rsidR="00027B73" w:rsidRPr="00027B73" w:rsidRDefault="00027B73" w:rsidP="00027B73">
      <w:pPr>
        <w:pStyle w:val="EndNoteBibliography"/>
        <w:ind w:left="720" w:hanging="720"/>
      </w:pPr>
      <w:r w:rsidRPr="00027B73">
        <w:t xml:space="preserve">Evans, S. E. &amp; Borsuk-Białynicka, M. A stem-group frog from the Early Triassic of Poland. </w:t>
      </w:r>
      <w:r w:rsidRPr="00027B73">
        <w:rPr>
          <w:i/>
        </w:rPr>
        <w:t>Acta Palaeontologica Polonica</w:t>
      </w:r>
      <w:r w:rsidRPr="00027B73">
        <w:t xml:space="preserve"> </w:t>
      </w:r>
      <w:r w:rsidRPr="00027B73">
        <w:rPr>
          <w:b/>
        </w:rPr>
        <w:t>43</w:t>
      </w:r>
      <w:r w:rsidRPr="00027B73">
        <w:t>, 573-580 (1998).</w:t>
      </w:r>
    </w:p>
    <w:p w14:paraId="743F46FB" w14:textId="3E18120D" w:rsidR="00027B73" w:rsidRPr="00027B73" w:rsidRDefault="00027B73" w:rsidP="00027B73">
      <w:pPr>
        <w:pStyle w:val="EndNoteBibliography"/>
        <w:ind w:left="720" w:hanging="720"/>
      </w:pPr>
      <w:r w:rsidRPr="00027B73">
        <w:t xml:space="preserve">Evans, S. E. &amp; Sigogneau‐Russell, D. A stem‐group caecilian (Lissamphibia: Gymnophiona) from the Lower Cretaceous of North Africa. </w:t>
      </w:r>
      <w:r w:rsidRPr="00027B73">
        <w:rPr>
          <w:i/>
        </w:rPr>
        <w:t>Palaeontology</w:t>
      </w:r>
      <w:r w:rsidRPr="00027B73">
        <w:t xml:space="preserve"> </w:t>
      </w:r>
      <w:r w:rsidRPr="00027B73">
        <w:rPr>
          <w:b/>
        </w:rPr>
        <w:t>44</w:t>
      </w:r>
      <w:r w:rsidRPr="00027B73">
        <w:t>, 259-273 (2001).</w:t>
      </w:r>
    </w:p>
    <w:p w14:paraId="35958422" w14:textId="3769BDD1" w:rsidR="00027B73" w:rsidRPr="00027B73" w:rsidRDefault="00027B73" w:rsidP="00027B73">
      <w:pPr>
        <w:pStyle w:val="EndNoteBibliography"/>
        <w:ind w:left="720" w:hanging="720"/>
      </w:pPr>
      <w:r w:rsidRPr="00027B73">
        <w:t>Feng, Y.-J.</w:t>
      </w:r>
      <w:r w:rsidRPr="00027B73">
        <w:rPr>
          <w:i/>
        </w:rPr>
        <w:t xml:space="preserve"> et al.</w:t>
      </w:r>
      <w:r w:rsidRPr="00027B73">
        <w:t xml:space="preserve"> Phylogenomics reveals rapid, simultaneous diversification of three major clades of Gondwanan frogs at the Cretaceous–Paleogene boundary. </w:t>
      </w:r>
      <w:r w:rsidRPr="00027B73">
        <w:rPr>
          <w:i/>
        </w:rPr>
        <w:t>Proceedings of the National Academy of Sciences</w:t>
      </w:r>
      <w:r w:rsidRPr="00027B73">
        <w:t xml:space="preserve"> </w:t>
      </w:r>
      <w:r w:rsidRPr="00027B73">
        <w:rPr>
          <w:b/>
        </w:rPr>
        <w:t>114</w:t>
      </w:r>
      <w:r w:rsidRPr="00027B73">
        <w:t>, E5864-E5870 (2017).</w:t>
      </w:r>
    </w:p>
    <w:p w14:paraId="1DF7204F" w14:textId="6CF41CC2" w:rsidR="00027B73" w:rsidRPr="00027B73" w:rsidRDefault="00027B73" w:rsidP="00027B73">
      <w:pPr>
        <w:pStyle w:val="EndNoteBibliography"/>
        <w:ind w:left="720" w:hanging="720"/>
      </w:pPr>
      <w:bookmarkStart w:id="28" w:name="_Hlk98872052"/>
      <w:r w:rsidRPr="00027B73">
        <w:t xml:space="preserve">Fernández-Coll, M., Arbez, T., Bernardini, F. &amp; Fortuny, J. Cranial anatomy of the Early Triassic trematosaurine </w:t>
      </w:r>
      <w:r w:rsidRPr="00027B73">
        <w:rPr>
          <w:i/>
        </w:rPr>
        <w:t>Angusaurus</w:t>
      </w:r>
      <w:r w:rsidRPr="00027B73">
        <w:t xml:space="preserve"> (Temnospondyli: Stereospondyli): 3D endocranial insights and phylogenetic implications. </w:t>
      </w:r>
      <w:r w:rsidRPr="00027B73">
        <w:rPr>
          <w:i/>
        </w:rPr>
        <w:t>Journal of Iberian Geology</w:t>
      </w:r>
      <w:r w:rsidRPr="00027B73">
        <w:t xml:space="preserve"> </w:t>
      </w:r>
      <w:r w:rsidRPr="00027B73">
        <w:rPr>
          <w:b/>
        </w:rPr>
        <w:t>45</w:t>
      </w:r>
      <w:r w:rsidRPr="00027B73">
        <w:t>, 269-286 (2019).</w:t>
      </w:r>
      <w:bookmarkEnd w:id="28"/>
    </w:p>
    <w:p w14:paraId="71417098" w14:textId="7A22D2B8" w:rsidR="00027B73" w:rsidRPr="00027B73" w:rsidRDefault="00027B73" w:rsidP="00027B73">
      <w:pPr>
        <w:pStyle w:val="EndNoteBibliography"/>
        <w:ind w:left="720" w:hanging="720"/>
      </w:pPr>
      <w:r w:rsidRPr="00027B73">
        <w:t xml:space="preserve">Fraas, E. Die Labyrinthodonten der Schwäbischen Trias. </w:t>
      </w:r>
      <w:r w:rsidRPr="00027B73">
        <w:rPr>
          <w:i/>
        </w:rPr>
        <w:t>Palaeontographica</w:t>
      </w:r>
      <w:r w:rsidRPr="00027B73">
        <w:t xml:space="preserve"> </w:t>
      </w:r>
      <w:r w:rsidRPr="00027B73">
        <w:rPr>
          <w:b/>
        </w:rPr>
        <w:t>36</w:t>
      </w:r>
      <w:r w:rsidRPr="00027B73">
        <w:t>, 1–158 (1889).</w:t>
      </w:r>
    </w:p>
    <w:p w14:paraId="75471991" w14:textId="6EFE08A8" w:rsidR="00027B73" w:rsidRPr="00027B73" w:rsidRDefault="00027B73" w:rsidP="00027B73">
      <w:pPr>
        <w:pStyle w:val="EndNoteBibliography"/>
        <w:ind w:left="720" w:hanging="720"/>
      </w:pPr>
      <w:r w:rsidRPr="00027B73">
        <w:t>Fröbisch, N. B. &amp; Reisz, R. R. A new species of dissorophid (</w:t>
      </w:r>
      <w:r w:rsidRPr="00027B73">
        <w:rPr>
          <w:i/>
        </w:rPr>
        <w:t>Cacops woehri</w:t>
      </w:r>
      <w:r w:rsidRPr="00027B73">
        <w:t xml:space="preserve">) from theLower Permian Dolese quarry, near Richards Spur, Oklahoma. </w:t>
      </w:r>
      <w:r w:rsidRPr="00027B73">
        <w:rPr>
          <w:i/>
        </w:rPr>
        <w:t>Journal of Vertebrate Paleontology</w:t>
      </w:r>
      <w:r w:rsidRPr="00027B73">
        <w:t xml:space="preserve"> </w:t>
      </w:r>
      <w:r w:rsidRPr="00027B73">
        <w:rPr>
          <w:b/>
        </w:rPr>
        <w:t>32</w:t>
      </w:r>
      <w:r w:rsidRPr="00027B73">
        <w:t>, 35-44 (2012).</w:t>
      </w:r>
    </w:p>
    <w:p w14:paraId="572E6261" w14:textId="07C6D4F6" w:rsidR="00027B73" w:rsidRPr="00027B73" w:rsidRDefault="00027B73" w:rsidP="00027B73">
      <w:pPr>
        <w:pStyle w:val="EndNoteBibliography"/>
        <w:ind w:left="720" w:hanging="720"/>
      </w:pPr>
      <w:r w:rsidRPr="00027B73">
        <w:t xml:space="preserve">Gao, K.-Q. &amp; Shubin, N. H. Late Jurassic salamanders from northern China. </w:t>
      </w:r>
      <w:r w:rsidRPr="00027B73">
        <w:rPr>
          <w:i/>
        </w:rPr>
        <w:t>Nature</w:t>
      </w:r>
      <w:r w:rsidRPr="00027B73">
        <w:t xml:space="preserve"> </w:t>
      </w:r>
      <w:r w:rsidRPr="00027B73">
        <w:rPr>
          <w:b/>
        </w:rPr>
        <w:t>410</w:t>
      </w:r>
      <w:r w:rsidRPr="00027B73">
        <w:t>, 574-577 (2001).</w:t>
      </w:r>
    </w:p>
    <w:p w14:paraId="49005131" w14:textId="792A027F" w:rsidR="00027B73" w:rsidRPr="00027B73" w:rsidRDefault="00027B73" w:rsidP="00027B73">
      <w:pPr>
        <w:pStyle w:val="EndNoteBibliography"/>
        <w:ind w:left="720" w:hanging="720"/>
      </w:pPr>
      <w:r w:rsidRPr="00027B73">
        <w:t xml:space="preserve">Gardner, J. D. New albanerpetontid amphibians from the Albian to Coniacian of Utah, USA—bridging the gap. </w:t>
      </w:r>
      <w:r w:rsidRPr="00027B73">
        <w:rPr>
          <w:i/>
        </w:rPr>
        <w:t>Journal of Vertebrate Paleontology</w:t>
      </w:r>
      <w:r w:rsidRPr="00027B73">
        <w:t xml:space="preserve"> </w:t>
      </w:r>
      <w:r w:rsidRPr="00027B73">
        <w:rPr>
          <w:b/>
        </w:rPr>
        <w:t>19</w:t>
      </w:r>
      <w:r w:rsidRPr="00027B73">
        <w:t>, 632-638 (1999).</w:t>
      </w:r>
    </w:p>
    <w:p w14:paraId="6AA5E414" w14:textId="5BDCD9EC" w:rsidR="00027B73" w:rsidRPr="00027B73" w:rsidRDefault="00027B73" w:rsidP="00027B73">
      <w:pPr>
        <w:pStyle w:val="EndNoteBibliography"/>
        <w:ind w:left="720" w:hanging="720"/>
      </w:pPr>
      <w:r w:rsidRPr="00027B73">
        <w:t xml:space="preserve">Gardner, J. D. Revised taxonomy of albanerpetontid amphibians. </w:t>
      </w:r>
      <w:r w:rsidRPr="00027B73">
        <w:rPr>
          <w:i/>
        </w:rPr>
        <w:t>Acta Palaeontologica Polonica</w:t>
      </w:r>
      <w:r w:rsidRPr="00027B73">
        <w:t xml:space="preserve"> </w:t>
      </w:r>
      <w:r w:rsidRPr="00027B73">
        <w:rPr>
          <w:b/>
        </w:rPr>
        <w:t>45</w:t>
      </w:r>
      <w:r w:rsidRPr="00027B73">
        <w:t>, 55-70 (2000).</w:t>
      </w:r>
    </w:p>
    <w:p w14:paraId="286F47BE" w14:textId="4A5E7864" w:rsidR="00027B73" w:rsidRPr="00027B73" w:rsidRDefault="00027B73" w:rsidP="00027B73">
      <w:pPr>
        <w:pStyle w:val="EndNoteBibliography"/>
        <w:ind w:left="720" w:hanging="720"/>
      </w:pPr>
      <w:r w:rsidRPr="00027B73">
        <w:t xml:space="preserve">Gardner, J. D. Monophyly and affinities of albanerpetontid amphibians (Temnospondyli;Lissamphibia). </w:t>
      </w:r>
      <w:r w:rsidRPr="00027B73">
        <w:rPr>
          <w:i/>
        </w:rPr>
        <w:t>Zoological Journal of the Linnean Society</w:t>
      </w:r>
      <w:r w:rsidRPr="00027B73">
        <w:t xml:space="preserve"> </w:t>
      </w:r>
      <w:r w:rsidRPr="00027B73">
        <w:rPr>
          <w:b/>
        </w:rPr>
        <w:t>131</w:t>
      </w:r>
      <w:r w:rsidRPr="00027B73">
        <w:t>, 309-352 (2001).</w:t>
      </w:r>
    </w:p>
    <w:p w14:paraId="79CAA89A" w14:textId="7DB73214" w:rsidR="00027B73" w:rsidRPr="00027B73" w:rsidRDefault="00027B73" w:rsidP="00027B73">
      <w:pPr>
        <w:pStyle w:val="EndNoteBibliography"/>
        <w:ind w:left="720" w:hanging="720"/>
      </w:pPr>
      <w:r w:rsidRPr="00027B73">
        <w:t xml:space="preserve">Gardner, J. D. &amp; Averianov, A. O. Albanerpetontid amphibians from the Upper Cretaceous of Middle Asia. </w:t>
      </w:r>
      <w:r w:rsidRPr="00027B73">
        <w:rPr>
          <w:i/>
        </w:rPr>
        <w:t>Acta Palaeontologica Polonica</w:t>
      </w:r>
      <w:r w:rsidRPr="00027B73">
        <w:t xml:space="preserve"> </w:t>
      </w:r>
      <w:r w:rsidRPr="00027B73">
        <w:rPr>
          <w:b/>
        </w:rPr>
        <w:t>43</w:t>
      </w:r>
      <w:r w:rsidRPr="00027B73">
        <w:t>, 453-476 (1998).</w:t>
      </w:r>
    </w:p>
    <w:p w14:paraId="36AACF8D" w14:textId="7F898414" w:rsidR="00027B73" w:rsidRPr="00027B73" w:rsidRDefault="00027B73" w:rsidP="00027B73">
      <w:pPr>
        <w:pStyle w:val="EndNoteBibliography"/>
        <w:ind w:left="720" w:hanging="720"/>
      </w:pPr>
      <w:r w:rsidRPr="00027B73">
        <w:t xml:space="preserve">Gardner, J. D., Evans, S. E. &amp; Sigogneau-Russell, D. New albanerpetontid amphibians from the Early Cretaceous of Morocco and Middle Jurassic of England. </w:t>
      </w:r>
      <w:r w:rsidRPr="00027B73">
        <w:rPr>
          <w:i/>
        </w:rPr>
        <w:t>Acta Palaeontologica Polonica</w:t>
      </w:r>
      <w:r w:rsidRPr="00027B73">
        <w:t xml:space="preserve"> </w:t>
      </w:r>
      <w:r w:rsidRPr="00027B73">
        <w:rPr>
          <w:b/>
        </w:rPr>
        <w:t>48</w:t>
      </w:r>
      <w:r w:rsidRPr="00027B73">
        <w:t xml:space="preserve"> (2003).</w:t>
      </w:r>
    </w:p>
    <w:p w14:paraId="322D680B" w14:textId="352ED9A0" w:rsidR="00027B73" w:rsidRPr="00027B73" w:rsidRDefault="00027B73" w:rsidP="00027B73">
      <w:pPr>
        <w:pStyle w:val="EndNoteBibliography"/>
        <w:ind w:left="720" w:hanging="720"/>
      </w:pPr>
      <w:r w:rsidRPr="00027B73">
        <w:t>Gayet, M.</w:t>
      </w:r>
      <w:r w:rsidRPr="00027B73">
        <w:rPr>
          <w:i/>
        </w:rPr>
        <w:t xml:space="preserve"> et al.</w:t>
      </w:r>
      <w:r w:rsidRPr="00027B73">
        <w:t xml:space="preserve"> Middle Maastrichtian vertebrates (fishes, amphibians, dinosaurs and other reptiles, mammals) from Pajcha Pata (Bolivia). Biostratigraphic, palaeoecologic and palaeobiogeographic implications. </w:t>
      </w:r>
      <w:r w:rsidRPr="00027B73">
        <w:rPr>
          <w:i/>
        </w:rPr>
        <w:t>Palaeogeography, Palaeoclimatology, Palaeoecology</w:t>
      </w:r>
      <w:r w:rsidRPr="00027B73">
        <w:t xml:space="preserve"> </w:t>
      </w:r>
      <w:r w:rsidRPr="00027B73">
        <w:rPr>
          <w:b/>
        </w:rPr>
        <w:t>169</w:t>
      </w:r>
      <w:r w:rsidRPr="00027B73">
        <w:t>, 39-68 (2001).</w:t>
      </w:r>
    </w:p>
    <w:p w14:paraId="602FFFE4" w14:textId="5787070C" w:rsidR="00027B73" w:rsidRPr="00027B73" w:rsidRDefault="00027B73" w:rsidP="00027B73">
      <w:pPr>
        <w:pStyle w:val="EndNoteBibliography"/>
        <w:ind w:left="720" w:hanging="720"/>
      </w:pPr>
      <w:r w:rsidRPr="00027B73">
        <w:t xml:space="preserve">Gee, B. M. Returning to the roots: resolution, reproducibility, and robusticity in the phylogenetic inference of Dissorophidae (Amphibia: Temnospondyli). </w:t>
      </w:r>
      <w:r w:rsidRPr="00027B73">
        <w:rPr>
          <w:i/>
        </w:rPr>
        <w:t>PeerJ</w:t>
      </w:r>
      <w:r w:rsidRPr="00027B73">
        <w:t xml:space="preserve"> </w:t>
      </w:r>
      <w:r w:rsidRPr="00027B73">
        <w:rPr>
          <w:b/>
        </w:rPr>
        <w:t>9</w:t>
      </w:r>
      <w:r w:rsidRPr="00027B73">
        <w:t>, e12423 (2021).</w:t>
      </w:r>
    </w:p>
    <w:p w14:paraId="68EB2A18" w14:textId="51429DB2" w:rsidR="00027B73" w:rsidRPr="00027B73" w:rsidRDefault="00027B73" w:rsidP="00027B73">
      <w:pPr>
        <w:pStyle w:val="EndNoteBibliography"/>
        <w:ind w:left="720" w:hanging="720"/>
      </w:pPr>
      <w:r w:rsidRPr="00027B73">
        <w:t xml:space="preserve">Gee, B. M., Bevitt, J. J. &amp; Reisz, R. R. A juvenile specimen of the trematopid </w:t>
      </w:r>
      <w:r w:rsidRPr="00027B73">
        <w:rPr>
          <w:i/>
        </w:rPr>
        <w:t xml:space="preserve">Acheloma </w:t>
      </w:r>
      <w:r w:rsidRPr="00027B73">
        <w:t xml:space="preserve">from Richards Spur, Oklahoma and challenges of trematopid ontogeny. </w:t>
      </w:r>
      <w:r w:rsidRPr="00027B73">
        <w:rPr>
          <w:i/>
        </w:rPr>
        <w:t>Frontiers in Earth Science</w:t>
      </w:r>
      <w:r w:rsidRPr="00027B73">
        <w:t xml:space="preserve"> </w:t>
      </w:r>
      <w:r w:rsidRPr="00027B73">
        <w:rPr>
          <w:b/>
        </w:rPr>
        <w:t>7</w:t>
      </w:r>
      <w:r w:rsidRPr="00027B73">
        <w:t>, 38 (2019).</w:t>
      </w:r>
    </w:p>
    <w:p w14:paraId="48E49BE3" w14:textId="33CEABFA" w:rsidR="00027B73" w:rsidRPr="00027B73" w:rsidRDefault="00027B73" w:rsidP="00027B73">
      <w:pPr>
        <w:pStyle w:val="EndNoteBibliography"/>
        <w:ind w:left="720" w:hanging="720"/>
      </w:pPr>
      <w:r w:rsidRPr="00027B73">
        <w:t xml:space="preserve">Gee, B. M. &amp; Reisz, R. R. Cranial and postcranial anatomy of </w:t>
      </w:r>
      <w:r w:rsidRPr="00027B73">
        <w:rPr>
          <w:i/>
        </w:rPr>
        <w:t>Cacops morrisi</w:t>
      </w:r>
      <w:r w:rsidRPr="00027B73">
        <w:t xml:space="preserve">, a eucacopine dissorophid from the early Permian of Oklahoma. </w:t>
      </w:r>
      <w:r w:rsidRPr="00027B73">
        <w:rPr>
          <w:i/>
        </w:rPr>
        <w:t>Journal of Vertebrate Paleontology</w:t>
      </w:r>
      <w:r w:rsidRPr="00027B73">
        <w:t xml:space="preserve"> </w:t>
      </w:r>
      <w:r w:rsidRPr="00027B73">
        <w:rPr>
          <w:b/>
        </w:rPr>
        <w:t>38</w:t>
      </w:r>
      <w:r w:rsidRPr="00027B73">
        <w:t>, e1433186 (2018).</w:t>
      </w:r>
    </w:p>
    <w:p w14:paraId="191962D4" w14:textId="6855326E" w:rsidR="00027B73" w:rsidRPr="00027B73" w:rsidRDefault="00027B73" w:rsidP="00027B73">
      <w:pPr>
        <w:pStyle w:val="EndNoteBibliography"/>
        <w:ind w:left="720" w:hanging="720"/>
      </w:pPr>
      <w:r w:rsidRPr="00027B73">
        <w:t xml:space="preserve">Gee, B. M. &amp; Reisz, R. R. A redescription of the late Carboniferous trematopid </w:t>
      </w:r>
      <w:r w:rsidRPr="00027B73">
        <w:rPr>
          <w:i/>
        </w:rPr>
        <w:t>Actiobates peabodyi</w:t>
      </w:r>
      <w:r w:rsidRPr="00027B73">
        <w:t xml:space="preserve"> from Garnett, Kansas. </w:t>
      </w:r>
      <w:r w:rsidRPr="00027B73">
        <w:rPr>
          <w:i/>
        </w:rPr>
        <w:t>The Anatomical Record</w:t>
      </w:r>
      <w:r w:rsidRPr="00027B73">
        <w:t xml:space="preserve"> </w:t>
      </w:r>
      <w:r w:rsidRPr="00027B73">
        <w:rPr>
          <w:b/>
        </w:rPr>
        <w:t>303</w:t>
      </w:r>
      <w:r w:rsidRPr="00027B73">
        <w:t>, 2821-2838 (2020).</w:t>
      </w:r>
    </w:p>
    <w:p w14:paraId="7CBDFF74" w14:textId="60117FBA" w:rsidR="00027B73" w:rsidRPr="00027B73" w:rsidRDefault="00027B73" w:rsidP="00027B73">
      <w:pPr>
        <w:pStyle w:val="EndNoteBibliography"/>
        <w:ind w:left="720" w:hanging="720"/>
      </w:pPr>
      <w:r w:rsidRPr="00027B73">
        <w:t xml:space="preserve">Glienke, S. A taxonomic revision of </w:t>
      </w:r>
      <w:r w:rsidRPr="00027B73">
        <w:rPr>
          <w:i/>
        </w:rPr>
        <w:t xml:space="preserve">Batropetes </w:t>
      </w:r>
      <w:r w:rsidRPr="00027B73">
        <w:t xml:space="preserve">(Amphibia, Microsauria) from the Rotliegend (basal Permian) of Germany. </w:t>
      </w:r>
      <w:r w:rsidRPr="00027B73">
        <w:rPr>
          <w:i/>
        </w:rPr>
        <w:t>Neues Jahrbuch für Geologie und Paläontologie-Abhandlungen</w:t>
      </w:r>
      <w:r w:rsidRPr="00027B73">
        <w:t xml:space="preserve"> </w:t>
      </w:r>
      <w:r w:rsidRPr="00027B73">
        <w:rPr>
          <w:b/>
        </w:rPr>
        <w:t>269</w:t>
      </w:r>
      <w:r w:rsidRPr="00027B73">
        <w:t>, 73-96 (2013).</w:t>
      </w:r>
    </w:p>
    <w:p w14:paraId="25B5575F" w14:textId="2D0E9EB0" w:rsidR="00027B73" w:rsidRPr="00027B73" w:rsidRDefault="00027B73" w:rsidP="00027B73">
      <w:pPr>
        <w:pStyle w:val="EndNoteBibliography"/>
        <w:ind w:left="720" w:hanging="720"/>
      </w:pPr>
      <w:r w:rsidRPr="00027B73">
        <w:t xml:space="preserve">Glienke, S. Two new species of the genus Batropetes (Tetrapoda, Lepospondyli) from theCentral European Rotliegend (basal Permian) in Germany. </w:t>
      </w:r>
      <w:r w:rsidRPr="00027B73">
        <w:rPr>
          <w:i/>
        </w:rPr>
        <w:t>Journal of Vertebrate Paleontology</w:t>
      </w:r>
      <w:r w:rsidRPr="00027B73">
        <w:t xml:space="preserve"> </w:t>
      </w:r>
      <w:r w:rsidRPr="00027B73">
        <w:rPr>
          <w:b/>
        </w:rPr>
        <w:t>35</w:t>
      </w:r>
      <w:r w:rsidRPr="00027B73">
        <w:t>, e918041 (2015).</w:t>
      </w:r>
    </w:p>
    <w:p w14:paraId="447130A7" w14:textId="140C4EF2" w:rsidR="00027B73" w:rsidRPr="00027B73" w:rsidRDefault="00027B73" w:rsidP="00027B73">
      <w:pPr>
        <w:pStyle w:val="EndNoteBibliography"/>
        <w:ind w:left="720" w:hanging="720"/>
      </w:pPr>
      <w:r w:rsidRPr="00027B73">
        <w:t xml:space="preserve">Godfrey, S. J., Fiorillo, A. R. &amp; Carroll, R. L. A newly discovered skull of the temnospondyl amphibian </w:t>
      </w:r>
      <w:r w:rsidRPr="00027B73">
        <w:rPr>
          <w:i/>
        </w:rPr>
        <w:t>Dendrerpeton acadianum</w:t>
      </w:r>
      <w:r w:rsidRPr="00027B73">
        <w:t xml:space="preserve"> Owen. </w:t>
      </w:r>
      <w:r w:rsidRPr="00027B73">
        <w:rPr>
          <w:i/>
        </w:rPr>
        <w:t>Canadian Journal of Earth Sciences</w:t>
      </w:r>
      <w:r w:rsidRPr="00027B73">
        <w:t xml:space="preserve"> </w:t>
      </w:r>
      <w:r w:rsidRPr="00027B73">
        <w:rPr>
          <w:b/>
        </w:rPr>
        <w:t>24</w:t>
      </w:r>
      <w:r w:rsidRPr="00027B73">
        <w:t>, 796-805 (1987).</w:t>
      </w:r>
    </w:p>
    <w:p w14:paraId="326ED40D" w14:textId="14D313EB" w:rsidR="00027B73" w:rsidRPr="00027B73" w:rsidRDefault="00027B73" w:rsidP="00027B73">
      <w:pPr>
        <w:pStyle w:val="EndNoteBibliography"/>
        <w:ind w:left="720" w:hanging="720"/>
      </w:pPr>
      <w:r w:rsidRPr="00027B73">
        <w:t>Goodman, C. M.</w:t>
      </w:r>
      <w:r w:rsidRPr="00027B73">
        <w:rPr>
          <w:i/>
        </w:rPr>
        <w:t xml:space="preserve"> et al.</w:t>
      </w:r>
      <w:r w:rsidRPr="00027B73">
        <w:t xml:space="preserve"> A Case of Mistaken Identity: Genetic and Anatomical Evidence Reveals the Cryptic Invasion of </w:t>
      </w:r>
      <w:r w:rsidRPr="00027B73">
        <w:rPr>
          <w:i/>
        </w:rPr>
        <w:t xml:space="preserve">Xenopus tropicalis </w:t>
      </w:r>
      <w:r w:rsidRPr="00027B73">
        <w:t xml:space="preserve">in Central Florida. </w:t>
      </w:r>
      <w:r w:rsidRPr="00027B73">
        <w:rPr>
          <w:i/>
        </w:rPr>
        <w:t>Journal of Herpetology</w:t>
      </w:r>
      <w:r w:rsidRPr="00027B73">
        <w:t xml:space="preserve"> </w:t>
      </w:r>
      <w:r w:rsidRPr="00027B73">
        <w:rPr>
          <w:b/>
        </w:rPr>
        <w:t>55</w:t>
      </w:r>
      <w:r w:rsidRPr="00027B73">
        <w:t>, 62-69 (2021).</w:t>
      </w:r>
    </w:p>
    <w:p w14:paraId="0267BFC9" w14:textId="7BB41EB9" w:rsidR="00027B73" w:rsidRPr="00027B73" w:rsidRDefault="00027B73" w:rsidP="00027B73">
      <w:pPr>
        <w:pStyle w:val="EndNoteBibliography"/>
        <w:ind w:left="720" w:hanging="720"/>
      </w:pPr>
      <w:r w:rsidRPr="00027B73">
        <w:t xml:space="preserve">Haughton, S. Descriptive catalogue of the Amphibia of the Karroo system. </w:t>
      </w:r>
      <w:r w:rsidRPr="00027B73">
        <w:rPr>
          <w:i/>
        </w:rPr>
        <w:t>Annals of the South African Museum</w:t>
      </w:r>
      <w:r w:rsidRPr="00027B73">
        <w:t xml:space="preserve"> </w:t>
      </w:r>
      <w:r w:rsidRPr="00027B73">
        <w:rPr>
          <w:b/>
        </w:rPr>
        <w:t>12</w:t>
      </w:r>
      <w:r w:rsidRPr="00027B73">
        <w:t>, 65-77 (1925).</w:t>
      </w:r>
    </w:p>
    <w:p w14:paraId="170D13D7" w14:textId="226777B3" w:rsidR="00027B73" w:rsidRPr="00027B73" w:rsidRDefault="00027B73" w:rsidP="00027B73">
      <w:pPr>
        <w:pStyle w:val="EndNoteBibliography"/>
        <w:ind w:left="720" w:hanging="720"/>
      </w:pPr>
      <w:r w:rsidRPr="00027B73">
        <w:t>Hecht M</w:t>
      </w:r>
      <w:r w:rsidR="00FA5831">
        <w:t>.</w:t>
      </w:r>
      <w:r w:rsidRPr="00027B73">
        <w:t xml:space="preserve"> K</w:t>
      </w:r>
      <w:r w:rsidR="00FA5831">
        <w:t>.</w:t>
      </w:r>
      <w:r w:rsidRPr="00027B73">
        <w:t xml:space="preserve">, </w:t>
      </w:r>
      <w:r w:rsidR="00FA5831">
        <w:t>&amp; Laduke,</w:t>
      </w:r>
      <w:r w:rsidRPr="00027B73">
        <w:t xml:space="preserve"> T. C. in </w:t>
      </w:r>
      <w:r w:rsidRPr="00027B73">
        <w:rPr>
          <w:i/>
        </w:rPr>
        <w:t>Vertebrate paleontology in the Neotropics: The Miocene fauna of La Venta, Colombia</w:t>
      </w:r>
      <w:r w:rsidRPr="00027B73">
        <w:t xml:space="preserve"> (ed</w:t>
      </w:r>
      <w:r w:rsidR="00FA5831">
        <w:t>s</w:t>
      </w:r>
      <w:r w:rsidRPr="00027B73">
        <w:t xml:space="preserve"> Madden R H Kay R F, Cifelli R L, Flynn J J)  95–99 (Smithsonian Institution Press, 1997).</w:t>
      </w:r>
    </w:p>
    <w:p w14:paraId="5200A875" w14:textId="0C4E36A7" w:rsidR="00027B73" w:rsidRPr="00027B73" w:rsidRDefault="00027B73" w:rsidP="00027B73">
      <w:pPr>
        <w:pStyle w:val="EndNoteBibliography"/>
        <w:ind w:left="720" w:hanging="720"/>
      </w:pPr>
      <w:r w:rsidRPr="00027B73">
        <w:t xml:space="preserve">Heckert, A. B., Mitchell, J. S., Schneider, V. P. &amp; Olsen, P. E. Diverse new microvertebrate assemblage from the Upper Triassic Cumnock Formation, Sanford Subbasin, North Carolina, USA. </w:t>
      </w:r>
      <w:r w:rsidRPr="00027B73">
        <w:rPr>
          <w:i/>
        </w:rPr>
        <w:t>Journal of Paleontology</w:t>
      </w:r>
      <w:r w:rsidRPr="00027B73">
        <w:t xml:space="preserve"> </w:t>
      </w:r>
      <w:r w:rsidRPr="00027B73">
        <w:rPr>
          <w:b/>
        </w:rPr>
        <w:t>86</w:t>
      </w:r>
      <w:r w:rsidRPr="00027B73">
        <w:t>, 368-390 (2012).</w:t>
      </w:r>
    </w:p>
    <w:p w14:paraId="2DA32A7F" w14:textId="7344AD6C" w:rsidR="00027B73" w:rsidRPr="00027B73" w:rsidRDefault="00027B73" w:rsidP="00027B73">
      <w:pPr>
        <w:pStyle w:val="EndNoteBibliography"/>
        <w:ind w:left="720" w:hanging="720"/>
      </w:pPr>
      <w:r w:rsidRPr="00027B73">
        <w:t xml:space="preserve">Hedges, S. B. &amp; Kumar, S. </w:t>
      </w:r>
      <w:r w:rsidRPr="00027B73">
        <w:rPr>
          <w:i/>
        </w:rPr>
        <w:t>The timetree of life</w:t>
      </w:r>
      <w:r w:rsidRPr="00027B73">
        <w:t>.  (Oxford University Press, 2009).</w:t>
      </w:r>
    </w:p>
    <w:p w14:paraId="59A95BE0" w14:textId="718ECE64" w:rsidR="00027B73" w:rsidRPr="00027B73" w:rsidRDefault="00027B73" w:rsidP="00027B73">
      <w:pPr>
        <w:pStyle w:val="EndNoteBibliography"/>
        <w:ind w:left="720" w:hanging="720"/>
      </w:pPr>
      <w:r w:rsidRPr="00027B73">
        <w:t xml:space="preserve">Hedges, S. B., Marin, J., Suleski, M., Paymer, M. &amp; Kumar, S. Tree of life reveals clock-like speciation and diversification. </w:t>
      </w:r>
      <w:r w:rsidRPr="00027B73">
        <w:rPr>
          <w:i/>
        </w:rPr>
        <w:t>Molecular biology and evolution</w:t>
      </w:r>
      <w:r w:rsidRPr="00027B73">
        <w:t xml:space="preserve"> </w:t>
      </w:r>
      <w:r w:rsidRPr="00027B73">
        <w:rPr>
          <w:b/>
        </w:rPr>
        <w:t>32</w:t>
      </w:r>
      <w:r w:rsidRPr="00027B73">
        <w:t>, 835-845 (2015).</w:t>
      </w:r>
    </w:p>
    <w:p w14:paraId="7E18849A" w14:textId="1D932802" w:rsidR="00027B73" w:rsidRPr="00027B73" w:rsidRDefault="00027B73" w:rsidP="00027B73">
      <w:pPr>
        <w:pStyle w:val="EndNoteBibliography"/>
        <w:ind w:left="720" w:hanging="720"/>
      </w:pPr>
      <w:r w:rsidRPr="00027B73">
        <w:t xml:space="preserve">Hellrung, H. </w:t>
      </w:r>
      <w:r w:rsidRPr="00027B73">
        <w:rPr>
          <w:i/>
        </w:rPr>
        <w:t>Gerrothorax pustuloglomeratus</w:t>
      </w:r>
      <w:r w:rsidRPr="00027B73">
        <w:t xml:space="preserve">, ein Temnospondyle (Amphibia) mit knöcherner Branchialkammer aus dem Unteren Keuper von Kupferzell (Süddeutschland). </w:t>
      </w:r>
      <w:r w:rsidRPr="00027B73">
        <w:rPr>
          <w:i/>
        </w:rPr>
        <w:t>Stuttgarter Beiträge zur Naturkunde Ser. B</w:t>
      </w:r>
      <w:r w:rsidRPr="00027B73">
        <w:t xml:space="preserve"> </w:t>
      </w:r>
      <w:r w:rsidRPr="00027B73">
        <w:rPr>
          <w:b/>
        </w:rPr>
        <w:t>330</w:t>
      </w:r>
      <w:r w:rsidRPr="00027B73">
        <w:t>, 1-130 (2003).</w:t>
      </w:r>
    </w:p>
    <w:p w14:paraId="6A6BD972" w14:textId="5256454C" w:rsidR="00027B73" w:rsidRPr="00027B73" w:rsidRDefault="00027B73" w:rsidP="00027B73">
      <w:pPr>
        <w:pStyle w:val="EndNoteBibliography"/>
        <w:ind w:left="720" w:hanging="720"/>
      </w:pPr>
      <w:r w:rsidRPr="00027B73">
        <w:t xml:space="preserve">Henderson, A. C. </w:t>
      </w:r>
      <w:r w:rsidRPr="00027B73">
        <w:rPr>
          <w:i/>
        </w:rPr>
        <w:t>Studies on Interactions Among Xenopus Taxa Using Comparative Osteology and Other Methods: An Evolutionary Perspective</w:t>
      </w:r>
      <w:r w:rsidRPr="00027B73">
        <w:t>, University of Bristol, (2002).</w:t>
      </w:r>
    </w:p>
    <w:p w14:paraId="4294D675" w14:textId="754D9E8A" w:rsidR="00027B73" w:rsidRPr="00027B73" w:rsidRDefault="00027B73" w:rsidP="00027B73">
      <w:pPr>
        <w:pStyle w:val="EndNoteBibliography"/>
        <w:ind w:left="720" w:hanging="720"/>
      </w:pPr>
      <w:r w:rsidRPr="00027B73">
        <w:t xml:space="preserve">Hewison, R. The skull and mandible of the stereospondyl </w:t>
      </w:r>
      <w:r w:rsidRPr="00027B73">
        <w:rPr>
          <w:i/>
        </w:rPr>
        <w:t>Lydekkerina huxleyi</w:t>
      </w:r>
      <w:r w:rsidRPr="00027B73">
        <w:t xml:space="preserve">, (Tetrapoda: Temnospondyli) from the Lower Triassic of South Africa, and a reappraisal of the family Lydekkerinidae, its origin, taxonomic relationships and phylogenetic importance. </w:t>
      </w:r>
      <w:r w:rsidRPr="00027B73">
        <w:rPr>
          <w:i/>
        </w:rPr>
        <w:t>Journal of Temnospondyl Palaeontology</w:t>
      </w:r>
      <w:r w:rsidRPr="00027B73">
        <w:t xml:space="preserve"> </w:t>
      </w:r>
      <w:r w:rsidRPr="00027B73">
        <w:rPr>
          <w:b/>
        </w:rPr>
        <w:t>1</w:t>
      </w:r>
      <w:r w:rsidRPr="00027B73">
        <w:t>, 1-80 (2007).</w:t>
      </w:r>
    </w:p>
    <w:p w14:paraId="478FE3E9" w14:textId="4015EA9A" w:rsidR="00027B73" w:rsidRPr="00027B73" w:rsidRDefault="00027B73" w:rsidP="00027B73">
      <w:pPr>
        <w:pStyle w:val="EndNoteBibliography"/>
        <w:ind w:left="720" w:hanging="720"/>
      </w:pPr>
      <w:r w:rsidRPr="00027B73">
        <w:t xml:space="preserve">Holder, M. T., Sukumaran, J. &amp; Lewis, P. O. A justification for reporting the majority-rule consensus tree in Bayesian phylogenetics. </w:t>
      </w:r>
      <w:r w:rsidRPr="00027B73">
        <w:rPr>
          <w:i/>
        </w:rPr>
        <w:t>Systematic biology</w:t>
      </w:r>
      <w:r w:rsidRPr="00027B73">
        <w:t xml:space="preserve"> </w:t>
      </w:r>
      <w:r w:rsidRPr="00027B73">
        <w:rPr>
          <w:b/>
        </w:rPr>
        <w:t>57</w:t>
      </w:r>
      <w:r w:rsidRPr="00027B73">
        <w:t>, 814-821 (2008).</w:t>
      </w:r>
    </w:p>
    <w:p w14:paraId="3D272DD5" w14:textId="42C92FD7" w:rsidR="00027B73" w:rsidRPr="00027B73" w:rsidRDefault="00027B73" w:rsidP="00027B73">
      <w:pPr>
        <w:pStyle w:val="EndNoteBibliography"/>
        <w:ind w:left="720" w:hanging="720"/>
      </w:pPr>
      <w:r w:rsidRPr="00027B73">
        <w:t xml:space="preserve">Holmes, R. The Carboniferous amphibian </w:t>
      </w:r>
      <w:r w:rsidRPr="00027B73">
        <w:rPr>
          <w:i/>
        </w:rPr>
        <w:t>Proterogyrinus scheelei</w:t>
      </w:r>
      <w:r w:rsidRPr="00027B73">
        <w:t xml:space="preserve"> Romer, and the early evolution of tetrapods. </w:t>
      </w:r>
      <w:r w:rsidRPr="00027B73">
        <w:rPr>
          <w:i/>
        </w:rPr>
        <w:t>Philosophical Transactions of the Royal Society of London. B, Biological Sciences</w:t>
      </w:r>
      <w:r w:rsidRPr="00027B73">
        <w:t xml:space="preserve"> </w:t>
      </w:r>
      <w:r w:rsidRPr="00027B73">
        <w:rPr>
          <w:b/>
        </w:rPr>
        <w:t>306</w:t>
      </w:r>
      <w:r w:rsidRPr="00027B73">
        <w:t>, 431-524 (1984).</w:t>
      </w:r>
    </w:p>
    <w:p w14:paraId="62044C34" w14:textId="42475104" w:rsidR="00027B73" w:rsidRPr="00027B73" w:rsidRDefault="00027B73" w:rsidP="00027B73">
      <w:pPr>
        <w:pStyle w:val="EndNoteBibliography"/>
        <w:ind w:left="720" w:hanging="720"/>
      </w:pPr>
      <w:r w:rsidRPr="00027B73">
        <w:t xml:space="preserve">Holmes, R., Berman, D. S. &amp; Anderson, J. S. A new dissorophid (Temnospondyli, Dissorophoidea) from the Early Permian of New Mexico (United States). </w:t>
      </w:r>
      <w:r w:rsidRPr="00027B73">
        <w:rPr>
          <w:i/>
        </w:rPr>
        <w:t>Comptes Rendus Palevol</w:t>
      </w:r>
      <w:r w:rsidRPr="00027B73">
        <w:t xml:space="preserve"> </w:t>
      </w:r>
      <w:r w:rsidRPr="00027B73">
        <w:rPr>
          <w:b/>
        </w:rPr>
        <w:t>12</w:t>
      </w:r>
      <w:r w:rsidRPr="00027B73">
        <w:t>, 419-435 (2013).</w:t>
      </w:r>
    </w:p>
    <w:p w14:paraId="30A5B475" w14:textId="61DA5C7D" w:rsidR="00027B73" w:rsidRPr="00027B73" w:rsidRDefault="00027B73" w:rsidP="00027B73">
      <w:pPr>
        <w:pStyle w:val="EndNoteBibliography"/>
        <w:ind w:left="720" w:hanging="720"/>
      </w:pPr>
      <w:r w:rsidRPr="00027B73">
        <w:t xml:space="preserve">Holmes, R. B., Carroll, R. L. &amp; Reisz, R. R. The first articulated skeleton of </w:t>
      </w:r>
      <w:r w:rsidRPr="00027B73">
        <w:rPr>
          <w:i/>
        </w:rPr>
        <w:t>Dendrerpeton acadianum</w:t>
      </w:r>
      <w:r w:rsidRPr="00027B73">
        <w:t xml:space="preserve"> (Temnospondyli, Dendrerpetontidae) from the Lower Pennsylvanian locality of Joggins, Nova Scotia, and a review of its relationships. </w:t>
      </w:r>
      <w:r w:rsidRPr="00027B73">
        <w:rPr>
          <w:i/>
        </w:rPr>
        <w:t>Journal of Vertebrate Paleontology</w:t>
      </w:r>
      <w:r w:rsidRPr="00027B73">
        <w:t xml:space="preserve"> </w:t>
      </w:r>
      <w:r w:rsidRPr="00027B73">
        <w:rPr>
          <w:b/>
        </w:rPr>
        <w:t>18</w:t>
      </w:r>
      <w:r w:rsidRPr="00027B73">
        <w:t>, 64-79 (1998).</w:t>
      </w:r>
    </w:p>
    <w:p w14:paraId="7695EFAB" w14:textId="5F3F46D8" w:rsidR="00027B73" w:rsidRPr="00027B73" w:rsidRDefault="00027B73" w:rsidP="00027B73">
      <w:pPr>
        <w:pStyle w:val="EndNoteBibliography"/>
        <w:ind w:left="720" w:hanging="720"/>
      </w:pPr>
      <w:r w:rsidRPr="00027B73">
        <w:t xml:space="preserve">Hook, R. W. </w:t>
      </w:r>
      <w:r w:rsidRPr="00027B73">
        <w:rPr>
          <w:i/>
        </w:rPr>
        <w:t>Chenoprosopus lewisi</w:t>
      </w:r>
      <w:r w:rsidRPr="00027B73">
        <w:t xml:space="preserve">, a new cochleosaurid amphibian (Amphibia: Temnospondyli) from the Permo-Carboniferous of north-central Texas. </w:t>
      </w:r>
      <w:r w:rsidRPr="00027B73">
        <w:rPr>
          <w:i/>
        </w:rPr>
        <w:t xml:space="preserve">Annals of the Carnegie Museum </w:t>
      </w:r>
      <w:r w:rsidRPr="00027B73">
        <w:rPr>
          <w:b/>
        </w:rPr>
        <w:t>62</w:t>
      </w:r>
      <w:r w:rsidRPr="00027B73">
        <w:t>, 273-291 (1993).</w:t>
      </w:r>
    </w:p>
    <w:p w14:paraId="517D4F5D" w14:textId="1E1D7C41" w:rsidR="00027B73" w:rsidRPr="00027B73" w:rsidRDefault="00027B73" w:rsidP="00027B73">
      <w:pPr>
        <w:pStyle w:val="EndNoteBibliography"/>
        <w:ind w:left="720" w:hanging="720"/>
      </w:pPr>
      <w:r w:rsidRPr="00027B73">
        <w:t xml:space="preserve">Hook, R. W. &amp; Baird, D. The diamond coal mine of Linton, Ohio, and its Pennsylvanian-age vertebrates. </w:t>
      </w:r>
      <w:r w:rsidRPr="00027B73">
        <w:rPr>
          <w:i/>
        </w:rPr>
        <w:t>Journal of Vertebrate Paleontology</w:t>
      </w:r>
      <w:r w:rsidRPr="00027B73">
        <w:t xml:space="preserve"> </w:t>
      </w:r>
      <w:r w:rsidRPr="00027B73">
        <w:rPr>
          <w:b/>
        </w:rPr>
        <w:t>6</w:t>
      </w:r>
      <w:r w:rsidRPr="00027B73">
        <w:t>, 174-190 (1986).</w:t>
      </w:r>
    </w:p>
    <w:p w14:paraId="4DB9841A" w14:textId="351634BB" w:rsidR="00027B73" w:rsidRPr="00027B73" w:rsidRDefault="00027B73" w:rsidP="00027B73">
      <w:pPr>
        <w:pStyle w:val="EndNoteBibliography"/>
        <w:ind w:left="720" w:hanging="720"/>
      </w:pPr>
      <w:r w:rsidRPr="00027B73">
        <w:t xml:space="preserve">Howie, A. A. A new capitosaurid labyrinthodont from East Africa. </w:t>
      </w:r>
      <w:r w:rsidRPr="00027B73">
        <w:rPr>
          <w:i/>
        </w:rPr>
        <w:t>Palaeontology</w:t>
      </w:r>
      <w:r w:rsidRPr="00027B73">
        <w:t xml:space="preserve"> </w:t>
      </w:r>
      <w:r w:rsidRPr="00027B73">
        <w:rPr>
          <w:b/>
        </w:rPr>
        <w:t>13</w:t>
      </w:r>
      <w:r w:rsidRPr="00027B73">
        <w:t>, 210-253 (1970).</w:t>
      </w:r>
    </w:p>
    <w:p w14:paraId="3B737D1F" w14:textId="1AFEEC73" w:rsidR="00027B73" w:rsidRPr="00027B73" w:rsidRDefault="00027B73" w:rsidP="00027B73">
      <w:pPr>
        <w:pStyle w:val="EndNoteBibliography"/>
        <w:ind w:left="720" w:hanging="720"/>
      </w:pPr>
      <w:r w:rsidRPr="00027B73">
        <w:t xml:space="preserve">Hugall, A. F., Foster, R. &amp; Lee, M. S. Calibration choice, rate smoothing, and the pattern of tetrapod diversification according to the long nuclear gene RAG-1. </w:t>
      </w:r>
      <w:r w:rsidRPr="00027B73">
        <w:rPr>
          <w:i/>
        </w:rPr>
        <w:t xml:space="preserve">Systematic </w:t>
      </w:r>
      <w:r w:rsidR="004B0E82">
        <w:rPr>
          <w:i/>
        </w:rPr>
        <w:t>B</w:t>
      </w:r>
      <w:r w:rsidRPr="00027B73">
        <w:rPr>
          <w:i/>
        </w:rPr>
        <w:t>iology</w:t>
      </w:r>
      <w:r w:rsidRPr="00027B73">
        <w:t xml:space="preserve"> </w:t>
      </w:r>
      <w:r w:rsidRPr="00027B73">
        <w:rPr>
          <w:b/>
        </w:rPr>
        <w:t>56</w:t>
      </w:r>
      <w:r w:rsidRPr="00027B73">
        <w:t>, 543-563 (2007).</w:t>
      </w:r>
    </w:p>
    <w:p w14:paraId="3BD78F27" w14:textId="7777501A" w:rsidR="00027B73" w:rsidRPr="00027B73" w:rsidRDefault="00027B73" w:rsidP="00027B73">
      <w:pPr>
        <w:pStyle w:val="EndNoteBibliography"/>
        <w:ind w:left="720" w:hanging="720"/>
      </w:pPr>
      <w:r w:rsidRPr="00027B73">
        <w:t xml:space="preserve">Hunt, A. P. Revision of the Metoposauridae (Amphibia: Temnospobdyli) and description of a new genus from Western North America. </w:t>
      </w:r>
      <w:r w:rsidRPr="00027B73">
        <w:rPr>
          <w:i/>
        </w:rPr>
        <w:t>Museum of Northern Arizona Bulletin</w:t>
      </w:r>
      <w:r w:rsidRPr="00027B73">
        <w:t xml:space="preserve"> </w:t>
      </w:r>
      <w:r w:rsidRPr="00027B73">
        <w:rPr>
          <w:b/>
        </w:rPr>
        <w:t>59</w:t>
      </w:r>
      <w:r w:rsidRPr="00027B73">
        <w:t>, 67-97 (1993).</w:t>
      </w:r>
    </w:p>
    <w:p w14:paraId="3DCEF02B" w14:textId="1BBB81F2" w:rsidR="00027B73" w:rsidRPr="00027B73" w:rsidRDefault="00027B73" w:rsidP="00027B73">
      <w:pPr>
        <w:pStyle w:val="EndNoteBibliography"/>
        <w:ind w:left="720" w:hanging="720"/>
      </w:pPr>
      <w:r w:rsidRPr="00027B73">
        <w:t xml:space="preserve">Huttenlocker, A. K., Pardo, J. D. &amp; Small, B. J. </w:t>
      </w:r>
      <w:r w:rsidRPr="00027B73">
        <w:rPr>
          <w:i/>
        </w:rPr>
        <w:t>Plemmyradytes shintoni</w:t>
      </w:r>
      <w:r w:rsidRPr="00027B73">
        <w:t xml:space="preserve">, gen. et sp. nov., an Early Permian amphibamid (Temnospondyli: Dissorophoidea) from the Eskridge Formation, Nebraska. </w:t>
      </w:r>
      <w:r w:rsidRPr="00027B73">
        <w:rPr>
          <w:i/>
        </w:rPr>
        <w:t>Journal of Vertebrate Paleontology</w:t>
      </w:r>
      <w:r w:rsidRPr="00027B73">
        <w:t xml:space="preserve"> </w:t>
      </w:r>
      <w:r w:rsidRPr="00027B73">
        <w:rPr>
          <w:b/>
        </w:rPr>
        <w:t>27</w:t>
      </w:r>
      <w:r w:rsidRPr="00027B73">
        <w:t>, 316-328 (2007).</w:t>
      </w:r>
    </w:p>
    <w:p w14:paraId="1E1A7B14" w14:textId="64FF561C" w:rsidR="00027B73" w:rsidRPr="00027B73" w:rsidRDefault="00027B73" w:rsidP="00027B73">
      <w:pPr>
        <w:pStyle w:val="EndNoteBibliography"/>
        <w:ind w:left="720" w:hanging="720"/>
      </w:pPr>
      <w:r w:rsidRPr="00027B73">
        <w:t xml:space="preserve">Igawa, T., Kurabayashi, A., Usuki, C., Fujii, T. &amp; Sumida, M. Complete mitochondrial genomes of three neobatrachian anurans: a case study of divergence time estimation using different data and calibration settings. </w:t>
      </w:r>
      <w:r w:rsidRPr="00027B73">
        <w:rPr>
          <w:i/>
        </w:rPr>
        <w:t>Gene</w:t>
      </w:r>
      <w:r w:rsidRPr="00027B73">
        <w:t xml:space="preserve"> </w:t>
      </w:r>
      <w:r w:rsidRPr="00027B73">
        <w:rPr>
          <w:b/>
        </w:rPr>
        <w:t>407</w:t>
      </w:r>
      <w:r w:rsidRPr="00027B73">
        <w:t>, 116-129 (2008).</w:t>
      </w:r>
    </w:p>
    <w:p w14:paraId="7F2F0EE3" w14:textId="0FC5F9D2" w:rsidR="00027B73" w:rsidRPr="00027B73" w:rsidRDefault="00027B73" w:rsidP="00027B73">
      <w:pPr>
        <w:pStyle w:val="EndNoteBibliography"/>
        <w:ind w:left="720" w:hanging="720"/>
      </w:pPr>
      <w:r w:rsidRPr="00027B73">
        <w:t>Irisarri, I.</w:t>
      </w:r>
      <w:r w:rsidRPr="00027B73">
        <w:rPr>
          <w:i/>
        </w:rPr>
        <w:t xml:space="preserve"> et al.</w:t>
      </w:r>
      <w:r w:rsidRPr="00027B73">
        <w:t xml:space="preserve"> The origin of modern frogs (Neobatrachia) was accompanied by acceleration in mitochondrial and nuclear substitution rates. </w:t>
      </w:r>
      <w:r w:rsidRPr="00027B73">
        <w:rPr>
          <w:i/>
        </w:rPr>
        <w:t>BMC Genomics</w:t>
      </w:r>
      <w:r w:rsidRPr="00027B73">
        <w:t xml:space="preserve"> </w:t>
      </w:r>
      <w:r w:rsidRPr="00027B73">
        <w:rPr>
          <w:b/>
        </w:rPr>
        <w:t>13</w:t>
      </w:r>
      <w:r w:rsidRPr="00027B73">
        <w:t>, 1-19 (2012).</w:t>
      </w:r>
    </w:p>
    <w:p w14:paraId="411844EE" w14:textId="77777777" w:rsidR="00B2362F" w:rsidRDefault="00027B73" w:rsidP="00B2362F">
      <w:pPr>
        <w:pStyle w:val="EndNoteBibliography"/>
        <w:ind w:left="720" w:hanging="720"/>
      </w:pPr>
      <w:r w:rsidRPr="00027B73">
        <w:t xml:space="preserve">Ivachnenko, M. Urodelans from the Triassic and Jurassic of Soviet central Asia. </w:t>
      </w:r>
      <w:r w:rsidRPr="00027B73">
        <w:rPr>
          <w:i/>
        </w:rPr>
        <w:t>Paleontological Journal</w:t>
      </w:r>
      <w:r w:rsidRPr="00027B73">
        <w:t xml:space="preserve"> </w:t>
      </w:r>
      <w:r w:rsidRPr="00027B73">
        <w:rPr>
          <w:b/>
        </w:rPr>
        <w:t>12</w:t>
      </w:r>
      <w:r w:rsidRPr="00027B73">
        <w:t>, 362-368 (1978).</w:t>
      </w:r>
    </w:p>
    <w:p w14:paraId="3C89A217" w14:textId="30E7A100" w:rsidR="00027B73" w:rsidRPr="00027B73" w:rsidRDefault="00027B73" w:rsidP="00B2362F">
      <w:pPr>
        <w:pStyle w:val="EndNoteBibliography"/>
        <w:ind w:left="720" w:hanging="720"/>
      </w:pPr>
      <w:r w:rsidRPr="00027B73">
        <w:t>Jared, C.</w:t>
      </w:r>
      <w:r w:rsidRPr="00027B73">
        <w:rPr>
          <w:i/>
        </w:rPr>
        <w:t xml:space="preserve"> et al.</w:t>
      </w:r>
      <w:r w:rsidRPr="00027B73">
        <w:t xml:space="preserve"> Skin gland concentrations adapted to different evolutionary pressures in the head and posterior regions of the caecilian </w:t>
      </w:r>
      <w:r w:rsidRPr="00027B73">
        <w:rPr>
          <w:i/>
        </w:rPr>
        <w:t>Siphonops annulatus</w:t>
      </w:r>
      <w:r w:rsidRPr="00027B73">
        <w:t xml:space="preserve">. </w:t>
      </w:r>
      <w:r w:rsidRPr="00027B73">
        <w:rPr>
          <w:i/>
        </w:rPr>
        <w:t>Scientific reports</w:t>
      </w:r>
      <w:r w:rsidRPr="00027B73">
        <w:t xml:space="preserve"> </w:t>
      </w:r>
      <w:r w:rsidRPr="00027B73">
        <w:rPr>
          <w:b/>
        </w:rPr>
        <w:t>8</w:t>
      </w:r>
      <w:r w:rsidRPr="00027B73">
        <w:t>, 1-7 (2018).</w:t>
      </w:r>
    </w:p>
    <w:p w14:paraId="1EC1E05E" w14:textId="65168AFF" w:rsidR="00027B73" w:rsidRPr="00027B73" w:rsidRDefault="00027B73" w:rsidP="00027B73">
      <w:pPr>
        <w:pStyle w:val="EndNoteBibliography"/>
        <w:ind w:left="720" w:hanging="720"/>
      </w:pPr>
      <w:r w:rsidRPr="00027B73">
        <w:t xml:space="preserve">Jeannot, A. M., Damiani, R. &amp; Rubidge, B. S. Cranial anatomy of the Early Triassic stereospondyl </w:t>
      </w:r>
      <w:r w:rsidRPr="00027B73">
        <w:rPr>
          <w:i/>
        </w:rPr>
        <w:t>Lydekkerina huxleyi</w:t>
      </w:r>
      <w:r w:rsidRPr="00027B73">
        <w:t xml:space="preserve"> (Tetrapoda: Temnospondyli) and the taxonomy of South African lydekkerinids. </w:t>
      </w:r>
      <w:r w:rsidRPr="00027B73">
        <w:rPr>
          <w:i/>
        </w:rPr>
        <w:t>Journal of Vertebrate Paleontology</w:t>
      </w:r>
      <w:r w:rsidRPr="00027B73">
        <w:t xml:space="preserve"> </w:t>
      </w:r>
      <w:r w:rsidRPr="00027B73">
        <w:rPr>
          <w:b/>
        </w:rPr>
        <w:t>26</w:t>
      </w:r>
      <w:r w:rsidRPr="00027B73">
        <w:t>, 822-838 (2006).</w:t>
      </w:r>
    </w:p>
    <w:p w14:paraId="27AF23A1" w14:textId="035FCDD6" w:rsidR="00027B73" w:rsidRPr="00027B73" w:rsidRDefault="00027B73" w:rsidP="00027B73">
      <w:pPr>
        <w:pStyle w:val="EndNoteBibliography"/>
        <w:ind w:left="720" w:hanging="720"/>
      </w:pPr>
      <w:r w:rsidRPr="00027B73">
        <w:t xml:space="preserve">Jenkins, F. A., Walsh, D. M. &amp; Carroll, R. L. Anatomy of </w:t>
      </w:r>
      <w:r w:rsidRPr="00027B73">
        <w:rPr>
          <w:i/>
        </w:rPr>
        <w:t>Eocaecilia micropodia</w:t>
      </w:r>
      <w:r w:rsidRPr="00027B73">
        <w:t xml:space="preserve">, alimbed caecilian of the Early Jurassic. </w:t>
      </w:r>
      <w:r w:rsidRPr="00027B73">
        <w:rPr>
          <w:i/>
        </w:rPr>
        <w:t>Bulletin of the Museum of Comparative Zoology</w:t>
      </w:r>
      <w:r w:rsidRPr="00027B73">
        <w:t xml:space="preserve"> </w:t>
      </w:r>
      <w:r w:rsidRPr="00027B73">
        <w:rPr>
          <w:b/>
        </w:rPr>
        <w:t>158</w:t>
      </w:r>
      <w:r w:rsidRPr="00027B73">
        <w:t>, 285-365 (2007).</w:t>
      </w:r>
    </w:p>
    <w:p w14:paraId="0FABCF66" w14:textId="08D102A4" w:rsidR="00027B73" w:rsidRPr="00027B73" w:rsidRDefault="00027B73" w:rsidP="00027B73">
      <w:pPr>
        <w:pStyle w:val="EndNoteBibliography"/>
        <w:ind w:left="720" w:hanging="720"/>
      </w:pPr>
      <w:r w:rsidRPr="00027B73">
        <w:t xml:space="preserve">Jenkins Jr, F. A., Shubin, N. H., Gatesy, S. M. &amp; Warren, A. </w:t>
      </w:r>
      <w:r w:rsidRPr="00027B73">
        <w:rPr>
          <w:i/>
        </w:rPr>
        <w:t>Gerrothorax pulcherrimus</w:t>
      </w:r>
      <w:r w:rsidRPr="00027B73">
        <w:t xml:space="preserve"> from the Upper Triassic Fleming Fjord Formation of East Greenland and a reassessment of head lifting in temnospondyl feeding. </w:t>
      </w:r>
      <w:r w:rsidRPr="00027B73">
        <w:rPr>
          <w:i/>
        </w:rPr>
        <w:t>Journal of Vertebrate Paleontology</w:t>
      </w:r>
      <w:r w:rsidRPr="00027B73">
        <w:t xml:space="preserve"> </w:t>
      </w:r>
      <w:r w:rsidRPr="00027B73">
        <w:rPr>
          <w:b/>
        </w:rPr>
        <w:t>28</w:t>
      </w:r>
      <w:r w:rsidRPr="00027B73">
        <w:t>, 935-950 (2008).</w:t>
      </w:r>
    </w:p>
    <w:p w14:paraId="30B199FF" w14:textId="7B4E1EBF" w:rsidR="00027B73" w:rsidRPr="00027B73" w:rsidRDefault="00027B73" w:rsidP="00027B73">
      <w:pPr>
        <w:pStyle w:val="EndNoteBibliography"/>
        <w:ind w:left="720" w:hanging="720"/>
      </w:pPr>
      <w:r w:rsidRPr="00027B73">
        <w:t xml:space="preserve">Jenkins, P. A. &amp; Walsh, D. M. An Early Jurassic caecilian with limbs. </w:t>
      </w:r>
      <w:r w:rsidRPr="00027B73">
        <w:rPr>
          <w:i/>
        </w:rPr>
        <w:t>Nature</w:t>
      </w:r>
      <w:r w:rsidRPr="00027B73">
        <w:t xml:space="preserve"> </w:t>
      </w:r>
      <w:r w:rsidRPr="00027B73">
        <w:rPr>
          <w:b/>
        </w:rPr>
        <w:t>365</w:t>
      </w:r>
      <w:r w:rsidRPr="00027B73">
        <w:t>, 246-250 (1993).</w:t>
      </w:r>
    </w:p>
    <w:p w14:paraId="7D1945E6" w14:textId="23597212" w:rsidR="00027B73" w:rsidRPr="00027B73" w:rsidRDefault="00027B73" w:rsidP="00027B73">
      <w:pPr>
        <w:pStyle w:val="EndNoteBibliography"/>
        <w:ind w:left="720" w:hanging="720"/>
      </w:pPr>
      <w:r w:rsidRPr="00027B73">
        <w:t xml:space="preserve">Jessen, H. Die Crossopterygier des Oberen Plattenkalkes (Devon) der Bergisch-Gladbach-Paffrather Mulde (Rheinisches Schiefergebirge) unter Berucksichtigung von Amerikanischem und Europaischem </w:t>
      </w:r>
      <w:r w:rsidRPr="00027B73">
        <w:rPr>
          <w:i/>
        </w:rPr>
        <w:t>Onychodus</w:t>
      </w:r>
      <w:r w:rsidRPr="00027B73">
        <w:t xml:space="preserve">-material. </w:t>
      </w:r>
      <w:r w:rsidRPr="00027B73">
        <w:rPr>
          <w:i/>
        </w:rPr>
        <w:t>Arkiv för Zoologi</w:t>
      </w:r>
      <w:r w:rsidRPr="00027B73">
        <w:t xml:space="preserve"> </w:t>
      </w:r>
      <w:r w:rsidRPr="00027B73">
        <w:rPr>
          <w:b/>
        </w:rPr>
        <w:t>18</w:t>
      </w:r>
      <w:r w:rsidRPr="00027B73">
        <w:t>, 305-389 (1965).</w:t>
      </w:r>
    </w:p>
    <w:p w14:paraId="63710567" w14:textId="71479C01" w:rsidR="00027B73" w:rsidRPr="00027B73" w:rsidRDefault="00027B73" w:rsidP="00027B73">
      <w:pPr>
        <w:pStyle w:val="EndNoteBibliography"/>
        <w:ind w:left="720" w:hanging="720"/>
      </w:pPr>
      <w:r w:rsidRPr="00027B73">
        <w:t xml:space="preserve">Jia, J. &amp; Gao, K.-Q. A new hynobiid-like salamander (Amphibia, Urodela) from Inner Mongolia, China, provides a rare case study of developmental features in an Early Cretaceous fossil urodele. </w:t>
      </w:r>
      <w:r w:rsidRPr="00027B73">
        <w:rPr>
          <w:i/>
        </w:rPr>
        <w:t>PeerJ</w:t>
      </w:r>
      <w:r w:rsidRPr="00027B73">
        <w:t xml:space="preserve"> </w:t>
      </w:r>
      <w:r w:rsidRPr="00027B73">
        <w:rPr>
          <w:b/>
        </w:rPr>
        <w:t>4</w:t>
      </w:r>
      <w:r w:rsidRPr="00027B73">
        <w:t>, e2499 (2016).</w:t>
      </w:r>
    </w:p>
    <w:p w14:paraId="54F156AC" w14:textId="2451F8CC" w:rsidR="00027B73" w:rsidRPr="00027B73" w:rsidRDefault="00027B73" w:rsidP="00027B73">
      <w:pPr>
        <w:pStyle w:val="EndNoteBibliography"/>
        <w:ind w:left="720" w:hanging="720"/>
      </w:pPr>
      <w:r w:rsidRPr="00027B73">
        <w:t xml:space="preserve">Jia, J. &amp; Gao, K.-Q. A new basal salamandroid (Amphibia, Urodela) from the Late Jurassic of Qinglong, Hebei province, China. </w:t>
      </w:r>
      <w:r w:rsidRPr="00027B73">
        <w:rPr>
          <w:i/>
        </w:rPr>
        <w:t>PloS One</w:t>
      </w:r>
      <w:r w:rsidRPr="00027B73">
        <w:t xml:space="preserve"> </w:t>
      </w:r>
      <w:r w:rsidRPr="00027B73">
        <w:rPr>
          <w:b/>
        </w:rPr>
        <w:t>11</w:t>
      </w:r>
      <w:r w:rsidRPr="00027B73">
        <w:t>, e0153834 (2016).</w:t>
      </w:r>
    </w:p>
    <w:p w14:paraId="3F6DFEB3" w14:textId="4A7208B0" w:rsidR="00027B73" w:rsidRPr="00027B73" w:rsidRDefault="00027B73" w:rsidP="00027B73">
      <w:pPr>
        <w:pStyle w:val="EndNoteBibliography"/>
        <w:ind w:left="720" w:hanging="720"/>
      </w:pPr>
      <w:r w:rsidRPr="00027B73">
        <w:t xml:space="preserve">Jia, J. &amp; Gao, K.-Q. A new stem hynobiid salamander (Urodela, Cryptobranchoidea) from the Upper Jurassic (Oxfordian) of Liaoning Province, China. </w:t>
      </w:r>
      <w:r w:rsidRPr="00027B73">
        <w:rPr>
          <w:i/>
        </w:rPr>
        <w:t>Journal of Vertebrate Paleontology</w:t>
      </w:r>
      <w:r w:rsidRPr="00027B73">
        <w:t xml:space="preserve"> </w:t>
      </w:r>
      <w:r w:rsidRPr="00027B73">
        <w:rPr>
          <w:b/>
        </w:rPr>
        <w:t>39</w:t>
      </w:r>
      <w:r w:rsidRPr="00027B73">
        <w:t>, e1588285 (2019).</w:t>
      </w:r>
    </w:p>
    <w:p w14:paraId="5F9EBCF3" w14:textId="376915C3" w:rsidR="00027B73" w:rsidRPr="00027B73" w:rsidRDefault="00027B73" w:rsidP="00027B73">
      <w:pPr>
        <w:pStyle w:val="EndNoteBibliography"/>
        <w:ind w:left="720" w:hanging="720"/>
      </w:pPr>
      <w:r w:rsidRPr="00027B73">
        <w:t xml:space="preserve">Johnston, P. Cranial muscles of the anurans </w:t>
      </w:r>
      <w:r w:rsidRPr="00027B73">
        <w:rPr>
          <w:i/>
        </w:rPr>
        <w:t xml:space="preserve">Leiopelma hochstetteri </w:t>
      </w:r>
      <w:r w:rsidRPr="00027B73">
        <w:t xml:space="preserve">and </w:t>
      </w:r>
      <w:r w:rsidRPr="00027B73">
        <w:rPr>
          <w:i/>
        </w:rPr>
        <w:t xml:space="preserve">Ascaphus truei </w:t>
      </w:r>
      <w:r w:rsidRPr="00027B73">
        <w:t xml:space="preserve">and the homologies of the mandibular adductors in Lissamphibia and other gnathostomes. </w:t>
      </w:r>
      <w:r w:rsidRPr="00027B73">
        <w:rPr>
          <w:i/>
        </w:rPr>
        <w:t>Journal of morphology</w:t>
      </w:r>
      <w:r w:rsidRPr="00027B73">
        <w:t xml:space="preserve"> </w:t>
      </w:r>
      <w:r w:rsidRPr="00027B73">
        <w:rPr>
          <w:b/>
        </w:rPr>
        <w:t>272</w:t>
      </w:r>
      <w:r w:rsidRPr="00027B73">
        <w:t>, 1492-1512 (2011).</w:t>
      </w:r>
    </w:p>
    <w:p w14:paraId="2A7D752B" w14:textId="78A49031" w:rsidR="00027B73" w:rsidRPr="00027B73" w:rsidRDefault="00027B73" w:rsidP="00027B73">
      <w:pPr>
        <w:pStyle w:val="EndNoteBibliography"/>
        <w:ind w:left="720" w:hanging="720"/>
      </w:pPr>
      <w:r w:rsidRPr="00027B73">
        <w:t xml:space="preserve">Jupp, R. &amp; Warren, A. The mandibles of the Triassic temnospondyl amphibians. </w:t>
      </w:r>
      <w:r w:rsidRPr="00027B73">
        <w:rPr>
          <w:i/>
        </w:rPr>
        <w:t>Alcheringa</w:t>
      </w:r>
      <w:r w:rsidRPr="00027B73">
        <w:t xml:space="preserve"> </w:t>
      </w:r>
      <w:r w:rsidRPr="00027B73">
        <w:rPr>
          <w:b/>
        </w:rPr>
        <w:t>10</w:t>
      </w:r>
      <w:r w:rsidRPr="00027B73">
        <w:t>, 99-124 (1986).</w:t>
      </w:r>
    </w:p>
    <w:p w14:paraId="3EC75424" w14:textId="46FECC1F" w:rsidR="00027B73" w:rsidRPr="00027B73" w:rsidRDefault="00027B73" w:rsidP="00027B73">
      <w:pPr>
        <w:pStyle w:val="EndNoteBibliography"/>
        <w:ind w:left="720" w:hanging="720"/>
      </w:pPr>
      <w:r w:rsidRPr="00027B73">
        <w:t>Kamei, R. G.</w:t>
      </w:r>
      <w:r w:rsidRPr="00027B73">
        <w:rPr>
          <w:i/>
        </w:rPr>
        <w:t xml:space="preserve"> et al.</w:t>
      </w:r>
      <w:r w:rsidRPr="00027B73">
        <w:t xml:space="preserve"> Discovery of a new family of amphibians from northeast India with ancient links to Africa. </w:t>
      </w:r>
      <w:r w:rsidRPr="00027B73">
        <w:rPr>
          <w:i/>
        </w:rPr>
        <w:t>Proceedings of the Royal Society B: Biological Sciences</w:t>
      </w:r>
      <w:r w:rsidRPr="00027B73">
        <w:t xml:space="preserve"> </w:t>
      </w:r>
      <w:r w:rsidRPr="00027B73">
        <w:rPr>
          <w:b/>
        </w:rPr>
        <w:t>279</w:t>
      </w:r>
      <w:r w:rsidRPr="00027B73">
        <w:t>, 2396-2401 (2012).</w:t>
      </w:r>
    </w:p>
    <w:p w14:paraId="3B702C8B" w14:textId="2F94F2E1" w:rsidR="00027B73" w:rsidRPr="00027B73" w:rsidRDefault="00027B73" w:rsidP="00027B73">
      <w:pPr>
        <w:pStyle w:val="EndNoteBibliography"/>
        <w:ind w:left="720" w:hanging="720"/>
      </w:pPr>
      <w:r w:rsidRPr="00027B73">
        <w:t xml:space="preserve">Kent, D. V. &amp; Irving, E. Influence of inclination error in sedimentary rocks on the Triassic and Jurassic apparent pole wander path for North America and implications for Cordilleran tectonics. </w:t>
      </w:r>
      <w:r w:rsidRPr="00027B73">
        <w:rPr>
          <w:i/>
        </w:rPr>
        <w:t>Journal of Geophysical Research: Solid Earth</w:t>
      </w:r>
      <w:r w:rsidRPr="00027B73">
        <w:t xml:space="preserve"> </w:t>
      </w:r>
      <w:r w:rsidRPr="00027B73">
        <w:rPr>
          <w:b/>
        </w:rPr>
        <w:t>115</w:t>
      </w:r>
      <w:r w:rsidRPr="00027B73">
        <w:t xml:space="preserve"> (2010).</w:t>
      </w:r>
    </w:p>
    <w:p w14:paraId="45651AAA" w14:textId="27EE5807" w:rsidR="00027B73" w:rsidRPr="00027B73" w:rsidRDefault="00027B73" w:rsidP="00027B73">
      <w:pPr>
        <w:pStyle w:val="EndNoteBibliography"/>
        <w:ind w:left="720" w:hanging="720"/>
      </w:pPr>
      <w:r w:rsidRPr="00027B73">
        <w:t xml:space="preserve">Kieren, S., Sparreboom, M., Hochkirch, A. &amp; Veith, M. A biogeographic and ecological perspective to the evolution of reproductive behaviour in the family Salamandridae. </w:t>
      </w:r>
      <w:r w:rsidRPr="00027B73">
        <w:rPr>
          <w:i/>
        </w:rPr>
        <w:t xml:space="preserve">Molecular </w:t>
      </w:r>
      <w:r w:rsidR="004B0E82">
        <w:rPr>
          <w:i/>
        </w:rPr>
        <w:t>P</w:t>
      </w:r>
      <w:r w:rsidRPr="00027B73">
        <w:rPr>
          <w:i/>
        </w:rPr>
        <w:t xml:space="preserve">hylogenetics and </w:t>
      </w:r>
      <w:r w:rsidR="004B0E82">
        <w:rPr>
          <w:i/>
        </w:rPr>
        <w:t>E</w:t>
      </w:r>
      <w:r w:rsidRPr="00027B73">
        <w:rPr>
          <w:i/>
        </w:rPr>
        <w:t>volution</w:t>
      </w:r>
      <w:r w:rsidRPr="00027B73">
        <w:t xml:space="preserve"> </w:t>
      </w:r>
      <w:r w:rsidRPr="00027B73">
        <w:rPr>
          <w:b/>
        </w:rPr>
        <w:t>121</w:t>
      </w:r>
      <w:r w:rsidRPr="00027B73">
        <w:t>, 98-109 (2018).</w:t>
      </w:r>
    </w:p>
    <w:p w14:paraId="68A89335" w14:textId="1EDD00D0" w:rsidR="00027B73" w:rsidRPr="00027B73" w:rsidRDefault="00027B73" w:rsidP="00027B73">
      <w:pPr>
        <w:pStyle w:val="EndNoteBibliography"/>
        <w:ind w:left="720" w:hanging="720"/>
      </w:pPr>
      <w:r w:rsidRPr="00027B73">
        <w:t xml:space="preserve">Kitching, J. A new small stereospondylous labyrinthodont from the Triassic beds of South Africa. </w:t>
      </w:r>
      <w:r w:rsidRPr="00027B73">
        <w:rPr>
          <w:i/>
        </w:rPr>
        <w:t>Palaeontologia Africana</w:t>
      </w:r>
      <w:r w:rsidRPr="00027B73">
        <w:t xml:space="preserve"> </w:t>
      </w:r>
      <w:r w:rsidRPr="00027B73">
        <w:rPr>
          <w:b/>
        </w:rPr>
        <w:t>5</w:t>
      </w:r>
      <w:r w:rsidRPr="00027B73">
        <w:t>, 67-82 (1957).</w:t>
      </w:r>
    </w:p>
    <w:p w14:paraId="3B6519B1" w14:textId="79ABDBCE" w:rsidR="00027B73" w:rsidRPr="00027B73" w:rsidRDefault="00027B73" w:rsidP="00027B73">
      <w:pPr>
        <w:pStyle w:val="EndNoteBibliography"/>
        <w:ind w:left="720" w:hanging="720"/>
      </w:pPr>
      <w:r w:rsidRPr="00027B73">
        <w:t>Kleinteich, T. &amp; Haas, A. Cranial musculature in the larva of the caecilian,</w:t>
      </w:r>
      <w:r w:rsidRPr="00027B73">
        <w:rPr>
          <w:i/>
        </w:rPr>
        <w:t xml:space="preserve"> Ichthyophis kohtaoensis </w:t>
      </w:r>
      <w:r w:rsidRPr="00027B73">
        <w:t xml:space="preserve">(Lissamphibia: Gymnophiona). </w:t>
      </w:r>
      <w:r w:rsidRPr="00027B73">
        <w:rPr>
          <w:i/>
        </w:rPr>
        <w:t>Journal of Morphology</w:t>
      </w:r>
      <w:r w:rsidRPr="00027B73">
        <w:t xml:space="preserve"> </w:t>
      </w:r>
      <w:r w:rsidRPr="00027B73">
        <w:rPr>
          <w:b/>
        </w:rPr>
        <w:t>268</w:t>
      </w:r>
      <w:r w:rsidRPr="00027B73">
        <w:t>, 74-88 (2007).</w:t>
      </w:r>
    </w:p>
    <w:p w14:paraId="3C2566E2" w14:textId="486E3B5B" w:rsidR="00027B73" w:rsidRPr="00027B73" w:rsidRDefault="00027B73" w:rsidP="00027B73">
      <w:pPr>
        <w:pStyle w:val="EndNoteBibliography"/>
        <w:ind w:left="720" w:hanging="720"/>
      </w:pPr>
      <w:r w:rsidRPr="00027B73">
        <w:t xml:space="preserve">Kleinteich, T., Haas, A. &amp; Summers, A. P. Caecilian jaw-closing mechanics: integrating two muscle systems. </w:t>
      </w:r>
      <w:r w:rsidRPr="00027B73">
        <w:rPr>
          <w:i/>
        </w:rPr>
        <w:t>Journal of the Royal Society Interface</w:t>
      </w:r>
      <w:r w:rsidRPr="00027B73">
        <w:t xml:space="preserve"> </w:t>
      </w:r>
      <w:r w:rsidRPr="00027B73">
        <w:rPr>
          <w:b/>
        </w:rPr>
        <w:t>5</w:t>
      </w:r>
      <w:r w:rsidRPr="00027B73">
        <w:t>, 1491-1504 (2008).</w:t>
      </w:r>
    </w:p>
    <w:p w14:paraId="4B19FEEB" w14:textId="1CCD4550" w:rsidR="00027B73" w:rsidRPr="00027B73" w:rsidRDefault="00027B73" w:rsidP="00027B73">
      <w:pPr>
        <w:pStyle w:val="EndNoteBibliography"/>
        <w:ind w:left="720" w:hanging="720"/>
      </w:pPr>
      <w:r w:rsidRPr="00027B73">
        <w:t xml:space="preserve">Konietzko-Meier, D., Danto, M. &amp; Gądek, K. The microstructural variability of the intercentra among temnospondyl amphibians. </w:t>
      </w:r>
      <w:r w:rsidRPr="00027B73">
        <w:rPr>
          <w:i/>
        </w:rPr>
        <w:t>Biological Journal of the Linnean Society</w:t>
      </w:r>
      <w:r w:rsidRPr="00027B73">
        <w:t xml:space="preserve"> </w:t>
      </w:r>
      <w:r w:rsidRPr="00027B73">
        <w:rPr>
          <w:b/>
        </w:rPr>
        <w:t>112</w:t>
      </w:r>
      <w:r w:rsidRPr="00027B73">
        <w:t>, 747-764 (2014).</w:t>
      </w:r>
    </w:p>
    <w:p w14:paraId="59C9D9CA" w14:textId="4ED6FE30" w:rsidR="00027B73" w:rsidRPr="00027B73" w:rsidRDefault="00027B73" w:rsidP="00027B73">
      <w:pPr>
        <w:pStyle w:val="EndNoteBibliography"/>
        <w:ind w:left="720" w:hanging="720"/>
      </w:pPr>
      <w:r w:rsidRPr="00027B73">
        <w:t xml:space="preserve">Konietzko‐Meier, D., Teschner, E. M., Bodzioch, A. &amp; Sander, P. M. Pentadactyl manus of the </w:t>
      </w:r>
      <w:r w:rsidRPr="00027B73">
        <w:rPr>
          <w:i/>
        </w:rPr>
        <w:t xml:space="preserve">Metoposaurus krasiejowensis </w:t>
      </w:r>
      <w:r w:rsidRPr="00027B73">
        <w:t xml:space="preserve">from the Late Triassic of Poland, the first record of pentadactyly among Temnospondyli. </w:t>
      </w:r>
      <w:r w:rsidRPr="00027B73">
        <w:rPr>
          <w:i/>
        </w:rPr>
        <w:t>Journal of anatomy</w:t>
      </w:r>
      <w:r w:rsidRPr="00027B73">
        <w:t xml:space="preserve"> </w:t>
      </w:r>
      <w:r w:rsidRPr="00027B73">
        <w:rPr>
          <w:b/>
        </w:rPr>
        <w:t>237</w:t>
      </w:r>
      <w:r w:rsidRPr="00027B73">
        <w:t>, 1151-1161 (2020).</w:t>
      </w:r>
    </w:p>
    <w:p w14:paraId="407E1129" w14:textId="4378ECC6" w:rsidR="00027B73" w:rsidRPr="00027B73" w:rsidRDefault="00027B73" w:rsidP="00027B73">
      <w:pPr>
        <w:pStyle w:val="EndNoteBibliography"/>
        <w:ind w:left="720" w:hanging="720"/>
      </w:pPr>
      <w:r w:rsidRPr="00027B73">
        <w:t xml:space="preserve">Kumazawa, Y. Mitochondrial genomes from major lizard families suggest their phylogenetic relationships and ancient radiations. </w:t>
      </w:r>
      <w:r w:rsidRPr="00027B73">
        <w:rPr>
          <w:i/>
        </w:rPr>
        <w:t>Gene</w:t>
      </w:r>
      <w:r w:rsidRPr="00027B73">
        <w:t xml:space="preserve"> </w:t>
      </w:r>
      <w:r w:rsidRPr="00027B73">
        <w:rPr>
          <w:b/>
        </w:rPr>
        <w:t>388</w:t>
      </w:r>
      <w:r w:rsidRPr="00027B73">
        <w:t>, 19-26 (2007).</w:t>
      </w:r>
    </w:p>
    <w:p w14:paraId="285CB0AF" w14:textId="7B2B38A9" w:rsidR="00027B73" w:rsidRPr="00027B73" w:rsidRDefault="00027B73" w:rsidP="00027B73">
      <w:pPr>
        <w:pStyle w:val="EndNoteBibliography"/>
        <w:ind w:left="720" w:hanging="720"/>
      </w:pPr>
      <w:r w:rsidRPr="00027B73">
        <w:t xml:space="preserve">Langston, W. Permian amphibians from New Mexico. </w:t>
      </w:r>
      <w:r w:rsidRPr="00027B73">
        <w:rPr>
          <w:i/>
        </w:rPr>
        <w:t>University of California Publications in Geological Sciences</w:t>
      </w:r>
      <w:r w:rsidRPr="00027B73">
        <w:t xml:space="preserve"> </w:t>
      </w:r>
      <w:r w:rsidRPr="00027B73">
        <w:rPr>
          <w:b/>
        </w:rPr>
        <w:t>29</w:t>
      </w:r>
      <w:r w:rsidRPr="00027B73">
        <w:t xml:space="preserve"> (1953).</w:t>
      </w:r>
    </w:p>
    <w:p w14:paraId="01B5933E" w14:textId="0E086DAF" w:rsidR="00027B73" w:rsidRPr="00027B73" w:rsidRDefault="00027B73" w:rsidP="00027B73">
      <w:pPr>
        <w:pStyle w:val="EndNoteBibliography"/>
        <w:ind w:left="720" w:hanging="720"/>
      </w:pPr>
      <w:r w:rsidRPr="00027B73">
        <w:t xml:space="preserve">Laurin, M., Lapauze, O. &amp; Marjanović, D. What do ossification sequences tell us about the origin of extant amphibians? </w:t>
      </w:r>
      <w:r w:rsidRPr="00027B73">
        <w:rPr>
          <w:i/>
        </w:rPr>
        <w:t>Peer Community in Paleontology</w:t>
      </w:r>
      <w:r w:rsidRPr="00027B73">
        <w:t>, doi:10.1101/352609v4 (2019).</w:t>
      </w:r>
    </w:p>
    <w:p w14:paraId="1A8D0A87" w14:textId="75F98F7C" w:rsidR="00027B73" w:rsidRPr="00027B73" w:rsidRDefault="00027B73" w:rsidP="00027B73">
      <w:pPr>
        <w:pStyle w:val="EndNoteBibliography"/>
        <w:ind w:left="720" w:hanging="720"/>
      </w:pPr>
      <w:r w:rsidRPr="00027B73">
        <w:t xml:space="preserve">Lawson, R. The teeth of </w:t>
      </w:r>
      <w:r w:rsidRPr="00027B73">
        <w:rPr>
          <w:i/>
        </w:rPr>
        <w:t>Hypogeophis rostratus</w:t>
      </w:r>
      <w:r w:rsidRPr="00027B73">
        <w:t xml:space="preserve"> (Amphibia, Apoda) and tooth structure in the Amphibia. </w:t>
      </w:r>
      <w:r w:rsidRPr="00027B73">
        <w:rPr>
          <w:i/>
        </w:rPr>
        <w:t>Proceedings of the Zoological Society of London</w:t>
      </w:r>
      <w:r w:rsidRPr="00027B73">
        <w:t xml:space="preserve"> </w:t>
      </w:r>
      <w:r w:rsidRPr="00027B73">
        <w:rPr>
          <w:b/>
        </w:rPr>
        <w:t>145</w:t>
      </w:r>
      <w:r w:rsidRPr="00027B73">
        <w:t>, 321-325 (1965).</w:t>
      </w:r>
    </w:p>
    <w:p w14:paraId="4B922D12" w14:textId="3A2DDF5C" w:rsidR="00027B73" w:rsidRPr="00027B73" w:rsidRDefault="00027B73" w:rsidP="00027B73">
      <w:pPr>
        <w:pStyle w:val="EndNoteBibliography"/>
        <w:ind w:left="720" w:hanging="720"/>
      </w:pPr>
      <w:r w:rsidRPr="00027B73">
        <w:t xml:space="preserve">Lawson, R. The development and replacement of teeth in </w:t>
      </w:r>
      <w:r w:rsidRPr="00027B73">
        <w:rPr>
          <w:i/>
        </w:rPr>
        <w:t xml:space="preserve">Hypogeophis rostratus </w:t>
      </w:r>
      <w:r w:rsidRPr="00027B73">
        <w:t xml:space="preserve">(Amphibia, Apoda). </w:t>
      </w:r>
      <w:r w:rsidRPr="00027B73">
        <w:rPr>
          <w:i/>
        </w:rPr>
        <w:t>Proceedings of the Zoological Society of London</w:t>
      </w:r>
      <w:r w:rsidRPr="00027B73">
        <w:t xml:space="preserve"> </w:t>
      </w:r>
      <w:r w:rsidRPr="00027B73">
        <w:rPr>
          <w:b/>
        </w:rPr>
        <w:t>147</w:t>
      </w:r>
      <w:r w:rsidRPr="00027B73">
        <w:t>, 352-362 (1965).</w:t>
      </w:r>
    </w:p>
    <w:p w14:paraId="02DBF3EA" w14:textId="5C447B5D" w:rsidR="00027B73" w:rsidRPr="00027B73" w:rsidRDefault="00027B73" w:rsidP="00027B73">
      <w:pPr>
        <w:pStyle w:val="EndNoteBibliography"/>
        <w:ind w:left="720" w:hanging="720"/>
        <w:rPr>
          <w:i/>
        </w:rPr>
      </w:pPr>
      <w:r w:rsidRPr="00027B73">
        <w:t>Lehman, J.-P. Les stégocéphales du Trias de Madagascar.</w:t>
      </w:r>
      <w:r w:rsidRPr="00027B73">
        <w:rPr>
          <w:i/>
        </w:rPr>
        <w:t xml:space="preserve"> Annales</w:t>
      </w:r>
    </w:p>
    <w:p w14:paraId="7E79DEF0" w14:textId="77777777" w:rsidR="00027B73" w:rsidRPr="00027B73" w:rsidRDefault="00027B73" w:rsidP="0078387C">
      <w:pPr>
        <w:pStyle w:val="EndNoteBibliography"/>
        <w:ind w:left="720"/>
      </w:pPr>
      <w:r w:rsidRPr="00027B73">
        <w:rPr>
          <w:i/>
        </w:rPr>
        <w:t>de Paléontologie</w:t>
      </w:r>
      <w:r w:rsidRPr="00027B73">
        <w:t xml:space="preserve"> </w:t>
      </w:r>
      <w:r w:rsidRPr="00027B73">
        <w:rPr>
          <w:b/>
        </w:rPr>
        <w:t>52</w:t>
      </w:r>
      <w:r w:rsidRPr="00027B73">
        <w:t>, 115-139 (1961).</w:t>
      </w:r>
    </w:p>
    <w:p w14:paraId="2678B5DB" w14:textId="0964FEDA" w:rsidR="00027B73" w:rsidRPr="00027B73" w:rsidRDefault="00027B73" w:rsidP="00027B73">
      <w:pPr>
        <w:pStyle w:val="EndNoteBibliography"/>
        <w:ind w:left="720" w:hanging="720"/>
      </w:pPr>
      <w:bookmarkStart w:id="29" w:name="_Hlk98871987"/>
      <w:r w:rsidRPr="00027B73">
        <w:t xml:space="preserve">Liu, J. </w:t>
      </w:r>
      <w:r w:rsidRPr="00027B73">
        <w:rPr>
          <w:i/>
        </w:rPr>
        <w:t>Yuanansuchus maopingchangensis</w:t>
      </w:r>
      <w:r w:rsidRPr="00027B73">
        <w:t xml:space="preserve"> sp. nov., the second capitosauroid temnospondyl from the Middle Triassic Badong Formation of Yuanan, Hubei, China. </w:t>
      </w:r>
      <w:r w:rsidRPr="00027B73">
        <w:rPr>
          <w:i/>
        </w:rPr>
        <w:t>PeerJ</w:t>
      </w:r>
      <w:r w:rsidRPr="00027B73">
        <w:t xml:space="preserve"> </w:t>
      </w:r>
      <w:r w:rsidRPr="00027B73">
        <w:rPr>
          <w:b/>
        </w:rPr>
        <w:t>4</w:t>
      </w:r>
      <w:r w:rsidRPr="00027B73">
        <w:t>, e1903 (2016).</w:t>
      </w:r>
      <w:bookmarkEnd w:id="29"/>
    </w:p>
    <w:p w14:paraId="58F61FCB" w14:textId="3822B15F" w:rsidR="00027B73" w:rsidRPr="00027B73" w:rsidRDefault="00027B73" w:rsidP="00027B73">
      <w:pPr>
        <w:pStyle w:val="EndNoteBibliography"/>
        <w:ind w:left="720" w:hanging="720"/>
      </w:pPr>
      <w:r w:rsidRPr="00027B73">
        <w:t xml:space="preserve">Liu, J. &amp; Wang, Y. The first complete mastodonsauroid skull from the Triassic of China: </w:t>
      </w:r>
      <w:r w:rsidRPr="00027B73">
        <w:rPr>
          <w:i/>
        </w:rPr>
        <w:t>Yuanansuchus laticeps</w:t>
      </w:r>
      <w:r w:rsidRPr="00027B73">
        <w:t xml:space="preserve"> gen. et sp. nov. </w:t>
      </w:r>
      <w:r w:rsidRPr="00027B73">
        <w:rPr>
          <w:i/>
        </w:rPr>
        <w:t>Journal of Vertebrate Paleontology</w:t>
      </w:r>
      <w:r w:rsidRPr="00027B73">
        <w:t xml:space="preserve"> </w:t>
      </w:r>
      <w:r w:rsidRPr="00027B73">
        <w:rPr>
          <w:b/>
        </w:rPr>
        <w:t>25</w:t>
      </w:r>
      <w:r w:rsidRPr="00027B73">
        <w:t>, 725-728 (2005).</w:t>
      </w:r>
    </w:p>
    <w:p w14:paraId="290F3F58" w14:textId="140B0CDE" w:rsidR="00027B73" w:rsidRPr="00027B73" w:rsidRDefault="00027B73" w:rsidP="00027B73">
      <w:pPr>
        <w:pStyle w:val="EndNoteBibliography"/>
        <w:ind w:left="720" w:hanging="720"/>
      </w:pPr>
      <w:r w:rsidRPr="00027B73">
        <w:t xml:space="preserve">Lucas, S. G., Hunt, A. P. &amp; Spielmann, J. A. Biochronological significance of Late Triassic tetrapods from Krasiejów, Poland. </w:t>
      </w:r>
      <w:r w:rsidRPr="00027B73">
        <w:rPr>
          <w:i/>
        </w:rPr>
        <w:t>New Mexico Museum of Natural History Bulletin</w:t>
      </w:r>
      <w:r w:rsidRPr="00027B73">
        <w:t xml:space="preserve"> </w:t>
      </w:r>
      <w:r w:rsidRPr="00027B73">
        <w:rPr>
          <w:b/>
        </w:rPr>
        <w:t>41</w:t>
      </w:r>
      <w:r w:rsidRPr="00027B73">
        <w:t>, 248 (2007).</w:t>
      </w:r>
    </w:p>
    <w:p w14:paraId="1FA3E23A" w14:textId="56231308" w:rsidR="00027B73" w:rsidRPr="00027B73" w:rsidRDefault="00027B73" w:rsidP="00027B73">
      <w:pPr>
        <w:pStyle w:val="EndNoteBibliography"/>
        <w:ind w:left="720" w:hanging="720"/>
      </w:pPr>
      <w:r w:rsidRPr="00027B73">
        <w:t xml:space="preserve">Lucas, S. G., Rinehart, L. F., Heckert, A. B., Hunt, A. P. &amp; Spielmann, J. A. Rotten Hill: A Late Triassic bonebed in the Texas Panhandle, USA. </w:t>
      </w:r>
      <w:r w:rsidRPr="00027B73">
        <w:rPr>
          <w:i/>
        </w:rPr>
        <w:t>New Mexico Museum of Natural History Bulletin</w:t>
      </w:r>
      <w:r w:rsidRPr="00027B73">
        <w:t xml:space="preserve"> </w:t>
      </w:r>
      <w:r w:rsidRPr="00027B73">
        <w:rPr>
          <w:b/>
        </w:rPr>
        <w:t>72</w:t>
      </w:r>
      <w:r w:rsidRPr="00027B73">
        <w:t>, 1-97 (2016).</w:t>
      </w:r>
    </w:p>
    <w:p w14:paraId="12E0CB8D" w14:textId="3DE5336B" w:rsidR="00027B73" w:rsidRPr="00027B73" w:rsidRDefault="00027B73" w:rsidP="00027B73">
      <w:pPr>
        <w:pStyle w:val="EndNoteBibliography"/>
        <w:ind w:left="720" w:hanging="720"/>
      </w:pPr>
      <w:r w:rsidRPr="00027B73">
        <w:t xml:space="preserve">Maddin, H. C., Fröbisch, N. B., Evans, D. C. &amp; Milner, A. R. Reappraisal of the Early Permian amphibamid </w:t>
      </w:r>
      <w:r w:rsidRPr="00027B73">
        <w:rPr>
          <w:i/>
        </w:rPr>
        <w:t xml:space="preserve">Tersomius texensis </w:t>
      </w:r>
      <w:r w:rsidRPr="00027B73">
        <w:t xml:space="preserve">and some referred material. </w:t>
      </w:r>
      <w:r w:rsidRPr="00027B73">
        <w:rPr>
          <w:i/>
        </w:rPr>
        <w:t>Comptes Rendus Palevol</w:t>
      </w:r>
      <w:r w:rsidRPr="00027B73">
        <w:t xml:space="preserve"> </w:t>
      </w:r>
      <w:r w:rsidRPr="00027B73">
        <w:rPr>
          <w:b/>
        </w:rPr>
        <w:t>12</w:t>
      </w:r>
      <w:r w:rsidRPr="00027B73">
        <w:t>, 447-461 (2013).</w:t>
      </w:r>
    </w:p>
    <w:p w14:paraId="765D60EB" w14:textId="6954FE73" w:rsidR="00027B73" w:rsidRPr="00027B73" w:rsidRDefault="00027B73" w:rsidP="00027B73">
      <w:pPr>
        <w:pStyle w:val="EndNoteBibliography"/>
        <w:ind w:left="720" w:hanging="720"/>
      </w:pPr>
      <w:r w:rsidRPr="00027B73">
        <w:t xml:space="preserve">Maddin, H. C., Jenkins Jr, F. A. &amp; Anderson, J. S. The braincase of </w:t>
      </w:r>
      <w:r w:rsidRPr="00027B73">
        <w:rPr>
          <w:i/>
        </w:rPr>
        <w:t>Eocaecilia micropodia</w:t>
      </w:r>
      <w:r w:rsidRPr="00027B73">
        <w:t xml:space="preserve"> (Lissamphibia, Gymnophiona) and the origin of caecilians. </w:t>
      </w:r>
      <w:r w:rsidRPr="00027B73">
        <w:rPr>
          <w:i/>
        </w:rPr>
        <w:t>PLoS One</w:t>
      </w:r>
      <w:r w:rsidRPr="00027B73">
        <w:t xml:space="preserve"> </w:t>
      </w:r>
      <w:r w:rsidRPr="00027B73">
        <w:rPr>
          <w:b/>
        </w:rPr>
        <w:t>7</w:t>
      </w:r>
      <w:r w:rsidRPr="00027B73">
        <w:t>, e50743 (2012).</w:t>
      </w:r>
    </w:p>
    <w:p w14:paraId="72C83CCF" w14:textId="74E192EA" w:rsidR="00027B73" w:rsidRPr="00027B73" w:rsidRDefault="00027B73" w:rsidP="00027B73">
      <w:pPr>
        <w:pStyle w:val="EndNoteBibliography"/>
        <w:ind w:left="720" w:hanging="720"/>
      </w:pPr>
      <w:r w:rsidRPr="00027B73">
        <w:t xml:space="preserve">Maddin, H. C., Olori, J. C. &amp; Anderson, J. S. A redescription of </w:t>
      </w:r>
      <w:r w:rsidRPr="00027B73">
        <w:rPr>
          <w:i/>
        </w:rPr>
        <w:t xml:space="preserve">Carrolla craddocki </w:t>
      </w:r>
      <w:r w:rsidRPr="00027B73">
        <w:t xml:space="preserve">(Lepospondyli: Brachystelechidae) based on high‐resolution CT, and the impacts of miniaturization and fossoriality on morphology. </w:t>
      </w:r>
      <w:r w:rsidRPr="00027B73">
        <w:rPr>
          <w:i/>
        </w:rPr>
        <w:t>Journal of Morphology</w:t>
      </w:r>
      <w:r w:rsidRPr="00027B73">
        <w:t xml:space="preserve"> </w:t>
      </w:r>
      <w:r w:rsidRPr="00027B73">
        <w:rPr>
          <w:b/>
        </w:rPr>
        <w:t>272</w:t>
      </w:r>
      <w:r w:rsidRPr="00027B73">
        <w:t>, 722-743 (2011).</w:t>
      </w:r>
    </w:p>
    <w:p w14:paraId="7876EC88" w14:textId="2628ABA7" w:rsidR="00027B73" w:rsidRPr="00027B73" w:rsidRDefault="00027B73" w:rsidP="00027B73">
      <w:pPr>
        <w:pStyle w:val="EndNoteBibliography"/>
        <w:ind w:left="720" w:hanging="720"/>
      </w:pPr>
      <w:r w:rsidRPr="00027B73">
        <w:t xml:space="preserve">Maddison, W. P. Missing data versus missing characters in phylogenetic analysis. </w:t>
      </w:r>
      <w:r w:rsidRPr="00027B73">
        <w:rPr>
          <w:i/>
        </w:rPr>
        <w:t>Systematic Biology</w:t>
      </w:r>
      <w:r w:rsidRPr="00027B73">
        <w:t xml:space="preserve"> </w:t>
      </w:r>
      <w:r w:rsidRPr="00027B73">
        <w:rPr>
          <w:b/>
        </w:rPr>
        <w:t>42</w:t>
      </w:r>
      <w:r w:rsidRPr="00027B73">
        <w:t>, 576-581 (1993).</w:t>
      </w:r>
    </w:p>
    <w:p w14:paraId="6E721271" w14:textId="1191D9E5" w:rsidR="00027B73" w:rsidRPr="00027B73" w:rsidRDefault="00027B73" w:rsidP="00027B73">
      <w:pPr>
        <w:pStyle w:val="EndNoteBibliography"/>
        <w:ind w:left="720" w:hanging="720"/>
      </w:pPr>
      <w:r w:rsidRPr="00027B73">
        <w:t xml:space="preserve">Maganuco, S. &amp; Pasini, G. A new specimen of trematosaurian temnospondyl from the Lower Triassic of NW Madagascar, with remarks on palatal anatomy and taxonomic affinities. </w:t>
      </w:r>
      <w:r w:rsidRPr="00027B73">
        <w:rPr>
          <w:i/>
        </w:rPr>
        <w:t>Atti Societ italiana Museo Civico di Storia Naturale Milano</w:t>
      </w:r>
      <w:r w:rsidRPr="00027B73">
        <w:t xml:space="preserve"> </w:t>
      </w:r>
      <w:r w:rsidRPr="00027B73">
        <w:rPr>
          <w:b/>
        </w:rPr>
        <w:t>150</w:t>
      </w:r>
      <w:r w:rsidRPr="00027B73">
        <w:t>, 91-112 (2009).</w:t>
      </w:r>
    </w:p>
    <w:p w14:paraId="3F62315E" w14:textId="0EF2ACB3" w:rsidR="00027B73" w:rsidRPr="00027B73" w:rsidRDefault="00027B73" w:rsidP="00027B73">
      <w:pPr>
        <w:pStyle w:val="EndNoteBibliography"/>
        <w:ind w:left="720" w:hanging="720"/>
      </w:pPr>
      <w:r w:rsidRPr="00027B73">
        <w:t xml:space="preserve">Mann, A. Cranial ornamentation of a large </w:t>
      </w:r>
      <w:r w:rsidRPr="00027B73">
        <w:rPr>
          <w:i/>
        </w:rPr>
        <w:t>Brachydectes newberryi</w:t>
      </w:r>
      <w:r w:rsidRPr="00027B73">
        <w:t xml:space="preserve"> (Recumbirostra: Lysorophia) from Linton, Ohio. </w:t>
      </w:r>
      <w:r w:rsidRPr="00027B73">
        <w:rPr>
          <w:i/>
        </w:rPr>
        <w:t>Vertebrate Anatomy Morphology Palaeontology</w:t>
      </w:r>
      <w:r w:rsidRPr="00027B73">
        <w:t xml:space="preserve"> </w:t>
      </w:r>
      <w:r w:rsidRPr="00027B73">
        <w:rPr>
          <w:b/>
        </w:rPr>
        <w:t>6</w:t>
      </w:r>
      <w:r w:rsidRPr="00027B73">
        <w:t>, 91-96 (2018).</w:t>
      </w:r>
    </w:p>
    <w:p w14:paraId="3121FF8F" w14:textId="0FB78D94" w:rsidR="00027B73" w:rsidRPr="00027B73" w:rsidRDefault="00027B73" w:rsidP="00027B73">
      <w:pPr>
        <w:pStyle w:val="EndNoteBibliography"/>
        <w:ind w:left="720" w:hanging="720"/>
      </w:pPr>
      <w:r w:rsidRPr="00027B73">
        <w:t xml:space="preserve">Marjanović, D. &amp; Laurin, M. Fossils, molecules, divergence times, and the origin of lissamphibians. </w:t>
      </w:r>
      <w:r w:rsidRPr="00027B73">
        <w:rPr>
          <w:i/>
        </w:rPr>
        <w:t>Systematic Biology</w:t>
      </w:r>
      <w:r w:rsidRPr="00027B73">
        <w:t xml:space="preserve"> </w:t>
      </w:r>
      <w:r w:rsidRPr="00027B73">
        <w:rPr>
          <w:b/>
        </w:rPr>
        <w:t>56</w:t>
      </w:r>
      <w:r w:rsidRPr="00027B73">
        <w:t>, 369-388 (2007).</w:t>
      </w:r>
    </w:p>
    <w:p w14:paraId="426CDDA7" w14:textId="3A209601" w:rsidR="00027B73" w:rsidRPr="00027B73" w:rsidRDefault="00027B73" w:rsidP="00027B73">
      <w:pPr>
        <w:pStyle w:val="EndNoteBibliography"/>
        <w:ind w:left="720" w:hanging="720"/>
      </w:pPr>
      <w:r w:rsidRPr="00027B73">
        <w:t>Marjanović, D. &amp; Laurin, M. Reproducibility in phylogenetics: reevaluation of the largest published morphological data matrix for phylogenetic analysis of Paleozoic limbed vertebrates. Report No. 2167-9843, (PeerJ Preprints, 2018).</w:t>
      </w:r>
    </w:p>
    <w:p w14:paraId="39745CBC" w14:textId="75AF402E" w:rsidR="00027B73" w:rsidRPr="00027B73" w:rsidRDefault="00027B73" w:rsidP="00027B73">
      <w:pPr>
        <w:pStyle w:val="EndNoteBibliography"/>
        <w:ind w:left="720" w:hanging="720"/>
      </w:pPr>
      <w:bookmarkStart w:id="30" w:name="_Hlk98872251"/>
      <w:r w:rsidRPr="00027B73">
        <w:t xml:space="preserve">Marjanović, D. &amp; Laurin, M. Phylogeny of Paleozoic limbed vertebrates reassessed through revision and expansion of the largest published relevant data matrix. </w:t>
      </w:r>
      <w:r w:rsidRPr="00027B73">
        <w:rPr>
          <w:i/>
        </w:rPr>
        <w:t>PeerJ</w:t>
      </w:r>
      <w:r w:rsidRPr="00027B73">
        <w:t xml:space="preserve"> </w:t>
      </w:r>
      <w:r w:rsidRPr="00027B73">
        <w:rPr>
          <w:b/>
        </w:rPr>
        <w:t>6</w:t>
      </w:r>
      <w:r w:rsidRPr="00027B73">
        <w:t>, e5565 (2019).</w:t>
      </w:r>
      <w:bookmarkEnd w:id="30"/>
    </w:p>
    <w:p w14:paraId="35CCCC6B" w14:textId="5DAEC627" w:rsidR="00027B73" w:rsidRPr="00027B73" w:rsidRDefault="00027B73" w:rsidP="00027B73">
      <w:pPr>
        <w:pStyle w:val="EndNoteBibliography"/>
        <w:ind w:left="720" w:hanging="720"/>
      </w:pPr>
      <w:r w:rsidRPr="00027B73">
        <w:t xml:space="preserve">Marsicano, C. A. Chigutisaurid amphibians from the Upper Triassic of Argentina and their phylogenetic relationships. </w:t>
      </w:r>
      <w:r w:rsidRPr="00027B73">
        <w:rPr>
          <w:i/>
        </w:rPr>
        <w:t>Palaeontology</w:t>
      </w:r>
      <w:r w:rsidRPr="00027B73">
        <w:t xml:space="preserve"> </w:t>
      </w:r>
      <w:r w:rsidRPr="00027B73">
        <w:rPr>
          <w:b/>
        </w:rPr>
        <w:t>42</w:t>
      </w:r>
      <w:r w:rsidRPr="00027B73">
        <w:t>, 545-565 (1999).</w:t>
      </w:r>
    </w:p>
    <w:p w14:paraId="23A7EC67" w14:textId="48B95AD2" w:rsidR="00027B73" w:rsidRPr="00027B73" w:rsidRDefault="00027B73" w:rsidP="00027B73">
      <w:pPr>
        <w:pStyle w:val="EndNoteBibliography"/>
        <w:ind w:left="720" w:hanging="720"/>
      </w:pPr>
      <w:bookmarkStart w:id="31" w:name="_Hlk98871940"/>
      <w:r w:rsidRPr="00027B73">
        <w:t xml:space="preserve">Marsicano, C. A., Latimer, E., Rubidge, B. &amp; Smith, R. M. The Rhinesuchidae and early history of the Stereospondyli (Amphibia: Temnospondyli) at the end of the Palaeozoic. </w:t>
      </w:r>
      <w:r w:rsidRPr="00027B73">
        <w:rPr>
          <w:i/>
        </w:rPr>
        <w:t>Zoological Journal of the Linnean Society</w:t>
      </w:r>
      <w:r w:rsidRPr="00027B73">
        <w:t xml:space="preserve"> </w:t>
      </w:r>
      <w:r w:rsidRPr="00027B73">
        <w:rPr>
          <w:b/>
        </w:rPr>
        <w:t>181</w:t>
      </w:r>
      <w:r w:rsidRPr="00027B73">
        <w:t>, 357-384 (2017).</w:t>
      </w:r>
      <w:bookmarkEnd w:id="31"/>
    </w:p>
    <w:p w14:paraId="079699D8" w14:textId="3BB9B9B4" w:rsidR="00027B73" w:rsidRPr="00027B73" w:rsidRDefault="00027B73" w:rsidP="00027B73">
      <w:pPr>
        <w:pStyle w:val="EndNoteBibliography"/>
        <w:ind w:left="720" w:hanging="720"/>
      </w:pPr>
      <w:r w:rsidRPr="00027B73">
        <w:t>Martz, J. W.</w:t>
      </w:r>
      <w:r w:rsidRPr="00027B73">
        <w:rPr>
          <w:i/>
        </w:rPr>
        <w:t xml:space="preserve"> et al.</w:t>
      </w:r>
      <w:r w:rsidRPr="00027B73">
        <w:t xml:space="preserve"> A taxonomic and biostratigraphic re-evaluation of the Post Quarry vertebrate assemblage from the Cooper Canyon Formation (Dockum Group, Upper Triassic) of southern Garza County, western Texas. </w:t>
      </w:r>
      <w:r w:rsidRPr="00027B73">
        <w:rPr>
          <w:i/>
        </w:rPr>
        <w:t>Earth and Environmental Science Transactions of the Royal Society of Edinburgh</w:t>
      </w:r>
      <w:r w:rsidRPr="00027B73">
        <w:t xml:space="preserve"> </w:t>
      </w:r>
      <w:r w:rsidRPr="00027B73">
        <w:rPr>
          <w:b/>
        </w:rPr>
        <w:t>103</w:t>
      </w:r>
      <w:r w:rsidRPr="00027B73">
        <w:t>, 339-364 (2012).</w:t>
      </w:r>
    </w:p>
    <w:p w14:paraId="0CB6AC5C" w14:textId="1DB642DA" w:rsidR="00027B73" w:rsidRPr="00027B73" w:rsidRDefault="00027B73" w:rsidP="00027B73">
      <w:pPr>
        <w:pStyle w:val="EndNoteBibliography"/>
        <w:ind w:left="720" w:hanging="720"/>
      </w:pPr>
      <w:r w:rsidRPr="00027B73">
        <w:t xml:space="preserve">Marzola, M., Mateus, O., Shubin, N. H. &amp; Clemmensen, L. B. </w:t>
      </w:r>
      <w:r w:rsidRPr="00027B73">
        <w:rPr>
          <w:i/>
        </w:rPr>
        <w:t>Cyclotosaurus naraserluki</w:t>
      </w:r>
      <w:r w:rsidRPr="00027B73">
        <w:t xml:space="preserve">, sp. nov., a new Late Triassic cyclotosaurid (Amphibia, Temnospondyli) from the Fleming Fjord Formation of the Jameson Land Basin (East Greenland). </w:t>
      </w:r>
      <w:r w:rsidRPr="00027B73">
        <w:rPr>
          <w:i/>
        </w:rPr>
        <w:t>Journal of Vertebrate Paleontology</w:t>
      </w:r>
      <w:r w:rsidRPr="00027B73">
        <w:t xml:space="preserve"> </w:t>
      </w:r>
      <w:r w:rsidRPr="00027B73">
        <w:rPr>
          <w:b/>
        </w:rPr>
        <w:t>37</w:t>
      </w:r>
      <w:r w:rsidRPr="00027B73">
        <w:t>, e1303501 (2017).</w:t>
      </w:r>
    </w:p>
    <w:p w14:paraId="0D718ECF" w14:textId="4C8C2DCF" w:rsidR="00027B73" w:rsidRPr="00027B73" w:rsidRDefault="00027B73" w:rsidP="00027B73">
      <w:pPr>
        <w:pStyle w:val="EndNoteBibliography"/>
        <w:ind w:left="720" w:hanging="720"/>
      </w:pPr>
      <w:r w:rsidRPr="00027B73">
        <w:t xml:space="preserve">Matsumoto, R. &amp; Evans, S. E. The first record of albanerpetontid amphibians (Amphibia: Albanerpetontidae) from East Asia. </w:t>
      </w:r>
      <w:r w:rsidRPr="00027B73">
        <w:rPr>
          <w:i/>
        </w:rPr>
        <w:t>PLoS One</w:t>
      </w:r>
      <w:r w:rsidRPr="00027B73">
        <w:t xml:space="preserve"> </w:t>
      </w:r>
      <w:r w:rsidRPr="00027B73">
        <w:rPr>
          <w:b/>
        </w:rPr>
        <w:t>13</w:t>
      </w:r>
      <w:r w:rsidRPr="00027B73">
        <w:t>, e0189767 (2018).</w:t>
      </w:r>
    </w:p>
    <w:p w14:paraId="2469B6BB" w14:textId="7716D691" w:rsidR="00027B73" w:rsidRPr="00027B73" w:rsidRDefault="00027B73" w:rsidP="00027B73">
      <w:pPr>
        <w:pStyle w:val="EndNoteBibliography"/>
        <w:ind w:left="720" w:hanging="720"/>
      </w:pPr>
      <w:r w:rsidRPr="00027B73">
        <w:t xml:space="preserve">Mazin, J. M. &amp; Janvier, P. L'anatomie de </w:t>
      </w:r>
      <w:r w:rsidRPr="00027B73">
        <w:rPr>
          <w:i/>
        </w:rPr>
        <w:t xml:space="preserve">Lyrocephaliscus euri </w:t>
      </w:r>
      <w:r w:rsidRPr="00027B73">
        <w:t xml:space="preserve">(Wiman), trématosaure du Trias Inférieur du Spitsberg: arrière-crâne, squelette axial et ceinture scapulaire. </w:t>
      </w:r>
      <w:r w:rsidRPr="00027B73">
        <w:rPr>
          <w:i/>
        </w:rPr>
        <w:t>Palaeovertebrata</w:t>
      </w:r>
      <w:r w:rsidRPr="00027B73">
        <w:t xml:space="preserve"> </w:t>
      </w:r>
      <w:r w:rsidRPr="00027B73">
        <w:rPr>
          <w:b/>
        </w:rPr>
        <w:t>13</w:t>
      </w:r>
      <w:r w:rsidRPr="00027B73">
        <w:t>, 13-31 (1983).</w:t>
      </w:r>
    </w:p>
    <w:p w14:paraId="2B3BA559" w14:textId="15C19FE3" w:rsidR="00027B73" w:rsidRPr="00027B73" w:rsidRDefault="00027B73" w:rsidP="00027B73">
      <w:pPr>
        <w:pStyle w:val="EndNoteBibliography"/>
        <w:ind w:left="720" w:hanging="720"/>
      </w:pPr>
      <w:r w:rsidRPr="00027B73">
        <w:t xml:space="preserve">McGowan, G. J. Albanerpetontid amphibians from the Lower Cretaceous of Spain and Italy: a description and reconsideration of their systematics. </w:t>
      </w:r>
      <w:r w:rsidRPr="00027B73">
        <w:rPr>
          <w:i/>
        </w:rPr>
        <w:t>Zoological Journal of the Linnean Society</w:t>
      </w:r>
      <w:r w:rsidRPr="00027B73">
        <w:t xml:space="preserve"> </w:t>
      </w:r>
      <w:r w:rsidRPr="00027B73">
        <w:rPr>
          <w:b/>
        </w:rPr>
        <w:t>135</w:t>
      </w:r>
      <w:r w:rsidRPr="00027B73">
        <w:t>, 1-32 (2002).</w:t>
      </w:r>
    </w:p>
    <w:p w14:paraId="6BA46EEE" w14:textId="40AAFD78" w:rsidR="00027B73" w:rsidRPr="00027B73" w:rsidRDefault="00027B73" w:rsidP="00027B73">
      <w:pPr>
        <w:pStyle w:val="EndNoteBibliography"/>
        <w:ind w:left="720" w:hanging="720"/>
      </w:pPr>
      <w:bookmarkStart w:id="32" w:name="_Hlk98872228"/>
      <w:r w:rsidRPr="00027B73">
        <w:t xml:space="preserve">McHugh, J. B. </w:t>
      </w:r>
      <w:r w:rsidRPr="00027B73">
        <w:rPr>
          <w:i/>
        </w:rPr>
        <w:t>Temnospondyl ontogeny and phylogeny, a window into terrestrial ecosystems during the Permian-Triassic mass extinction</w:t>
      </w:r>
      <w:r w:rsidRPr="00027B73">
        <w:t>, The University of Iowa, (2012).</w:t>
      </w:r>
    </w:p>
    <w:bookmarkEnd w:id="32"/>
    <w:p w14:paraId="56C81FE0" w14:textId="57947169" w:rsidR="00027B73" w:rsidRPr="00027B73" w:rsidRDefault="00027B73" w:rsidP="00027B73">
      <w:pPr>
        <w:pStyle w:val="EndNoteBibliography"/>
        <w:ind w:left="720" w:hanging="720"/>
      </w:pPr>
      <w:r w:rsidRPr="00027B73">
        <w:t xml:space="preserve">Milner, A. &amp; Sequeira, S. The temnospondyl amphibians from the Viséan of east Kirkton, West Lothian, Scotland. </w:t>
      </w:r>
      <w:r w:rsidRPr="00027B73">
        <w:rPr>
          <w:i/>
        </w:rPr>
        <w:t>Earth and Environmental Science Transactions of the Royal Society of Edinburgh</w:t>
      </w:r>
      <w:r w:rsidRPr="00027B73">
        <w:t xml:space="preserve"> </w:t>
      </w:r>
      <w:r w:rsidRPr="00027B73">
        <w:rPr>
          <w:b/>
        </w:rPr>
        <w:t>84</w:t>
      </w:r>
      <w:r w:rsidRPr="00027B73">
        <w:t>, 331-361 (1993).</w:t>
      </w:r>
    </w:p>
    <w:p w14:paraId="6D64164E" w14:textId="04CADD53" w:rsidR="00027B73" w:rsidRPr="00027B73" w:rsidRDefault="00027B73" w:rsidP="00027B73">
      <w:pPr>
        <w:pStyle w:val="EndNoteBibliography"/>
        <w:ind w:left="720" w:hanging="720"/>
      </w:pPr>
      <w:r w:rsidRPr="00027B73">
        <w:t xml:space="preserve">Milner, A. C. &amp; Lindsay, W. Postcranial remains of </w:t>
      </w:r>
      <w:r w:rsidRPr="00027B73">
        <w:rPr>
          <w:i/>
        </w:rPr>
        <w:t xml:space="preserve">Baphetes </w:t>
      </w:r>
      <w:r w:rsidRPr="00027B73">
        <w:t xml:space="preserve">and their bearing on the relationships of the Baphetidae (= Loxommatidae). </w:t>
      </w:r>
      <w:r w:rsidRPr="00027B73">
        <w:rPr>
          <w:i/>
        </w:rPr>
        <w:t>Zoological Journal of the Linnean Society</w:t>
      </w:r>
      <w:r w:rsidRPr="00027B73">
        <w:t xml:space="preserve"> </w:t>
      </w:r>
      <w:r w:rsidRPr="00027B73">
        <w:rPr>
          <w:b/>
        </w:rPr>
        <w:t>122</w:t>
      </w:r>
      <w:r w:rsidRPr="00027B73">
        <w:t>, 211-235 (1998).</w:t>
      </w:r>
    </w:p>
    <w:p w14:paraId="0F02166B" w14:textId="6246609D" w:rsidR="00027B73" w:rsidRPr="00027B73" w:rsidRDefault="00027B73" w:rsidP="00027B73">
      <w:pPr>
        <w:pStyle w:val="EndNoteBibliography"/>
        <w:ind w:left="720" w:hanging="720"/>
      </w:pPr>
      <w:r w:rsidRPr="00027B73">
        <w:t xml:space="preserve">Milner, A. R. Small temnospondyl amphibians from the Middle Pennsylvanian of Illinois. </w:t>
      </w:r>
      <w:r w:rsidRPr="00027B73">
        <w:rPr>
          <w:i/>
        </w:rPr>
        <w:t>Palaeontology</w:t>
      </w:r>
      <w:r w:rsidRPr="00027B73">
        <w:t xml:space="preserve"> </w:t>
      </w:r>
      <w:r w:rsidRPr="00027B73">
        <w:rPr>
          <w:b/>
        </w:rPr>
        <w:t>25</w:t>
      </w:r>
      <w:r w:rsidRPr="00027B73">
        <w:t>, 635-664 (1982).</w:t>
      </w:r>
    </w:p>
    <w:p w14:paraId="7468049B" w14:textId="6EDF8F56" w:rsidR="00027B73" w:rsidRPr="00027B73" w:rsidRDefault="00027B73" w:rsidP="00027B73">
      <w:pPr>
        <w:pStyle w:val="EndNoteBibliography"/>
        <w:ind w:left="720" w:hanging="720"/>
      </w:pPr>
      <w:r w:rsidRPr="00027B73">
        <w:t xml:space="preserve">Milner, A. R. </w:t>
      </w:r>
      <w:r w:rsidRPr="00027B73">
        <w:rPr>
          <w:i/>
        </w:rPr>
        <w:t>Longiscitula houghae</w:t>
      </w:r>
      <w:r w:rsidRPr="00027B73">
        <w:t xml:space="preserve"> DeMar, 1966 (Amphibia: Temnospondyli), a junior synonym of </w:t>
      </w:r>
      <w:r w:rsidRPr="00027B73">
        <w:rPr>
          <w:i/>
        </w:rPr>
        <w:t xml:space="preserve">Dissorophus multicinctus </w:t>
      </w:r>
      <w:r w:rsidRPr="00027B73">
        <w:t xml:space="preserve">Cope, 1895. </w:t>
      </w:r>
      <w:r w:rsidRPr="00027B73">
        <w:rPr>
          <w:i/>
        </w:rPr>
        <w:t>Journal of Vertebrate Paleontology</w:t>
      </w:r>
      <w:r w:rsidRPr="00027B73">
        <w:t xml:space="preserve"> </w:t>
      </w:r>
      <w:r w:rsidRPr="00027B73">
        <w:rPr>
          <w:b/>
        </w:rPr>
        <w:t>23</w:t>
      </w:r>
      <w:r w:rsidRPr="00027B73">
        <w:t>, 941-944 (2003).</w:t>
      </w:r>
    </w:p>
    <w:p w14:paraId="23C623F9" w14:textId="4E159260" w:rsidR="00027B73" w:rsidRPr="00027B73" w:rsidRDefault="00027B73" w:rsidP="00027B73">
      <w:pPr>
        <w:pStyle w:val="EndNoteBibliography"/>
        <w:ind w:left="720" w:hanging="720"/>
      </w:pPr>
      <w:r w:rsidRPr="00027B73">
        <w:t xml:space="preserve">Milner, A. R. Two primitive trematopid amphibians (Temnospondyli, Dissorophoidea) from the Upper Carboniferous of the Czech Republic. </w:t>
      </w:r>
      <w:r w:rsidRPr="00027B73">
        <w:rPr>
          <w:i/>
        </w:rPr>
        <w:t>Earth and Environmental Science Transactions of the Royal Society of Edinburgh</w:t>
      </w:r>
      <w:r w:rsidRPr="00027B73">
        <w:t xml:space="preserve"> </w:t>
      </w:r>
      <w:r w:rsidRPr="00027B73">
        <w:rPr>
          <w:b/>
        </w:rPr>
        <w:t>109</w:t>
      </w:r>
      <w:r w:rsidRPr="00027B73">
        <w:t>, 201-223 (2018).</w:t>
      </w:r>
    </w:p>
    <w:p w14:paraId="33666162" w14:textId="75050E9B" w:rsidR="00027B73" w:rsidRPr="00027B73" w:rsidRDefault="00027B73" w:rsidP="00027B73">
      <w:pPr>
        <w:pStyle w:val="EndNoteBibliography"/>
        <w:ind w:left="720" w:hanging="720"/>
      </w:pPr>
      <w:r w:rsidRPr="00027B73">
        <w:t xml:space="preserve">Milner, A. R. &amp; Schoch, R. R. The latest metoposaurid amphibians from Europe. </w:t>
      </w:r>
      <w:r w:rsidRPr="00027B73">
        <w:rPr>
          <w:i/>
        </w:rPr>
        <w:t>Neues Jahrbuch für Geologie und Paläontologie-Abhandlungen</w:t>
      </w:r>
      <w:r w:rsidRPr="00027B73">
        <w:t xml:space="preserve"> </w:t>
      </w:r>
      <w:r w:rsidRPr="00027B73">
        <w:rPr>
          <w:b/>
        </w:rPr>
        <w:t>232</w:t>
      </w:r>
      <w:r w:rsidRPr="00027B73">
        <w:t>, 231-252 (2004).</w:t>
      </w:r>
    </w:p>
    <w:p w14:paraId="70395ED5" w14:textId="5CF81711" w:rsidR="00027B73" w:rsidRPr="00027B73" w:rsidRDefault="00027B73" w:rsidP="00027B73">
      <w:pPr>
        <w:pStyle w:val="EndNoteBibliography"/>
        <w:ind w:left="720" w:hanging="720"/>
      </w:pPr>
      <w:r w:rsidRPr="00027B73">
        <w:t xml:space="preserve">Milner, A. R. &amp; Schoch, R. R. </w:t>
      </w:r>
      <w:r w:rsidRPr="00027B73">
        <w:rPr>
          <w:i/>
        </w:rPr>
        <w:t>Trimerorhachis</w:t>
      </w:r>
      <w:r w:rsidRPr="00027B73">
        <w:t xml:space="preserve"> (Amphibia: Temnospondyli) from the Lower Permian of Texas and New Mexico: cranial osteology, taxonomy and biostratigraphy. </w:t>
      </w:r>
      <w:r w:rsidRPr="00027B73">
        <w:rPr>
          <w:i/>
        </w:rPr>
        <w:t>Neues Jahrbuch für Geologie und Paläontologie Abhandlungen</w:t>
      </w:r>
      <w:r w:rsidRPr="00027B73">
        <w:t xml:space="preserve"> </w:t>
      </w:r>
      <w:r w:rsidRPr="00027B73">
        <w:rPr>
          <w:b/>
        </w:rPr>
        <w:t>270</w:t>
      </w:r>
      <w:r w:rsidRPr="00027B73">
        <w:t>, 91-128 (2013).</w:t>
      </w:r>
    </w:p>
    <w:p w14:paraId="666B357F" w14:textId="7AF6CFE3" w:rsidR="00027B73" w:rsidRPr="00027B73" w:rsidRDefault="00027B73" w:rsidP="00027B73">
      <w:pPr>
        <w:pStyle w:val="EndNoteBibliography"/>
        <w:ind w:left="720" w:hanging="720"/>
      </w:pPr>
      <w:r w:rsidRPr="00027B73">
        <w:t xml:space="preserve">Milner, A. R. &amp; Sequeira, S. E. </w:t>
      </w:r>
      <w:r w:rsidRPr="00027B73">
        <w:rPr>
          <w:i/>
        </w:rPr>
        <w:t xml:space="preserve">Slaugenhopia texensis </w:t>
      </w:r>
      <w:r w:rsidRPr="00027B73">
        <w:t xml:space="preserve">(Amphibia: Temnospondyli) from the Permian of Texas is a primitive tupilakosaurid. </w:t>
      </w:r>
      <w:r w:rsidRPr="00027B73">
        <w:rPr>
          <w:i/>
        </w:rPr>
        <w:t>Journal of Vertebrate Paleontology</w:t>
      </w:r>
      <w:r w:rsidRPr="00027B73">
        <w:t xml:space="preserve"> </w:t>
      </w:r>
      <w:r w:rsidRPr="00027B73">
        <w:rPr>
          <w:b/>
        </w:rPr>
        <w:t>24</w:t>
      </w:r>
      <w:r w:rsidRPr="00027B73">
        <w:t>, 320-325 (2004).</w:t>
      </w:r>
    </w:p>
    <w:p w14:paraId="4E354E93" w14:textId="08B3E38E" w:rsidR="00027B73" w:rsidRPr="00027B73" w:rsidRDefault="00027B73" w:rsidP="00027B73">
      <w:pPr>
        <w:pStyle w:val="EndNoteBibliography"/>
        <w:ind w:left="720" w:hanging="720"/>
      </w:pPr>
      <w:r w:rsidRPr="00027B73">
        <w:t xml:space="preserve">Morales, M. &amp; Shishkin, M. A. A re-assessment of </w:t>
      </w:r>
      <w:r w:rsidRPr="00027B73">
        <w:rPr>
          <w:i/>
        </w:rPr>
        <w:t xml:space="preserve">Parotosuchus africanus </w:t>
      </w:r>
      <w:r w:rsidRPr="00027B73">
        <w:t xml:space="preserve">(Broom), a capitosauroid temnospondyl amphibian from the Triassic of South Africa. </w:t>
      </w:r>
      <w:r w:rsidRPr="00027B73">
        <w:rPr>
          <w:i/>
        </w:rPr>
        <w:t>Journal of Vertebrate Paleontology</w:t>
      </w:r>
      <w:r w:rsidRPr="00027B73">
        <w:t xml:space="preserve"> </w:t>
      </w:r>
      <w:r w:rsidRPr="00027B73">
        <w:rPr>
          <w:b/>
        </w:rPr>
        <w:t>22</w:t>
      </w:r>
      <w:r w:rsidRPr="00027B73">
        <w:t>, 1-11 (2002).</w:t>
      </w:r>
    </w:p>
    <w:p w14:paraId="547501C6" w14:textId="338D3665" w:rsidR="00027B73" w:rsidRPr="00027B73" w:rsidRDefault="00027B73" w:rsidP="00027B73">
      <w:pPr>
        <w:pStyle w:val="EndNoteBibliography"/>
        <w:ind w:left="720" w:hanging="720"/>
      </w:pPr>
      <w:r w:rsidRPr="00027B73">
        <w:t xml:space="preserve">Moulton, J. M. A description of the vertebral column of </w:t>
      </w:r>
      <w:r w:rsidRPr="00027B73">
        <w:rPr>
          <w:i/>
        </w:rPr>
        <w:t xml:space="preserve">Eryops </w:t>
      </w:r>
      <w:r w:rsidRPr="00027B73">
        <w:t xml:space="preserve">based on the notes and drawings of AS Romer. </w:t>
      </w:r>
      <w:r w:rsidRPr="00027B73">
        <w:rPr>
          <w:i/>
        </w:rPr>
        <w:t>Breviora</w:t>
      </w:r>
      <w:r w:rsidRPr="00027B73">
        <w:t xml:space="preserve"> </w:t>
      </w:r>
      <w:r w:rsidRPr="00027B73">
        <w:rPr>
          <w:b/>
        </w:rPr>
        <w:t>428</w:t>
      </w:r>
      <w:r w:rsidRPr="00027B73">
        <w:t>, 1-44 (1974).</w:t>
      </w:r>
    </w:p>
    <w:p w14:paraId="6A74D87A" w14:textId="1BB0B5D9" w:rsidR="00027B73" w:rsidRPr="00027B73" w:rsidRDefault="00027B73" w:rsidP="00027B73">
      <w:pPr>
        <w:pStyle w:val="EndNoteBibliography"/>
        <w:ind w:left="720" w:hanging="720"/>
      </w:pPr>
      <w:r w:rsidRPr="00027B73">
        <w:t xml:space="preserve">Müller, H. Ontogeny of the skull, lower jaw, and hyobranchial skeleton of </w:t>
      </w:r>
      <w:r w:rsidRPr="00027B73">
        <w:rPr>
          <w:i/>
        </w:rPr>
        <w:t xml:space="preserve">Hypogeophis rostratus </w:t>
      </w:r>
      <w:r w:rsidRPr="00027B73">
        <w:t xml:space="preserve">(Amphibia: Gymnophiona: Caeciliidae) revisited. </w:t>
      </w:r>
      <w:r w:rsidRPr="00027B73">
        <w:rPr>
          <w:i/>
        </w:rPr>
        <w:t>Journal of Morphology</w:t>
      </w:r>
      <w:r w:rsidRPr="00027B73">
        <w:t xml:space="preserve"> </w:t>
      </w:r>
      <w:r w:rsidRPr="00027B73">
        <w:rPr>
          <w:b/>
        </w:rPr>
        <w:t>267</w:t>
      </w:r>
      <w:r w:rsidRPr="00027B73">
        <w:t>, 968-986 (2006).</w:t>
      </w:r>
    </w:p>
    <w:p w14:paraId="16D1FCA2" w14:textId="7F54F4F6" w:rsidR="00027B73" w:rsidRPr="00027B73" w:rsidRDefault="00027B73" w:rsidP="00027B73">
      <w:pPr>
        <w:pStyle w:val="EndNoteBibliography"/>
        <w:ind w:left="720" w:hanging="720"/>
      </w:pPr>
      <w:r w:rsidRPr="00027B73">
        <w:t xml:space="preserve">Müller, H., Oommen, O. V. &amp; Bartsch, P. Skeletal development of the direct-developing caecilian </w:t>
      </w:r>
      <w:r w:rsidRPr="00027B73">
        <w:rPr>
          <w:i/>
        </w:rPr>
        <w:t xml:space="preserve">Gegeneophis ramaswamii </w:t>
      </w:r>
      <w:r w:rsidRPr="00027B73">
        <w:t xml:space="preserve">(Amphibia: Gymnophiona: Caeciliidae). </w:t>
      </w:r>
      <w:r w:rsidRPr="00027B73">
        <w:rPr>
          <w:i/>
        </w:rPr>
        <w:t>Zoomorphology</w:t>
      </w:r>
      <w:r w:rsidRPr="00027B73">
        <w:t xml:space="preserve"> </w:t>
      </w:r>
      <w:r w:rsidRPr="00027B73">
        <w:rPr>
          <w:b/>
        </w:rPr>
        <w:t>124</w:t>
      </w:r>
      <w:r w:rsidRPr="00027B73">
        <w:t>, 171-188 (2005).</w:t>
      </w:r>
    </w:p>
    <w:p w14:paraId="6CA2DE43" w14:textId="5878BA95" w:rsidR="00027B73" w:rsidRPr="00027B73" w:rsidRDefault="00027B73" w:rsidP="00027B73">
      <w:pPr>
        <w:pStyle w:val="EndNoteBibliography"/>
        <w:ind w:left="720" w:hanging="720"/>
      </w:pPr>
      <w:r w:rsidRPr="00027B73">
        <w:t>Müller, R. D.</w:t>
      </w:r>
      <w:r w:rsidRPr="00027B73">
        <w:rPr>
          <w:i/>
        </w:rPr>
        <w:t xml:space="preserve"> et al.</w:t>
      </w:r>
      <w:r w:rsidRPr="00027B73">
        <w:t xml:space="preserve"> GPlates: building a virtual Earth through deep time. </w:t>
      </w:r>
      <w:r w:rsidRPr="00027B73">
        <w:rPr>
          <w:i/>
        </w:rPr>
        <w:t>Geochemistry, Geophysics, Geosystems</w:t>
      </w:r>
      <w:r w:rsidRPr="00027B73">
        <w:t xml:space="preserve"> </w:t>
      </w:r>
      <w:r w:rsidRPr="00027B73">
        <w:rPr>
          <w:b/>
        </w:rPr>
        <w:t>19</w:t>
      </w:r>
      <w:r w:rsidRPr="00027B73">
        <w:t>, 2243-2261 (2018).</w:t>
      </w:r>
    </w:p>
    <w:p w14:paraId="66742848" w14:textId="2D664A33" w:rsidR="00027B73" w:rsidRPr="00027B73" w:rsidRDefault="00027B73" w:rsidP="00027B73">
      <w:pPr>
        <w:pStyle w:val="EndNoteBibliography"/>
        <w:ind w:left="720" w:hanging="720"/>
      </w:pPr>
      <w:r w:rsidRPr="00027B73">
        <w:t xml:space="preserve">Nielsen, E. New observations on the skull-roof of the holotype of </w:t>
      </w:r>
      <w:r w:rsidRPr="00027B73">
        <w:rPr>
          <w:i/>
        </w:rPr>
        <w:t xml:space="preserve">Tupilakosaurus heilmani </w:t>
      </w:r>
      <w:r w:rsidRPr="00027B73">
        <w:t xml:space="preserve">Nielsen. </w:t>
      </w:r>
      <w:r w:rsidRPr="00027B73">
        <w:rPr>
          <w:i/>
        </w:rPr>
        <w:t>Zoological Journal of the Linnean Society</w:t>
      </w:r>
      <w:r w:rsidRPr="00027B73">
        <w:t xml:space="preserve"> </w:t>
      </w:r>
      <w:r w:rsidRPr="00027B73">
        <w:rPr>
          <w:b/>
        </w:rPr>
        <w:t>47</w:t>
      </w:r>
      <w:r w:rsidRPr="00027B73">
        <w:t>, 225-229 (1967).</w:t>
      </w:r>
    </w:p>
    <w:p w14:paraId="000CE36F" w14:textId="6EC4B5CF" w:rsidR="00027B73" w:rsidRPr="00027B73" w:rsidRDefault="00027B73" w:rsidP="00027B73">
      <w:pPr>
        <w:pStyle w:val="EndNoteBibliography"/>
        <w:ind w:left="720" w:hanging="720"/>
      </w:pPr>
      <w:r w:rsidRPr="00027B73">
        <w:t xml:space="preserve">Nixon, K. C. &amp; Carpenter, J. M. On consensus, collapsibility, and clade concordance. </w:t>
      </w:r>
      <w:r w:rsidRPr="00027B73">
        <w:rPr>
          <w:i/>
        </w:rPr>
        <w:t>Cladistics</w:t>
      </w:r>
      <w:r w:rsidRPr="00027B73">
        <w:t xml:space="preserve"> </w:t>
      </w:r>
      <w:r w:rsidRPr="00027B73">
        <w:rPr>
          <w:b/>
        </w:rPr>
        <w:t>12</w:t>
      </w:r>
      <w:r w:rsidRPr="00027B73">
        <w:t>, 305-321 (1996).</w:t>
      </w:r>
    </w:p>
    <w:p w14:paraId="46BF1D9B" w14:textId="24F49764" w:rsidR="00027B73" w:rsidRPr="00027B73" w:rsidRDefault="00027B73" w:rsidP="00027B73">
      <w:pPr>
        <w:pStyle w:val="EndNoteBibliography"/>
        <w:ind w:left="720" w:hanging="720"/>
      </w:pPr>
      <w:r w:rsidRPr="00027B73">
        <w:t xml:space="preserve">Nonsrirach, T., Manitkoon, S. &amp; Lauprasert, K. First occurrence of brachyopid temnospondyls in Southeast Asia and review of the Mesozoic amphibians from Thailand. </w:t>
      </w:r>
      <w:r w:rsidRPr="00027B73">
        <w:rPr>
          <w:i/>
        </w:rPr>
        <w:t>Fossil Record</w:t>
      </w:r>
      <w:r w:rsidRPr="00027B73">
        <w:t xml:space="preserve"> </w:t>
      </w:r>
      <w:r w:rsidRPr="00027B73">
        <w:rPr>
          <w:b/>
        </w:rPr>
        <w:t>24</w:t>
      </w:r>
      <w:r w:rsidRPr="00027B73">
        <w:t>, 33-47 (2021).</w:t>
      </w:r>
    </w:p>
    <w:p w14:paraId="37223C80" w14:textId="44F7716B" w:rsidR="00027B73" w:rsidRPr="00027B73" w:rsidRDefault="00027B73" w:rsidP="00027B73">
      <w:pPr>
        <w:pStyle w:val="EndNoteBibliography"/>
        <w:ind w:left="720" w:hanging="720"/>
      </w:pPr>
      <w:r w:rsidRPr="00027B73">
        <w:t xml:space="preserve">Novikov, I. New data on trematosauroid labyrinthodonts of Eastern Europe: 3. </w:t>
      </w:r>
      <w:r w:rsidRPr="00027B73">
        <w:rPr>
          <w:i/>
        </w:rPr>
        <w:t xml:space="preserve">Qantas samarensis </w:t>
      </w:r>
      <w:r w:rsidRPr="00027B73">
        <w:t xml:space="preserve">gen. et sp. nov. </w:t>
      </w:r>
      <w:r w:rsidRPr="00027B73">
        <w:rPr>
          <w:i/>
        </w:rPr>
        <w:t>Paleontological Journal</w:t>
      </w:r>
      <w:r w:rsidRPr="00027B73">
        <w:t xml:space="preserve"> </w:t>
      </w:r>
      <w:r w:rsidRPr="00027B73">
        <w:rPr>
          <w:b/>
        </w:rPr>
        <w:t>46</w:t>
      </w:r>
      <w:r w:rsidRPr="00027B73">
        <w:t>, 177-186 (2012</w:t>
      </w:r>
      <w:r w:rsidR="00B367A1">
        <w:t>a</w:t>
      </w:r>
      <w:r w:rsidRPr="00027B73">
        <w:t>).</w:t>
      </w:r>
    </w:p>
    <w:p w14:paraId="08C11A4F" w14:textId="7C0F8D79" w:rsidR="00027B73" w:rsidRPr="00027B73" w:rsidRDefault="00027B73" w:rsidP="00027B73">
      <w:pPr>
        <w:pStyle w:val="EndNoteBibliography"/>
        <w:ind w:left="720" w:hanging="720"/>
      </w:pPr>
      <w:r w:rsidRPr="00027B73">
        <w:t xml:space="preserve">Novikov, I. New data on trematosauroid labyrinthodonts of Eastern Europe: 4. Genus </w:t>
      </w:r>
      <w:r w:rsidRPr="00027B73">
        <w:rPr>
          <w:i/>
        </w:rPr>
        <w:t xml:space="preserve">Benthosuchus </w:t>
      </w:r>
      <w:r w:rsidRPr="00027B73">
        <w:t xml:space="preserve">Efremov, 1937. </w:t>
      </w:r>
      <w:r w:rsidRPr="00027B73">
        <w:rPr>
          <w:i/>
        </w:rPr>
        <w:t>Paleontological Journal</w:t>
      </w:r>
      <w:r w:rsidRPr="00027B73">
        <w:t xml:space="preserve"> </w:t>
      </w:r>
      <w:r w:rsidRPr="00027B73">
        <w:rPr>
          <w:b/>
        </w:rPr>
        <w:t>46</w:t>
      </w:r>
      <w:r w:rsidRPr="00027B73">
        <w:t>, 400-411 (2012</w:t>
      </w:r>
      <w:r w:rsidR="00B367A1">
        <w:t>b</w:t>
      </w:r>
      <w:r w:rsidRPr="00027B73">
        <w:t>).</w:t>
      </w:r>
    </w:p>
    <w:p w14:paraId="14A7D6AF" w14:textId="6D7D4900" w:rsidR="00027B73" w:rsidRPr="00027B73" w:rsidRDefault="00027B73" w:rsidP="00027B73">
      <w:pPr>
        <w:pStyle w:val="EndNoteBibliography"/>
        <w:ind w:left="720" w:hanging="720"/>
      </w:pPr>
      <w:r w:rsidRPr="00027B73">
        <w:t xml:space="preserve">Nussbaum, R. A. Rhinatrematidae: a new family of caecilians (Amphibia: Gymnophiona). </w:t>
      </w:r>
      <w:r w:rsidRPr="00027B73">
        <w:rPr>
          <w:i/>
        </w:rPr>
        <w:t>Occasional Papers of the Museum of Zoology University of Michigan</w:t>
      </w:r>
      <w:r w:rsidRPr="00027B73">
        <w:t xml:space="preserve"> </w:t>
      </w:r>
      <w:r w:rsidRPr="00027B73">
        <w:rPr>
          <w:b/>
        </w:rPr>
        <w:t>682</w:t>
      </w:r>
      <w:r w:rsidRPr="00027B73">
        <w:t xml:space="preserve"> (1977).</w:t>
      </w:r>
    </w:p>
    <w:p w14:paraId="2591FEB6" w14:textId="5954C821" w:rsidR="00027B73" w:rsidRPr="00027B73" w:rsidRDefault="00027B73" w:rsidP="00027B73">
      <w:pPr>
        <w:pStyle w:val="EndNoteBibliography"/>
        <w:ind w:left="720" w:hanging="720"/>
      </w:pPr>
      <w:r w:rsidRPr="00027B73">
        <w:t xml:space="preserve">Nussbaum, R. A. The evolution of a unique dual jaw‐closing mechanism in caecilians: (Amphibia: Gymnophiona) and its bearing on caecilian ancestry. </w:t>
      </w:r>
      <w:r w:rsidRPr="00027B73">
        <w:rPr>
          <w:i/>
        </w:rPr>
        <w:t>Journal of Zoology</w:t>
      </w:r>
      <w:r w:rsidRPr="00027B73">
        <w:t xml:space="preserve"> </w:t>
      </w:r>
      <w:r w:rsidRPr="00027B73">
        <w:rPr>
          <w:b/>
        </w:rPr>
        <w:t>199</w:t>
      </w:r>
      <w:r w:rsidRPr="00027B73">
        <w:t>, 545-554 (1983).</w:t>
      </w:r>
    </w:p>
    <w:p w14:paraId="3246D612" w14:textId="304B044C" w:rsidR="00027B73" w:rsidRPr="00027B73" w:rsidRDefault="00027B73" w:rsidP="00027B73">
      <w:pPr>
        <w:pStyle w:val="EndNoteBibliography"/>
        <w:ind w:left="720" w:hanging="720"/>
      </w:pPr>
      <w:r w:rsidRPr="00027B73">
        <w:t xml:space="preserve">Nussbaum, R. A. Systematics of caecilians (Amphibia: Gymnophiona) of the family Scolecomorphidae. </w:t>
      </w:r>
      <w:r w:rsidRPr="00027B73">
        <w:rPr>
          <w:i/>
        </w:rPr>
        <w:t>Occasional Papers of the Museum of Zoology Univerisity of Michigan</w:t>
      </w:r>
      <w:r w:rsidRPr="00027B73">
        <w:t xml:space="preserve"> </w:t>
      </w:r>
      <w:r w:rsidRPr="00027B73">
        <w:rPr>
          <w:b/>
        </w:rPr>
        <w:t>713</w:t>
      </w:r>
      <w:r w:rsidRPr="00027B73">
        <w:t>, 49 (1985).</w:t>
      </w:r>
    </w:p>
    <w:p w14:paraId="5B9FA749" w14:textId="6D5B881C" w:rsidR="00027B73" w:rsidRPr="00027B73" w:rsidRDefault="00027B73" w:rsidP="00027B73">
      <w:pPr>
        <w:pStyle w:val="EndNoteBibliography"/>
        <w:ind w:left="720" w:hanging="720"/>
      </w:pPr>
      <w:r w:rsidRPr="00027B73">
        <w:t xml:space="preserve">Okajima, Y. &amp; Kumazawa, Y. Mitogenomic perspectives into iguanid phylogeny and biogeography: Gondwanan vicariance for the origin of Madagascan oplurines. </w:t>
      </w:r>
      <w:r w:rsidRPr="00027B73">
        <w:rPr>
          <w:i/>
        </w:rPr>
        <w:t>Gene</w:t>
      </w:r>
      <w:r w:rsidRPr="00027B73">
        <w:t xml:space="preserve"> </w:t>
      </w:r>
      <w:r w:rsidRPr="00027B73">
        <w:rPr>
          <w:b/>
        </w:rPr>
        <w:t>441</w:t>
      </w:r>
      <w:r w:rsidRPr="00027B73">
        <w:t>, 28-35 (2009).</w:t>
      </w:r>
    </w:p>
    <w:p w14:paraId="2585F553" w14:textId="42C58145" w:rsidR="00027B73" w:rsidRPr="00027B73" w:rsidRDefault="00027B73" w:rsidP="00027B73">
      <w:pPr>
        <w:pStyle w:val="EndNoteBibliography"/>
        <w:ind w:left="720" w:hanging="720"/>
      </w:pPr>
      <w:r w:rsidRPr="00027B73">
        <w:t xml:space="preserve">Okajima, Y. &amp; Kumazawa, Y. Mitochondrial genomes of acrodont lizards: timing of gene rearrangements and phylogenetic and biogeographic implications. </w:t>
      </w:r>
      <w:r w:rsidRPr="00027B73">
        <w:rPr>
          <w:i/>
        </w:rPr>
        <w:t>BMC Evolutionary Biology</w:t>
      </w:r>
      <w:r w:rsidRPr="00027B73">
        <w:t xml:space="preserve"> </w:t>
      </w:r>
      <w:r w:rsidRPr="00027B73">
        <w:rPr>
          <w:b/>
        </w:rPr>
        <w:t>10</w:t>
      </w:r>
      <w:r w:rsidRPr="00027B73">
        <w:t>, 1-15 (2010).</w:t>
      </w:r>
    </w:p>
    <w:p w14:paraId="560B4036" w14:textId="4CD17967" w:rsidR="00027B73" w:rsidRPr="00027B73" w:rsidRDefault="00027B73" w:rsidP="00027B73">
      <w:pPr>
        <w:pStyle w:val="EndNoteBibliography"/>
        <w:ind w:left="720" w:hanging="720"/>
      </w:pPr>
      <w:r w:rsidRPr="00027B73">
        <w:t xml:space="preserve">Olson, E. C. The family Trematopsidae. </w:t>
      </w:r>
      <w:r w:rsidRPr="00027B73">
        <w:rPr>
          <w:i/>
        </w:rPr>
        <w:t>The Journal of Geology</w:t>
      </w:r>
      <w:r w:rsidRPr="00027B73">
        <w:t xml:space="preserve"> </w:t>
      </w:r>
      <w:r w:rsidRPr="00027B73">
        <w:rPr>
          <w:b/>
        </w:rPr>
        <w:t>49</w:t>
      </w:r>
      <w:r w:rsidRPr="00027B73">
        <w:t>, 149-176 (1941).</w:t>
      </w:r>
    </w:p>
    <w:p w14:paraId="0DA6B01E" w14:textId="70810762" w:rsidR="00027B73" w:rsidRPr="00027B73" w:rsidRDefault="00027B73" w:rsidP="00027B73">
      <w:pPr>
        <w:pStyle w:val="EndNoteBibliography"/>
        <w:ind w:left="720" w:hanging="720"/>
      </w:pPr>
      <w:r w:rsidRPr="00027B73">
        <w:t xml:space="preserve">Olson, E. C. Fauna of the Vala and Choza: 10, </w:t>
      </w:r>
      <w:r w:rsidRPr="00027B73">
        <w:rPr>
          <w:i/>
        </w:rPr>
        <w:t>Trimerorhachis</w:t>
      </w:r>
      <w:r w:rsidRPr="00027B73">
        <w:t xml:space="preserve">: Including a Revision of Pre-Vale Species. </w:t>
      </w:r>
      <w:r w:rsidRPr="00027B73">
        <w:rPr>
          <w:i/>
        </w:rPr>
        <w:t>Fieldiana Geology</w:t>
      </w:r>
      <w:r w:rsidRPr="00027B73">
        <w:t xml:space="preserve"> </w:t>
      </w:r>
      <w:r w:rsidRPr="00027B73">
        <w:rPr>
          <w:b/>
        </w:rPr>
        <w:t>10</w:t>
      </w:r>
      <w:r w:rsidRPr="00027B73">
        <w:t>, 225-271 (1955).</w:t>
      </w:r>
    </w:p>
    <w:p w14:paraId="3846F014" w14:textId="3E876466" w:rsidR="00027B73" w:rsidRPr="00027B73" w:rsidRDefault="00027B73" w:rsidP="00027B73">
      <w:pPr>
        <w:pStyle w:val="EndNoteBibliography"/>
        <w:ind w:left="720" w:hanging="720"/>
      </w:pPr>
      <w:r w:rsidRPr="00027B73">
        <w:t xml:space="preserve">Panchen, A. L. A new armoured amphibian from the Upper Permian of East Africa. </w:t>
      </w:r>
      <w:r w:rsidRPr="00027B73">
        <w:rPr>
          <w:i/>
        </w:rPr>
        <w:t>Philosophical Transactions of the Royal Society of London. Series B, Biological Sciences</w:t>
      </w:r>
      <w:r w:rsidRPr="00027B73">
        <w:t xml:space="preserve"> </w:t>
      </w:r>
      <w:r w:rsidRPr="00027B73">
        <w:rPr>
          <w:b/>
        </w:rPr>
        <w:t>242</w:t>
      </w:r>
      <w:r w:rsidRPr="00027B73">
        <w:t>, 207-281 (1959).</w:t>
      </w:r>
    </w:p>
    <w:p w14:paraId="65368D28" w14:textId="604E7D2A" w:rsidR="00027B73" w:rsidRPr="00027B73" w:rsidRDefault="00027B73" w:rsidP="00027B73">
      <w:pPr>
        <w:pStyle w:val="EndNoteBibliography"/>
        <w:ind w:left="720" w:hanging="720"/>
      </w:pPr>
      <w:r w:rsidRPr="00027B73">
        <w:t xml:space="preserve">Pardo, J. D. &amp; Anderson, J. S. Cranial morphology of the Carboniferous-Permian tetrapod </w:t>
      </w:r>
      <w:r w:rsidRPr="00027B73">
        <w:rPr>
          <w:i/>
        </w:rPr>
        <w:t>Brachydectes newberryi</w:t>
      </w:r>
      <w:r w:rsidRPr="00027B73">
        <w:t xml:space="preserve"> (Lepospondyli, Lysorophia): new data from µCT. </w:t>
      </w:r>
      <w:r w:rsidRPr="00027B73">
        <w:rPr>
          <w:i/>
        </w:rPr>
        <w:t xml:space="preserve">PloS </w:t>
      </w:r>
      <w:r w:rsidR="004B0E82">
        <w:rPr>
          <w:i/>
        </w:rPr>
        <w:t>O</w:t>
      </w:r>
      <w:r w:rsidRPr="00027B73">
        <w:rPr>
          <w:i/>
        </w:rPr>
        <w:t>ne</w:t>
      </w:r>
      <w:r w:rsidRPr="00027B73">
        <w:t xml:space="preserve"> </w:t>
      </w:r>
      <w:r w:rsidRPr="00027B73">
        <w:rPr>
          <w:b/>
        </w:rPr>
        <w:t>11</w:t>
      </w:r>
      <w:r w:rsidRPr="00027B73">
        <w:t>, e0161823 (2016).</w:t>
      </w:r>
    </w:p>
    <w:p w14:paraId="1814FB20" w14:textId="751FA63F" w:rsidR="00027B73" w:rsidRPr="00027B73" w:rsidRDefault="00027B73" w:rsidP="00027B73">
      <w:pPr>
        <w:pStyle w:val="EndNoteBibliography"/>
        <w:ind w:left="720" w:hanging="720"/>
      </w:pPr>
      <w:r w:rsidRPr="00027B73">
        <w:t xml:space="preserve">Pardo, J. D., Lennie, K. &amp; Anderson, J. S. Can we reliably calibrate deep nodes in the tetrapod tree? Case studies in deep tetrapod divergences. </w:t>
      </w:r>
      <w:r w:rsidRPr="00027B73">
        <w:rPr>
          <w:i/>
        </w:rPr>
        <w:t>Frontiers in Genetics</w:t>
      </w:r>
      <w:r w:rsidRPr="00027B73">
        <w:t xml:space="preserve"> </w:t>
      </w:r>
      <w:r w:rsidRPr="00027B73">
        <w:rPr>
          <w:b/>
        </w:rPr>
        <w:t>11</w:t>
      </w:r>
      <w:r w:rsidRPr="00027B73">
        <w:t>, 1159 (2020).</w:t>
      </w:r>
    </w:p>
    <w:p w14:paraId="4A3CF97A" w14:textId="3DF52946" w:rsidR="00027B73" w:rsidRPr="00027B73" w:rsidRDefault="00027B73" w:rsidP="00027B73">
      <w:pPr>
        <w:pStyle w:val="EndNoteBibliography"/>
        <w:ind w:left="720" w:hanging="720"/>
      </w:pPr>
      <w:r w:rsidRPr="00027B73">
        <w:t xml:space="preserve">Pardo, J. D., Small, B. J. &amp; Huttenlocker, A. K. Stem caecilian from the Triassic of Colorado sheds light on the origins of Lissamphibia. </w:t>
      </w:r>
      <w:r w:rsidRPr="00027B73">
        <w:rPr>
          <w:i/>
        </w:rPr>
        <w:t>Proceedings of the National Academy of Sciences</w:t>
      </w:r>
      <w:r w:rsidRPr="00027B73">
        <w:t xml:space="preserve"> </w:t>
      </w:r>
      <w:r w:rsidRPr="00027B73">
        <w:rPr>
          <w:b/>
        </w:rPr>
        <w:t>114</w:t>
      </w:r>
      <w:r w:rsidRPr="00027B73">
        <w:t>, E5389-E5395 (2017</w:t>
      </w:r>
      <w:r w:rsidR="00B367A1">
        <w:t>a</w:t>
      </w:r>
      <w:r w:rsidRPr="00027B73">
        <w:t>).</w:t>
      </w:r>
    </w:p>
    <w:p w14:paraId="29D229AE" w14:textId="19827A74" w:rsidR="00027B73" w:rsidRPr="00027B73" w:rsidRDefault="00027B73" w:rsidP="00027B73">
      <w:pPr>
        <w:pStyle w:val="EndNoteBibliography"/>
        <w:ind w:left="720" w:hanging="720"/>
      </w:pPr>
      <w:r w:rsidRPr="00027B73">
        <w:t xml:space="preserve">Pardo, J. D., Szostakiwskyj, M., Ahlberg, P. E. &amp; Anderson, J. S. Hidden morphological diversity among early tetrapods. </w:t>
      </w:r>
      <w:r w:rsidRPr="00027B73">
        <w:rPr>
          <w:i/>
        </w:rPr>
        <w:t>Nature</w:t>
      </w:r>
      <w:r w:rsidRPr="00027B73">
        <w:t xml:space="preserve"> </w:t>
      </w:r>
      <w:r w:rsidRPr="00027B73">
        <w:rPr>
          <w:b/>
        </w:rPr>
        <w:t>546</w:t>
      </w:r>
      <w:r w:rsidRPr="00027B73">
        <w:t>, 642-645 (2017</w:t>
      </w:r>
      <w:r w:rsidR="00B367A1">
        <w:t>b</w:t>
      </w:r>
      <w:r w:rsidRPr="00027B73">
        <w:t>).</w:t>
      </w:r>
    </w:p>
    <w:p w14:paraId="5EC7D320" w14:textId="120B4512" w:rsidR="00027B73" w:rsidRPr="00027B73" w:rsidRDefault="00027B73" w:rsidP="00027B73">
      <w:pPr>
        <w:pStyle w:val="EndNoteBibliography"/>
        <w:ind w:left="720" w:hanging="720"/>
      </w:pPr>
      <w:r w:rsidRPr="00027B73">
        <w:t xml:space="preserve">Pardo, J. D., Szostakiwskyj, M. &amp; Anderson, J. S. Cranial morphology of the brachystelechid ‘microsaur’ </w:t>
      </w:r>
      <w:r w:rsidRPr="00027B73">
        <w:rPr>
          <w:i/>
        </w:rPr>
        <w:t>Quasicaecilia texana</w:t>
      </w:r>
      <w:r w:rsidRPr="00027B73">
        <w:t xml:space="preserve"> Carroll provides new insights into the diversity and evolution of braincase morphology in recumbirostran ‘microsaurs’. </w:t>
      </w:r>
      <w:r w:rsidRPr="00027B73">
        <w:rPr>
          <w:i/>
        </w:rPr>
        <w:t xml:space="preserve">PloS </w:t>
      </w:r>
      <w:r w:rsidR="004B0E82">
        <w:rPr>
          <w:i/>
        </w:rPr>
        <w:t>O</w:t>
      </w:r>
      <w:r w:rsidRPr="00027B73">
        <w:rPr>
          <w:i/>
        </w:rPr>
        <w:t>ne</w:t>
      </w:r>
      <w:r w:rsidRPr="00027B73">
        <w:t xml:space="preserve"> </w:t>
      </w:r>
      <w:r w:rsidRPr="00027B73">
        <w:rPr>
          <w:b/>
        </w:rPr>
        <w:t>10</w:t>
      </w:r>
      <w:r w:rsidRPr="00027B73">
        <w:t>, e0130359 (2015).</w:t>
      </w:r>
    </w:p>
    <w:p w14:paraId="6E01BF47" w14:textId="09BC0511" w:rsidR="00027B73" w:rsidRPr="00027B73" w:rsidRDefault="00027B73" w:rsidP="00027B73">
      <w:pPr>
        <w:pStyle w:val="EndNoteBibliography"/>
        <w:ind w:left="720" w:hanging="720"/>
      </w:pPr>
      <w:r w:rsidRPr="00027B73">
        <w:t xml:space="preserve">Parker, H. &amp; Dunn, E. R. Dentitional metamorphosis in the Amphibia. </w:t>
      </w:r>
      <w:r w:rsidRPr="00027B73">
        <w:rPr>
          <w:i/>
        </w:rPr>
        <w:t>Copeia</w:t>
      </w:r>
      <w:r w:rsidRPr="00027B73">
        <w:t xml:space="preserve"> </w:t>
      </w:r>
      <w:r w:rsidRPr="00027B73">
        <w:rPr>
          <w:b/>
        </w:rPr>
        <w:t>1964</w:t>
      </w:r>
      <w:r w:rsidRPr="00027B73">
        <w:t>, 75-86 (1964).</w:t>
      </w:r>
    </w:p>
    <w:p w14:paraId="073C0B0E" w14:textId="0254225E" w:rsidR="00027B73" w:rsidRPr="00027B73" w:rsidRDefault="00027B73" w:rsidP="00027B73">
      <w:pPr>
        <w:pStyle w:val="EndNoteBibliography"/>
        <w:ind w:left="720" w:hanging="720"/>
      </w:pPr>
      <w:r w:rsidRPr="00027B73">
        <w:t xml:space="preserve">Parker, W. K. XV. On the structure and development of the skull in the urodelous amphibia.—Part I. </w:t>
      </w:r>
      <w:r w:rsidRPr="00027B73">
        <w:rPr>
          <w:i/>
        </w:rPr>
        <w:t>Philosophical Transactions of the Royal Society of London</w:t>
      </w:r>
      <w:r w:rsidRPr="00027B73">
        <w:t xml:space="preserve"> </w:t>
      </w:r>
      <w:r w:rsidRPr="00027B73">
        <w:rPr>
          <w:b/>
        </w:rPr>
        <w:t>167</w:t>
      </w:r>
      <w:r w:rsidRPr="00027B73">
        <w:t>, 529-597 (1877).</w:t>
      </w:r>
    </w:p>
    <w:p w14:paraId="5BE28465" w14:textId="0E557409" w:rsidR="00027B73" w:rsidRPr="00027B73" w:rsidRDefault="00027B73" w:rsidP="00027B73">
      <w:pPr>
        <w:pStyle w:val="EndNoteBibliography"/>
        <w:ind w:left="720" w:hanging="720"/>
      </w:pPr>
      <w:r w:rsidRPr="00027B73">
        <w:t xml:space="preserve">Parsons, T. S. &amp; Williams, E. E. The teeth of Amphibia and their relation to amphibian phylogeny. </w:t>
      </w:r>
      <w:r w:rsidRPr="00027B73">
        <w:rPr>
          <w:i/>
        </w:rPr>
        <w:t>Journal of Morphology</w:t>
      </w:r>
      <w:r w:rsidRPr="00027B73">
        <w:t xml:space="preserve"> </w:t>
      </w:r>
      <w:r w:rsidRPr="00027B73">
        <w:rPr>
          <w:b/>
        </w:rPr>
        <w:t>110</w:t>
      </w:r>
      <w:r w:rsidRPr="00027B73">
        <w:t>, 375-389 (1962).</w:t>
      </w:r>
    </w:p>
    <w:p w14:paraId="50B5703F" w14:textId="24D86FBC" w:rsidR="00027B73" w:rsidRPr="00027B73" w:rsidRDefault="00027B73" w:rsidP="00027B73">
      <w:pPr>
        <w:pStyle w:val="EndNoteBibliography"/>
        <w:ind w:left="720" w:hanging="720"/>
      </w:pPr>
      <w:r w:rsidRPr="00027B73">
        <w:t xml:space="preserve">Paton, R. L. A Lower Permian temnospondylous amphibian from the English Midlands. </w:t>
      </w:r>
      <w:r w:rsidRPr="00027B73">
        <w:rPr>
          <w:i/>
        </w:rPr>
        <w:t>Palaeontology</w:t>
      </w:r>
      <w:r w:rsidRPr="00027B73">
        <w:t xml:space="preserve"> </w:t>
      </w:r>
      <w:r w:rsidRPr="00027B73">
        <w:rPr>
          <w:b/>
        </w:rPr>
        <w:t>18</w:t>
      </w:r>
      <w:r w:rsidRPr="00027B73">
        <w:t>, 831-845 (1975).</w:t>
      </w:r>
    </w:p>
    <w:p w14:paraId="5606F2BB" w14:textId="7E4D5B71" w:rsidR="00027B73" w:rsidRPr="00027B73" w:rsidRDefault="00027B73" w:rsidP="00027B73">
      <w:pPr>
        <w:pStyle w:val="EndNoteBibliography"/>
        <w:ind w:left="720" w:hanging="720"/>
      </w:pPr>
      <w:r w:rsidRPr="00027B73">
        <w:t xml:space="preserve">Pawley, K. The postcranial skeleton of </w:t>
      </w:r>
      <w:r w:rsidRPr="00027B73">
        <w:rPr>
          <w:i/>
        </w:rPr>
        <w:t xml:space="preserve">Trimerorhachis insignis </w:t>
      </w:r>
      <w:r w:rsidRPr="00027B73">
        <w:t xml:space="preserve">Cope, 1878 (Temnospondyli: Trimerorhachidae): a plesiomorphic temnospondyl from the Lower Permian of North America. </w:t>
      </w:r>
      <w:r w:rsidRPr="00027B73">
        <w:rPr>
          <w:i/>
        </w:rPr>
        <w:t>Journal of Paleontology</w:t>
      </w:r>
      <w:r w:rsidRPr="00027B73">
        <w:t xml:space="preserve"> </w:t>
      </w:r>
      <w:r w:rsidRPr="00027B73">
        <w:rPr>
          <w:b/>
        </w:rPr>
        <w:t>81</w:t>
      </w:r>
      <w:r w:rsidRPr="00027B73">
        <w:t>, 873-894 (2007).</w:t>
      </w:r>
    </w:p>
    <w:p w14:paraId="450D5929" w14:textId="14D18B39" w:rsidR="00027B73" w:rsidRPr="00027B73" w:rsidRDefault="00027B73" w:rsidP="00027B73">
      <w:pPr>
        <w:pStyle w:val="EndNoteBibliography"/>
        <w:ind w:left="720" w:hanging="720"/>
      </w:pPr>
      <w:r w:rsidRPr="00027B73">
        <w:t xml:space="preserve">Pawley, K. &amp; Warren, A. A terrestrial stereospondyl from the Lower Triassic of South Africa: the postcranial skeleton of </w:t>
      </w:r>
      <w:r w:rsidRPr="00027B73">
        <w:rPr>
          <w:i/>
        </w:rPr>
        <w:t xml:space="preserve">Lydekkerina huxleyi </w:t>
      </w:r>
      <w:r w:rsidRPr="00027B73">
        <w:t xml:space="preserve">(Amphibia: Temnospondyli). </w:t>
      </w:r>
      <w:r w:rsidRPr="00027B73">
        <w:rPr>
          <w:i/>
        </w:rPr>
        <w:t>Palaeontology</w:t>
      </w:r>
      <w:r w:rsidRPr="00027B73">
        <w:t xml:space="preserve"> </w:t>
      </w:r>
      <w:r w:rsidRPr="00027B73">
        <w:rPr>
          <w:b/>
        </w:rPr>
        <w:t>48</w:t>
      </w:r>
      <w:r w:rsidRPr="00027B73">
        <w:t>, 281-298 (2005).</w:t>
      </w:r>
    </w:p>
    <w:p w14:paraId="487F1D48" w14:textId="5BAFCDF4" w:rsidR="00027B73" w:rsidRPr="00027B73" w:rsidRDefault="00027B73" w:rsidP="00027B73">
      <w:pPr>
        <w:pStyle w:val="EndNoteBibliography"/>
        <w:ind w:left="720" w:hanging="720"/>
      </w:pPr>
      <w:r w:rsidRPr="00027B73">
        <w:t xml:space="preserve">Pawley, K. &amp; Warren, A. The appendicular skeleton of </w:t>
      </w:r>
      <w:r w:rsidRPr="00027B73">
        <w:rPr>
          <w:i/>
        </w:rPr>
        <w:t xml:space="preserve">Eryops megacephalus </w:t>
      </w:r>
      <w:r w:rsidRPr="00027B73">
        <w:t xml:space="preserve">COPE,1877 (Temnospondyli: Eryopoidea) from the lower permian of North America. </w:t>
      </w:r>
      <w:r w:rsidRPr="00027B73">
        <w:rPr>
          <w:i/>
        </w:rPr>
        <w:t>Journal of Paleontology</w:t>
      </w:r>
      <w:r w:rsidRPr="00027B73">
        <w:t xml:space="preserve"> </w:t>
      </w:r>
      <w:r w:rsidRPr="00027B73">
        <w:rPr>
          <w:b/>
        </w:rPr>
        <w:t>80</w:t>
      </w:r>
      <w:r w:rsidRPr="00027B73">
        <w:t>, 561-580 (2006).</w:t>
      </w:r>
    </w:p>
    <w:p w14:paraId="4A5F2409" w14:textId="4F955E5D" w:rsidR="00027B73" w:rsidRPr="00027B73" w:rsidRDefault="00027B73" w:rsidP="00027B73">
      <w:pPr>
        <w:pStyle w:val="EndNoteBibliography"/>
        <w:ind w:left="720" w:hanging="720"/>
      </w:pPr>
      <w:r w:rsidRPr="00027B73">
        <w:t xml:space="preserve">Piñeiro, G., Marsicano, C., Goso, C. &amp; Morosi, E. Temnospondyl diversity of the Permian-Triassic Colonia Orozco local fauna (Buena Vista formation) of Uruguay. </w:t>
      </w:r>
      <w:r w:rsidRPr="00027B73">
        <w:rPr>
          <w:i/>
        </w:rPr>
        <w:t>Revista Brasileira de Paleontologia</w:t>
      </w:r>
      <w:r w:rsidRPr="00027B73">
        <w:t xml:space="preserve"> </w:t>
      </w:r>
      <w:r w:rsidRPr="00027B73">
        <w:rPr>
          <w:b/>
        </w:rPr>
        <w:t>10</w:t>
      </w:r>
      <w:r w:rsidRPr="00027B73">
        <w:t>, 169-180 (2007).</w:t>
      </w:r>
    </w:p>
    <w:p w14:paraId="29DB607F" w14:textId="58A504B3" w:rsidR="00027B73" w:rsidRPr="00027B73" w:rsidRDefault="00027B73" w:rsidP="00027B73">
      <w:pPr>
        <w:pStyle w:val="EndNoteBibliography"/>
        <w:ind w:left="720" w:hanging="720"/>
      </w:pPr>
      <w:r w:rsidRPr="00027B73">
        <w:t xml:space="preserve">Piñeiro, G., Marsicano, C. A. &amp; Damiani, R. Mandibles of mastodonsaurid temnospondyls from the Upper Permian–Lower Triassic of Uruguay. </w:t>
      </w:r>
      <w:r w:rsidRPr="00027B73">
        <w:rPr>
          <w:i/>
        </w:rPr>
        <w:t>Acta Palaeontologica Polonica</w:t>
      </w:r>
      <w:r w:rsidRPr="00027B73">
        <w:t xml:space="preserve"> </w:t>
      </w:r>
      <w:r w:rsidRPr="00027B73">
        <w:rPr>
          <w:b/>
        </w:rPr>
        <w:t>52</w:t>
      </w:r>
      <w:r w:rsidRPr="00027B73">
        <w:t xml:space="preserve"> (2007).</w:t>
      </w:r>
    </w:p>
    <w:p w14:paraId="23DE2A69" w14:textId="2EF95522" w:rsidR="00027B73" w:rsidRPr="00027B73" w:rsidRDefault="00027B73" w:rsidP="00027B73">
      <w:pPr>
        <w:pStyle w:val="EndNoteBibliography"/>
        <w:ind w:left="720" w:hanging="720"/>
      </w:pPr>
      <w:r w:rsidRPr="00027B73">
        <w:t xml:space="preserve">Polley, B. P. &amp; Reisz, R. R. A new Lower Permian trematopid (Temnospondyli: Dissorophoidea) from Richards Spur, Oklahoma. </w:t>
      </w:r>
      <w:r w:rsidRPr="00027B73">
        <w:rPr>
          <w:i/>
        </w:rPr>
        <w:t>Zoological Journal of the Linnean Society</w:t>
      </w:r>
      <w:r w:rsidRPr="00027B73">
        <w:t xml:space="preserve"> </w:t>
      </w:r>
      <w:r w:rsidRPr="00027B73">
        <w:rPr>
          <w:b/>
        </w:rPr>
        <w:t>161</w:t>
      </w:r>
      <w:r w:rsidRPr="00027B73">
        <w:t>, 789-815 (2011).</w:t>
      </w:r>
    </w:p>
    <w:p w14:paraId="643F49C7" w14:textId="5A2CF3AB" w:rsidR="00027B73" w:rsidRPr="00027B73" w:rsidRDefault="00027B73" w:rsidP="00027B73">
      <w:pPr>
        <w:pStyle w:val="EndNoteBibliography"/>
        <w:ind w:left="720" w:hanging="720"/>
      </w:pPr>
      <w:r w:rsidRPr="00027B73">
        <w:t xml:space="preserve">Porro, L. B., Rayfield, E. J. &amp; Clack, J. A. Descriptive anatomy and three-dimensional reconstruction of the skull of the early tetrapod </w:t>
      </w:r>
      <w:r w:rsidRPr="00027B73">
        <w:rPr>
          <w:i/>
        </w:rPr>
        <w:t>Acanthostega gunnari</w:t>
      </w:r>
      <w:r w:rsidRPr="00027B73">
        <w:t xml:space="preserve"> Jarvik, 1952. </w:t>
      </w:r>
      <w:r w:rsidRPr="00027B73">
        <w:rPr>
          <w:i/>
        </w:rPr>
        <w:t>PLoS One</w:t>
      </w:r>
      <w:r w:rsidRPr="00027B73">
        <w:t xml:space="preserve"> </w:t>
      </w:r>
      <w:r w:rsidRPr="00027B73">
        <w:rPr>
          <w:b/>
        </w:rPr>
        <w:t>10</w:t>
      </w:r>
      <w:r w:rsidRPr="00027B73">
        <w:t>, e0118882 (2015).</w:t>
      </w:r>
    </w:p>
    <w:p w14:paraId="18ED91EA" w14:textId="54BEFFA4" w:rsidR="00027B73" w:rsidRPr="00027B73" w:rsidRDefault="00027B73" w:rsidP="00027B73">
      <w:pPr>
        <w:pStyle w:val="EndNoteBibliography"/>
        <w:ind w:left="720" w:hanging="720"/>
      </w:pPr>
      <w:r w:rsidRPr="00027B73">
        <w:t xml:space="preserve">Pyron, R. A. A likelihood method for assessing molecular divergence time estimates and the placement of fossil calibrations. </w:t>
      </w:r>
      <w:r w:rsidRPr="00027B73">
        <w:rPr>
          <w:i/>
        </w:rPr>
        <w:t>Systematic Biology</w:t>
      </w:r>
      <w:r w:rsidRPr="00027B73">
        <w:t xml:space="preserve"> </w:t>
      </w:r>
      <w:r w:rsidRPr="00027B73">
        <w:rPr>
          <w:b/>
        </w:rPr>
        <w:t>59</w:t>
      </w:r>
      <w:r w:rsidRPr="00027B73">
        <w:t>, 185-194 (2010).</w:t>
      </w:r>
    </w:p>
    <w:p w14:paraId="3329426C" w14:textId="4E5A5758" w:rsidR="00027B73" w:rsidRPr="00027B73" w:rsidRDefault="00027B73" w:rsidP="00027B73">
      <w:pPr>
        <w:pStyle w:val="EndNoteBibliography"/>
        <w:ind w:left="720" w:hanging="720"/>
      </w:pPr>
      <w:r w:rsidRPr="00027B73">
        <w:t xml:space="preserve">Pyron, R. A. Divergence time estimation using fossils as terminal taxa and the origins of Lissamphibia. </w:t>
      </w:r>
      <w:r w:rsidRPr="00027B73">
        <w:rPr>
          <w:i/>
        </w:rPr>
        <w:t>Systematic biology</w:t>
      </w:r>
      <w:r w:rsidRPr="00027B73">
        <w:t xml:space="preserve"> </w:t>
      </w:r>
      <w:r w:rsidRPr="00027B73">
        <w:rPr>
          <w:b/>
        </w:rPr>
        <w:t>60</w:t>
      </w:r>
      <w:r w:rsidRPr="00027B73">
        <w:t>, 466-481 (2011).</w:t>
      </w:r>
    </w:p>
    <w:p w14:paraId="20284312" w14:textId="1F7AD7FA" w:rsidR="00027B73" w:rsidRPr="00027B73" w:rsidRDefault="00027B73" w:rsidP="00027B73">
      <w:pPr>
        <w:pStyle w:val="EndNoteBibliography"/>
        <w:ind w:left="720" w:hanging="720"/>
      </w:pPr>
      <w:r w:rsidRPr="00027B73">
        <w:t xml:space="preserve">Pyron, R. A. Biogeographic analysis reveals ancient continental vicariance and recent oceanic dispersal in amphibians. </w:t>
      </w:r>
      <w:r w:rsidRPr="00027B73">
        <w:rPr>
          <w:i/>
        </w:rPr>
        <w:t>Systematic biology</w:t>
      </w:r>
      <w:r w:rsidRPr="00027B73">
        <w:t xml:space="preserve"> </w:t>
      </w:r>
      <w:r w:rsidRPr="00027B73">
        <w:rPr>
          <w:b/>
        </w:rPr>
        <w:t>63</w:t>
      </w:r>
      <w:r w:rsidRPr="00027B73">
        <w:t>, 779-797 (2014).</w:t>
      </w:r>
    </w:p>
    <w:p w14:paraId="367F91A4" w14:textId="4F4FD512" w:rsidR="00027B73" w:rsidRPr="00027B73" w:rsidRDefault="00027B73" w:rsidP="00027B73">
      <w:pPr>
        <w:pStyle w:val="EndNoteBibliography"/>
        <w:ind w:left="720" w:hanging="720"/>
      </w:pPr>
      <w:r w:rsidRPr="00027B73">
        <w:t xml:space="preserve">Rage, J. &amp; Pickford, M. The discovery of a gymnophionan skull (? Caeciliidae, Amphibia) in the Early Miocene of Uganda. </w:t>
      </w:r>
      <w:r w:rsidRPr="00027B73">
        <w:rPr>
          <w:i/>
        </w:rPr>
        <w:t>Geo-Pal Uganda</w:t>
      </w:r>
      <w:r w:rsidRPr="00027B73">
        <w:t xml:space="preserve"> </w:t>
      </w:r>
      <w:r w:rsidRPr="00027B73">
        <w:rPr>
          <w:b/>
        </w:rPr>
        <w:t>4</w:t>
      </w:r>
      <w:r w:rsidRPr="00027B73">
        <w:t>, 1-9 (2011).</w:t>
      </w:r>
    </w:p>
    <w:p w14:paraId="2BA95D19" w14:textId="5E037837" w:rsidR="00027B73" w:rsidRPr="00027B73" w:rsidRDefault="00027B73" w:rsidP="00027B73">
      <w:pPr>
        <w:pStyle w:val="EndNoteBibliography"/>
        <w:ind w:left="720" w:hanging="720"/>
      </w:pPr>
      <w:r w:rsidRPr="00027B73">
        <w:t xml:space="preserve">Rage, J.-C. Gymnophionan Amphibia from the Early Paleocene (Santa Lucia Formation) of Tiupampa (Bolivia): the oldest known Gymnophiona. </w:t>
      </w:r>
      <w:r w:rsidRPr="00027B73">
        <w:rPr>
          <w:i/>
        </w:rPr>
        <w:t>Revista Tecnica de YPFB</w:t>
      </w:r>
      <w:r w:rsidRPr="00027B73">
        <w:t xml:space="preserve"> </w:t>
      </w:r>
      <w:r w:rsidRPr="00027B73">
        <w:rPr>
          <w:b/>
        </w:rPr>
        <w:t>12</w:t>
      </w:r>
      <w:r w:rsidRPr="00027B73">
        <w:t>, 3-4 (1991).</w:t>
      </w:r>
    </w:p>
    <w:p w14:paraId="23F23DD3" w14:textId="23AB6B40" w:rsidR="00027B73" w:rsidRPr="00027B73" w:rsidRDefault="00027B73" w:rsidP="00027B73">
      <w:pPr>
        <w:pStyle w:val="EndNoteBibliography"/>
        <w:ind w:left="720" w:hanging="720"/>
      </w:pPr>
      <w:r w:rsidRPr="00027B73">
        <w:t>Rage, J.-C.</w:t>
      </w:r>
      <w:r w:rsidRPr="00027B73">
        <w:rPr>
          <w:i/>
        </w:rPr>
        <w:t xml:space="preserve"> et al.</w:t>
      </w:r>
      <w:r w:rsidRPr="00027B73">
        <w:t xml:space="preserve"> Latest Early-early Middle Eocene deposits of Algeria (Glib Zegdou,HGL50), yield the richest and most diverse fauna of amphibians and squamate reptiles from the Palaeogene of Africa. </w:t>
      </w:r>
      <w:r w:rsidRPr="00027B73">
        <w:rPr>
          <w:i/>
        </w:rPr>
        <w:t>Palaeovertebrata</w:t>
      </w:r>
      <w:r w:rsidRPr="00027B73">
        <w:t xml:space="preserve"> </w:t>
      </w:r>
      <w:r w:rsidRPr="00027B73">
        <w:rPr>
          <w:b/>
        </w:rPr>
        <w:t>44</w:t>
      </w:r>
      <w:r w:rsidRPr="00027B73">
        <w:t>, 1-32 (2021).</w:t>
      </w:r>
    </w:p>
    <w:p w14:paraId="4301E707" w14:textId="19D966D8" w:rsidR="00027B73" w:rsidRPr="00027B73" w:rsidRDefault="00027B73" w:rsidP="00027B73">
      <w:pPr>
        <w:pStyle w:val="EndNoteBibliography"/>
        <w:ind w:left="720" w:hanging="720"/>
      </w:pPr>
      <w:r w:rsidRPr="00027B73">
        <w:t xml:space="preserve">Rage, J.-C. &amp; Roček, Z. Redescription of </w:t>
      </w:r>
      <w:r w:rsidRPr="00027B73">
        <w:rPr>
          <w:i/>
        </w:rPr>
        <w:t>Triadobatrachus massinoti</w:t>
      </w:r>
      <w:r w:rsidRPr="00027B73">
        <w:t xml:space="preserve"> (Piveteau, 1936) an anuran amphibian from the early Triassic. </w:t>
      </w:r>
      <w:r w:rsidRPr="00027B73">
        <w:rPr>
          <w:i/>
        </w:rPr>
        <w:t>Palaeontographica A</w:t>
      </w:r>
      <w:r w:rsidRPr="00027B73">
        <w:t xml:space="preserve"> </w:t>
      </w:r>
      <w:r w:rsidRPr="00027B73">
        <w:rPr>
          <w:b/>
        </w:rPr>
        <w:t>206</w:t>
      </w:r>
      <w:r w:rsidRPr="00027B73">
        <w:t>, 1-16 (1989).</w:t>
      </w:r>
    </w:p>
    <w:p w14:paraId="11D830F1" w14:textId="05FCEFDC" w:rsidR="00027B73" w:rsidRPr="00027B73" w:rsidRDefault="00027B73" w:rsidP="00027B73">
      <w:pPr>
        <w:pStyle w:val="EndNoteBibliography"/>
        <w:ind w:left="720" w:hanging="720"/>
      </w:pPr>
      <w:r w:rsidRPr="00027B73">
        <w:t xml:space="preserve">Ramezani, J., Fastovsky, D. E. &amp; Bowring, S. A. Revised chronostratigraphy of the lower Chinle Formation strata in Arizona and New Mexico (USA): high-precision U-Pb geochronological constraints on the Late Triassic evolution of dinosaurs. </w:t>
      </w:r>
      <w:r w:rsidRPr="00027B73">
        <w:rPr>
          <w:i/>
        </w:rPr>
        <w:t>American Journal of Science</w:t>
      </w:r>
      <w:r w:rsidRPr="00027B73">
        <w:t xml:space="preserve"> </w:t>
      </w:r>
      <w:r w:rsidRPr="00027B73">
        <w:rPr>
          <w:b/>
        </w:rPr>
        <w:t>314</w:t>
      </w:r>
      <w:r w:rsidRPr="00027B73">
        <w:t>, 981-1008 (2014).</w:t>
      </w:r>
    </w:p>
    <w:p w14:paraId="2765ADF3" w14:textId="45BC4CEE" w:rsidR="00027B73" w:rsidRPr="00027B73" w:rsidRDefault="00027B73" w:rsidP="00027B73">
      <w:pPr>
        <w:pStyle w:val="EndNoteBibliography"/>
        <w:ind w:left="720" w:hanging="720"/>
      </w:pPr>
      <w:r w:rsidRPr="00027B73">
        <w:t>Ramezani, J.</w:t>
      </w:r>
      <w:r w:rsidRPr="00027B73">
        <w:rPr>
          <w:i/>
        </w:rPr>
        <w:t xml:space="preserve"> et al.</w:t>
      </w:r>
      <w:r w:rsidRPr="00027B73">
        <w:t xml:space="preserve"> High-precision U-Pb zircon geochronology of the Late Triassic Chinle Formation, Petrified Forest National Park (Arizona, USA): Temporal constraints on the early evolution of dinosaurs. </w:t>
      </w:r>
      <w:r w:rsidR="004B0E82" w:rsidRPr="0078387C">
        <w:rPr>
          <w:i/>
          <w:iCs/>
        </w:rPr>
        <w:t>GSA</w:t>
      </w:r>
      <w:r w:rsidR="004B0E82">
        <w:t xml:space="preserve"> </w:t>
      </w:r>
      <w:r w:rsidRPr="00027B73">
        <w:rPr>
          <w:i/>
        </w:rPr>
        <w:t>Bulletin</w:t>
      </w:r>
      <w:r w:rsidRPr="00027B73">
        <w:t xml:space="preserve"> </w:t>
      </w:r>
      <w:r w:rsidRPr="00027B73">
        <w:rPr>
          <w:b/>
        </w:rPr>
        <w:t>123</w:t>
      </w:r>
      <w:r w:rsidRPr="00027B73">
        <w:t>, 2142-2159 (2011).</w:t>
      </w:r>
    </w:p>
    <w:p w14:paraId="258DF843" w14:textId="2EC782D1" w:rsidR="00027B73" w:rsidRPr="00027B73" w:rsidRDefault="00027B73" w:rsidP="00027B73">
      <w:pPr>
        <w:pStyle w:val="EndNoteBibliography"/>
        <w:ind w:left="720" w:hanging="720"/>
      </w:pPr>
      <w:r w:rsidRPr="00027B73">
        <w:t xml:space="preserve">Rawson, J. R., Porro, L. B., Martin-Silverstone, E. &amp; Rayfield, E. J. Osteology and digital reconstruction of the skull of the early tetrapod </w:t>
      </w:r>
      <w:r w:rsidRPr="00027B73">
        <w:rPr>
          <w:i/>
        </w:rPr>
        <w:t>Whatcheeria deltae</w:t>
      </w:r>
      <w:r w:rsidRPr="00027B73">
        <w:t xml:space="preserve">. </w:t>
      </w:r>
      <w:r w:rsidRPr="00027B73">
        <w:rPr>
          <w:i/>
        </w:rPr>
        <w:t>Journal of Vertebrate Paleontology</w:t>
      </w:r>
      <w:r w:rsidRPr="00027B73">
        <w:t xml:space="preserve"> </w:t>
      </w:r>
      <w:r w:rsidRPr="00027B73">
        <w:rPr>
          <w:b/>
        </w:rPr>
        <w:t>41</w:t>
      </w:r>
      <w:r w:rsidRPr="00027B73">
        <w:t>, e1927749 (2021).</w:t>
      </w:r>
    </w:p>
    <w:p w14:paraId="4389C692" w14:textId="45B92065" w:rsidR="00027B73" w:rsidRPr="00027B73" w:rsidRDefault="00027B73" w:rsidP="00027B73">
      <w:pPr>
        <w:pStyle w:val="EndNoteBibliography"/>
        <w:ind w:left="720" w:hanging="720"/>
      </w:pPr>
      <w:r w:rsidRPr="00027B73">
        <w:t xml:space="preserve">Reiss, J. Palatal metamorphosis in basal caecilians (Amphibia: Gymnophiona) as evidence for lissamphibian monophyly. </w:t>
      </w:r>
      <w:r w:rsidRPr="00027B73">
        <w:rPr>
          <w:i/>
        </w:rPr>
        <w:t>Journal of Herpetology</w:t>
      </w:r>
      <w:r w:rsidRPr="00027B73">
        <w:t>, 27-39 (1996).</w:t>
      </w:r>
    </w:p>
    <w:p w14:paraId="02259777" w14:textId="02133533" w:rsidR="00027B73" w:rsidRPr="00027B73" w:rsidRDefault="00027B73" w:rsidP="00027B73">
      <w:pPr>
        <w:pStyle w:val="EndNoteBibliography"/>
        <w:ind w:left="720" w:hanging="720"/>
      </w:pPr>
      <w:r w:rsidRPr="00027B73">
        <w:t xml:space="preserve">Reisz, R. R., Schoch, R. R. &amp; Anderson, J. S. The armoured dissorophid </w:t>
      </w:r>
      <w:r w:rsidRPr="00027B73">
        <w:rPr>
          <w:i/>
        </w:rPr>
        <w:t>Cacops</w:t>
      </w:r>
      <w:r w:rsidRPr="00027B73">
        <w:t xml:space="preserve"> from the Early Permian of Oklahoma and the exploitation of the terrestrial realm by amphibians. </w:t>
      </w:r>
      <w:r w:rsidRPr="00027B73">
        <w:rPr>
          <w:i/>
        </w:rPr>
        <w:t>Naturwissenschaften</w:t>
      </w:r>
      <w:r w:rsidRPr="00027B73">
        <w:t xml:space="preserve"> </w:t>
      </w:r>
      <w:r w:rsidRPr="00027B73">
        <w:rPr>
          <w:b/>
        </w:rPr>
        <w:t>96</w:t>
      </w:r>
      <w:r w:rsidRPr="00027B73">
        <w:t>, 789-796 (2009).</w:t>
      </w:r>
    </w:p>
    <w:p w14:paraId="13998905" w14:textId="6BE351B1" w:rsidR="00027B73" w:rsidRPr="00027B73" w:rsidRDefault="00027B73" w:rsidP="00027B73">
      <w:pPr>
        <w:pStyle w:val="EndNoteBibliography"/>
        <w:ind w:left="720" w:hanging="720"/>
      </w:pPr>
      <w:r w:rsidRPr="00027B73">
        <w:t xml:space="preserve">Robinson, J., Ahlberg, P. &amp; Koentges, G. The braincase and middle ear region of </w:t>
      </w:r>
      <w:r w:rsidRPr="00027B73">
        <w:rPr>
          <w:i/>
        </w:rPr>
        <w:t xml:space="preserve">Dendrerpeton acadianum </w:t>
      </w:r>
      <w:r w:rsidRPr="00027B73">
        <w:t xml:space="preserve">(Tetrapoda: Temnospondyli). </w:t>
      </w:r>
      <w:r w:rsidRPr="00027B73">
        <w:rPr>
          <w:i/>
        </w:rPr>
        <w:t>Zoological Journal of the Linnean Society</w:t>
      </w:r>
      <w:r w:rsidRPr="00027B73">
        <w:t xml:space="preserve"> </w:t>
      </w:r>
      <w:r w:rsidRPr="00027B73">
        <w:rPr>
          <w:b/>
        </w:rPr>
        <w:t>143</w:t>
      </w:r>
      <w:r w:rsidRPr="00027B73">
        <w:t>, 577-597 (2005).</w:t>
      </w:r>
    </w:p>
    <w:p w14:paraId="5676EDCE" w14:textId="64A48616" w:rsidR="00027B73" w:rsidRPr="00027B73" w:rsidRDefault="00027B73" w:rsidP="00027B73">
      <w:pPr>
        <w:pStyle w:val="EndNoteBibliography"/>
        <w:ind w:left="720" w:hanging="720"/>
      </w:pPr>
      <w:r w:rsidRPr="00027B73">
        <w:t>Roelants, K.</w:t>
      </w:r>
      <w:r w:rsidRPr="00027B73">
        <w:rPr>
          <w:i/>
        </w:rPr>
        <w:t xml:space="preserve"> et al.</w:t>
      </w:r>
      <w:r w:rsidRPr="00027B73">
        <w:t xml:space="preserve"> Global patterns of diversification in the history of modern amphibians.</w:t>
      </w:r>
      <w:r w:rsidRPr="00027B73">
        <w:rPr>
          <w:i/>
        </w:rPr>
        <w:t>Proceedings of the National Academy of Sciences</w:t>
      </w:r>
      <w:r w:rsidRPr="00027B73">
        <w:t xml:space="preserve"> </w:t>
      </w:r>
      <w:r w:rsidRPr="00027B73">
        <w:rPr>
          <w:b/>
        </w:rPr>
        <w:t>104</w:t>
      </w:r>
      <w:r w:rsidRPr="00027B73">
        <w:t>, 887-892 (2007).</w:t>
      </w:r>
    </w:p>
    <w:p w14:paraId="7AAECBA5" w14:textId="64814BFD" w:rsidR="00027B73" w:rsidRPr="00027B73" w:rsidRDefault="00027B73" w:rsidP="00027B73">
      <w:pPr>
        <w:pStyle w:val="EndNoteBibliography"/>
        <w:ind w:left="720" w:hanging="720"/>
      </w:pPr>
      <w:r w:rsidRPr="00027B73">
        <w:t xml:space="preserve">Romer, A. S. A temnospondylous labyrinthodont from the Lower Carboniferous. </w:t>
      </w:r>
      <w:r w:rsidRPr="00027B73">
        <w:rPr>
          <w:i/>
        </w:rPr>
        <w:t>Kirtlandia</w:t>
      </w:r>
      <w:r w:rsidRPr="00027B73">
        <w:t xml:space="preserve"> </w:t>
      </w:r>
      <w:r w:rsidRPr="00027B73">
        <w:rPr>
          <w:b/>
        </w:rPr>
        <w:t>6</w:t>
      </w:r>
      <w:r w:rsidRPr="00027B73">
        <w:t>, 1-20 (1969).</w:t>
      </w:r>
    </w:p>
    <w:p w14:paraId="7BF84090" w14:textId="427E40C2" w:rsidR="00027B73" w:rsidRPr="00027B73" w:rsidRDefault="00027B73" w:rsidP="00027B73">
      <w:pPr>
        <w:pStyle w:val="EndNoteBibliography"/>
        <w:ind w:left="720" w:hanging="720"/>
      </w:pPr>
      <w:r w:rsidRPr="00027B73">
        <w:t xml:space="preserve">Romer, A. S. &amp; Witter, R. V. </w:t>
      </w:r>
      <w:r w:rsidRPr="00027B73">
        <w:rPr>
          <w:i/>
        </w:rPr>
        <w:t>Edops</w:t>
      </w:r>
      <w:r w:rsidRPr="00027B73">
        <w:t xml:space="preserve">, a primitive rhachitomous amphibian from the Texas red beds. </w:t>
      </w:r>
      <w:r w:rsidRPr="00027B73">
        <w:rPr>
          <w:i/>
        </w:rPr>
        <w:t>The Journal of Geology</w:t>
      </w:r>
      <w:r w:rsidRPr="00027B73">
        <w:t xml:space="preserve"> </w:t>
      </w:r>
      <w:r w:rsidRPr="00027B73">
        <w:rPr>
          <w:b/>
        </w:rPr>
        <w:t>50</w:t>
      </w:r>
      <w:r w:rsidRPr="00027B73">
        <w:t>, 925-960 (1942).</w:t>
      </w:r>
    </w:p>
    <w:p w14:paraId="76D5520F" w14:textId="1B82EA62" w:rsidR="00027B73" w:rsidRPr="00027B73" w:rsidRDefault="00027B73" w:rsidP="00027B73">
      <w:pPr>
        <w:pStyle w:val="EndNoteBibliography"/>
        <w:ind w:left="720" w:hanging="720"/>
      </w:pPr>
      <w:r w:rsidRPr="00027B73">
        <w:t xml:space="preserve">Roquet, C., Lavergne, S. &amp; Thuiller, W. One tree to link them all: a phylogenetic dataset for the European tetrapoda. </w:t>
      </w:r>
      <w:r w:rsidRPr="00027B73">
        <w:rPr>
          <w:i/>
        </w:rPr>
        <w:t xml:space="preserve">PLoS </w:t>
      </w:r>
      <w:r w:rsidR="004B0E82">
        <w:rPr>
          <w:i/>
        </w:rPr>
        <w:t>C</w:t>
      </w:r>
      <w:r w:rsidRPr="00027B73">
        <w:rPr>
          <w:i/>
        </w:rPr>
        <w:t>urrents</w:t>
      </w:r>
      <w:r w:rsidRPr="00027B73">
        <w:t xml:space="preserve"> </w:t>
      </w:r>
      <w:r w:rsidRPr="00027B73">
        <w:rPr>
          <w:b/>
        </w:rPr>
        <w:t>6</w:t>
      </w:r>
      <w:r w:rsidRPr="00027B73">
        <w:t xml:space="preserve"> (2014).</w:t>
      </w:r>
    </w:p>
    <w:p w14:paraId="3DC53BB6" w14:textId="45651E83" w:rsidR="00027B73" w:rsidRPr="00027B73" w:rsidRDefault="00027B73" w:rsidP="00027B73">
      <w:pPr>
        <w:pStyle w:val="EndNoteBibliography"/>
        <w:ind w:left="720" w:hanging="720"/>
      </w:pPr>
      <w:r w:rsidRPr="00027B73">
        <w:t xml:space="preserve">Ruane, S., Pyron, R. &amp; Burbrink, F. Phylogenetic relationships of the Cretaceous frog </w:t>
      </w:r>
      <w:r w:rsidRPr="00027B73">
        <w:rPr>
          <w:i/>
        </w:rPr>
        <w:t xml:space="preserve">Beelzebufo </w:t>
      </w:r>
      <w:r w:rsidRPr="00027B73">
        <w:t xml:space="preserve">from Madagascar and the placement of fossil constraints based on temporal and phylogenetic evidence. </w:t>
      </w:r>
      <w:r w:rsidRPr="00027B73">
        <w:rPr>
          <w:i/>
        </w:rPr>
        <w:t>Journal of Evolutionary Biology</w:t>
      </w:r>
      <w:r w:rsidRPr="00027B73">
        <w:t xml:space="preserve"> </w:t>
      </w:r>
      <w:r w:rsidRPr="00027B73">
        <w:rPr>
          <w:b/>
        </w:rPr>
        <w:t>24</w:t>
      </w:r>
      <w:r w:rsidRPr="00027B73">
        <w:t>, 274-285 (2011).</w:t>
      </w:r>
    </w:p>
    <w:p w14:paraId="03A64DF3" w14:textId="63B614D1" w:rsidR="00027B73" w:rsidRPr="00027B73" w:rsidRDefault="00027B73" w:rsidP="00027B73">
      <w:pPr>
        <w:pStyle w:val="EndNoteBibliography"/>
        <w:ind w:left="720" w:hanging="720"/>
      </w:pPr>
      <w:r w:rsidRPr="00027B73">
        <w:t xml:space="preserve">Ruta, M. &amp; Bolt, J. R. A reassessment of the temnospondyl amphibian </w:t>
      </w:r>
      <w:r w:rsidRPr="00027B73">
        <w:rPr>
          <w:i/>
        </w:rPr>
        <w:t xml:space="preserve">Perryella olsoni </w:t>
      </w:r>
      <w:r w:rsidRPr="00027B73">
        <w:t xml:space="preserve">from the Lower Permian of Oklahoma. </w:t>
      </w:r>
      <w:r w:rsidRPr="00027B73">
        <w:rPr>
          <w:i/>
        </w:rPr>
        <w:t>Earth and Environmental Science Transactions of The Royal Society of Edinburgh</w:t>
      </w:r>
      <w:r w:rsidRPr="00027B73">
        <w:t xml:space="preserve"> </w:t>
      </w:r>
      <w:r w:rsidRPr="00027B73">
        <w:rPr>
          <w:b/>
        </w:rPr>
        <w:t>97</w:t>
      </w:r>
      <w:r w:rsidRPr="00027B73">
        <w:t>, 113-165 (2006).</w:t>
      </w:r>
    </w:p>
    <w:p w14:paraId="79372AE1" w14:textId="0A8E6080" w:rsidR="00027B73" w:rsidRPr="00027B73" w:rsidRDefault="00027B73" w:rsidP="00027B73">
      <w:pPr>
        <w:pStyle w:val="EndNoteBibliography"/>
        <w:ind w:left="720" w:hanging="720"/>
      </w:pPr>
      <w:r w:rsidRPr="00027B73">
        <w:t xml:space="preserve">Ruta, M. &amp; Bolt, J. R. The brachyopoid </w:t>
      </w:r>
      <w:r w:rsidRPr="00027B73">
        <w:rPr>
          <w:i/>
        </w:rPr>
        <w:t xml:space="preserve">Hadrokkosaurus bradyi </w:t>
      </w:r>
      <w:r w:rsidRPr="00027B73">
        <w:t xml:space="preserve">from the early Middle Triassic of Arizona, and a phylogenetic analysis of lower jaw characters in temnospondyl amphibians. </w:t>
      </w:r>
      <w:r w:rsidRPr="00027B73">
        <w:rPr>
          <w:i/>
        </w:rPr>
        <w:t>Acta Palaeontologica Polonica</w:t>
      </w:r>
      <w:r w:rsidRPr="00027B73">
        <w:t xml:space="preserve"> </w:t>
      </w:r>
      <w:r w:rsidRPr="00027B73">
        <w:rPr>
          <w:b/>
        </w:rPr>
        <w:t>53</w:t>
      </w:r>
      <w:r w:rsidRPr="00027B73">
        <w:t>, 579-592 (2008).</w:t>
      </w:r>
    </w:p>
    <w:p w14:paraId="5FD7E41F" w14:textId="45C275FB" w:rsidR="00027B73" w:rsidRPr="00027B73" w:rsidRDefault="00027B73" w:rsidP="00027B73">
      <w:pPr>
        <w:pStyle w:val="EndNoteBibliography"/>
        <w:ind w:left="720" w:hanging="720"/>
      </w:pPr>
      <w:r w:rsidRPr="00027B73">
        <w:t xml:space="preserve">San Mauro, D. A multilocus timescale for the origin of extant amphibians. </w:t>
      </w:r>
      <w:r w:rsidRPr="00027B73">
        <w:rPr>
          <w:i/>
        </w:rPr>
        <w:t>Molecular Phylogenetics and Evolution</w:t>
      </w:r>
      <w:r w:rsidRPr="00027B73">
        <w:t xml:space="preserve"> </w:t>
      </w:r>
      <w:r w:rsidRPr="00027B73">
        <w:rPr>
          <w:b/>
        </w:rPr>
        <w:t>56</w:t>
      </w:r>
      <w:r w:rsidRPr="00027B73">
        <w:t>, 554-561 (2010).</w:t>
      </w:r>
    </w:p>
    <w:p w14:paraId="4D93EAA5" w14:textId="55310BD1" w:rsidR="00027B73" w:rsidRPr="00027B73" w:rsidRDefault="00027B73" w:rsidP="00027B73">
      <w:pPr>
        <w:pStyle w:val="EndNoteBibliography"/>
        <w:ind w:left="720" w:hanging="720"/>
      </w:pPr>
      <w:r w:rsidRPr="00027B73">
        <w:t>San Mauro, D.</w:t>
      </w:r>
      <w:r w:rsidRPr="00027B73">
        <w:rPr>
          <w:i/>
        </w:rPr>
        <w:t xml:space="preserve"> et al.</w:t>
      </w:r>
      <w:r w:rsidRPr="00027B73">
        <w:t xml:space="preserve"> Life-history evolution and mitogenomic phylogeny of caecilian amphibians. </w:t>
      </w:r>
      <w:r w:rsidRPr="00027B73">
        <w:rPr>
          <w:i/>
        </w:rPr>
        <w:t xml:space="preserve">Molecular </w:t>
      </w:r>
      <w:r w:rsidR="00B939E4">
        <w:rPr>
          <w:i/>
        </w:rPr>
        <w:t>P</w:t>
      </w:r>
      <w:r w:rsidRPr="00027B73">
        <w:rPr>
          <w:i/>
        </w:rPr>
        <w:t xml:space="preserve">hylogenetics and </w:t>
      </w:r>
      <w:r w:rsidR="00B939E4">
        <w:rPr>
          <w:i/>
        </w:rPr>
        <w:t>E</w:t>
      </w:r>
      <w:r w:rsidRPr="00027B73">
        <w:rPr>
          <w:i/>
        </w:rPr>
        <w:t>volution</w:t>
      </w:r>
      <w:r w:rsidRPr="00027B73">
        <w:t xml:space="preserve"> </w:t>
      </w:r>
      <w:r w:rsidRPr="00027B73">
        <w:rPr>
          <w:b/>
        </w:rPr>
        <w:t>73</w:t>
      </w:r>
      <w:r w:rsidRPr="00027B73">
        <w:t>, 177-189 (2014).</w:t>
      </w:r>
    </w:p>
    <w:p w14:paraId="305D71C9" w14:textId="7CFE51BA" w:rsidR="00027B73" w:rsidRPr="00027B73" w:rsidRDefault="00027B73" w:rsidP="00027B73">
      <w:pPr>
        <w:pStyle w:val="EndNoteBibliography"/>
        <w:ind w:left="720" w:hanging="720"/>
      </w:pPr>
      <w:r w:rsidRPr="00027B73">
        <w:t xml:space="preserve">San Mauro, D., Vences, M., Alcobendas, M., Zardoya, R. &amp; Meyer, A. Initial diversification of living amphibians predated the breakup of Pangaea. </w:t>
      </w:r>
      <w:r w:rsidRPr="00027B73">
        <w:rPr>
          <w:i/>
        </w:rPr>
        <w:t>The American Naturalist</w:t>
      </w:r>
      <w:r w:rsidRPr="00027B73">
        <w:t xml:space="preserve"> </w:t>
      </w:r>
      <w:r w:rsidRPr="00027B73">
        <w:rPr>
          <w:b/>
        </w:rPr>
        <w:t>165</w:t>
      </w:r>
      <w:r w:rsidRPr="00027B73">
        <w:t>, 590-599 (2005).</w:t>
      </w:r>
    </w:p>
    <w:p w14:paraId="151DDBF0" w14:textId="7B1DEF76" w:rsidR="00027B73" w:rsidRPr="00027B73" w:rsidRDefault="00027B73" w:rsidP="00027B73">
      <w:pPr>
        <w:pStyle w:val="EndNoteBibliography"/>
        <w:ind w:left="720" w:hanging="720"/>
      </w:pPr>
      <w:r w:rsidRPr="00027B73">
        <w:t>Santos, J. C.</w:t>
      </w:r>
      <w:r w:rsidRPr="00027B73">
        <w:rPr>
          <w:i/>
        </w:rPr>
        <w:t xml:space="preserve"> et al.</w:t>
      </w:r>
      <w:r w:rsidRPr="00027B73">
        <w:t xml:space="preserve"> Amazonian amphibian diversity is primarily derived from late Miocene Andean lineages. </w:t>
      </w:r>
      <w:r w:rsidRPr="00027B73">
        <w:rPr>
          <w:i/>
        </w:rPr>
        <w:t>PLoS biology</w:t>
      </w:r>
      <w:r w:rsidRPr="00027B73">
        <w:t xml:space="preserve"> </w:t>
      </w:r>
      <w:r w:rsidRPr="00027B73">
        <w:rPr>
          <w:b/>
        </w:rPr>
        <w:t>7</w:t>
      </w:r>
      <w:r w:rsidRPr="00027B73">
        <w:t>, e1000056 (2009).</w:t>
      </w:r>
    </w:p>
    <w:p w14:paraId="7B9A6EF1" w14:textId="1DB1EB44" w:rsidR="00027B73" w:rsidRPr="00027B73" w:rsidRDefault="00027B73" w:rsidP="00027B73">
      <w:pPr>
        <w:pStyle w:val="EndNoteBibliography"/>
        <w:ind w:left="720" w:hanging="720"/>
      </w:pPr>
      <w:r w:rsidRPr="00027B73">
        <w:t xml:space="preserve">Santos, R. O., Laurin, M. &amp; Zaher, H. A review of the fossil record of caecilians (Lissamphibia: Gymnophionomorpha) with comments on its use to calibrate molecular timetrees. </w:t>
      </w:r>
      <w:r w:rsidRPr="00027B73">
        <w:rPr>
          <w:i/>
        </w:rPr>
        <w:t>Biological Journal of the Linnean Society</w:t>
      </w:r>
      <w:r w:rsidRPr="00027B73">
        <w:t xml:space="preserve"> </w:t>
      </w:r>
      <w:r w:rsidRPr="00027B73">
        <w:rPr>
          <w:b/>
        </w:rPr>
        <w:t>131</w:t>
      </w:r>
      <w:r w:rsidRPr="00027B73">
        <w:t>, 737-755 (2020).</w:t>
      </w:r>
    </w:p>
    <w:p w14:paraId="41F4AF25" w14:textId="71BEC1DB" w:rsidR="00027B73" w:rsidRPr="00027B73" w:rsidRDefault="00027B73" w:rsidP="00027B73">
      <w:pPr>
        <w:pStyle w:val="EndNoteBibliography"/>
        <w:ind w:left="720" w:hanging="720"/>
      </w:pPr>
      <w:r w:rsidRPr="00027B73">
        <w:t xml:space="preserve">Säve-Söderbergh, G. On the Dermal Bones of the Head in Labyrinthodont Stegocephalians and Primitive Reptilia: With Special Reference to Eotriassic Stegocephalians from East Greenland. </w:t>
      </w:r>
      <w:r w:rsidRPr="00027B73">
        <w:rPr>
          <w:i/>
        </w:rPr>
        <w:t xml:space="preserve">Meddelelser om Grønland </w:t>
      </w:r>
      <w:r w:rsidRPr="00027B73">
        <w:rPr>
          <w:b/>
        </w:rPr>
        <w:t>98</w:t>
      </w:r>
      <w:r w:rsidRPr="00027B73">
        <w:t>, 1-211 (1935).</w:t>
      </w:r>
    </w:p>
    <w:p w14:paraId="2C5F44F5" w14:textId="2FFB316B" w:rsidR="00027B73" w:rsidRPr="00027B73" w:rsidRDefault="00027B73" w:rsidP="00027B73">
      <w:pPr>
        <w:pStyle w:val="EndNoteBibliography"/>
        <w:ind w:left="720" w:hanging="720"/>
      </w:pPr>
      <w:r w:rsidRPr="00027B73">
        <w:t xml:space="preserve">Sawin, H. J. The cranial anatomy of </w:t>
      </w:r>
      <w:r w:rsidRPr="00027B73">
        <w:rPr>
          <w:i/>
        </w:rPr>
        <w:t>Eryops megacephalus</w:t>
      </w:r>
      <w:r w:rsidRPr="00027B73">
        <w:t xml:space="preserve">. </w:t>
      </w:r>
      <w:r w:rsidRPr="00027B73">
        <w:rPr>
          <w:i/>
        </w:rPr>
        <w:t>Bulletin of the Museum of Comparative Zoology</w:t>
      </w:r>
      <w:r w:rsidRPr="00027B73">
        <w:t xml:space="preserve"> </w:t>
      </w:r>
      <w:r w:rsidRPr="00027B73">
        <w:rPr>
          <w:b/>
        </w:rPr>
        <w:t>88</w:t>
      </w:r>
      <w:r w:rsidRPr="00027B73">
        <w:t>, 405-463 (1941).</w:t>
      </w:r>
    </w:p>
    <w:p w14:paraId="5A63B8EA" w14:textId="082A0F11" w:rsidR="00027B73" w:rsidRPr="00027B73" w:rsidRDefault="00027B73" w:rsidP="00027B73">
      <w:pPr>
        <w:pStyle w:val="EndNoteBibliography"/>
        <w:ind w:left="720" w:hanging="720"/>
      </w:pPr>
      <w:r w:rsidRPr="00027B73">
        <w:t xml:space="preserve">Schoch, R. R. Cranial anatomy of the Permian temnospondyl amphibian </w:t>
      </w:r>
      <w:r w:rsidRPr="00027B73">
        <w:rPr>
          <w:i/>
        </w:rPr>
        <w:t>Zatrachys serratus</w:t>
      </w:r>
      <w:r w:rsidRPr="00027B73">
        <w:t xml:space="preserve"> Cope 1878, and the phylogenetic position of the Zatrachydidae. </w:t>
      </w:r>
      <w:r w:rsidRPr="00027B73">
        <w:rPr>
          <w:i/>
        </w:rPr>
        <w:t>Neues Jahrbuch für Geologie und Paläontologie-Abhandlungen</w:t>
      </w:r>
      <w:r w:rsidRPr="00027B73">
        <w:t>, 223-248 (1997).</w:t>
      </w:r>
    </w:p>
    <w:p w14:paraId="2B7FB604" w14:textId="77777777" w:rsidR="007C62B5" w:rsidRPr="00027B73" w:rsidRDefault="007C62B5" w:rsidP="007C62B5">
      <w:pPr>
        <w:pStyle w:val="EndNoteBibliography"/>
        <w:ind w:left="720" w:hanging="720"/>
      </w:pPr>
      <w:r w:rsidRPr="00027B73">
        <w:t xml:space="preserve">Schoch, R. R. </w:t>
      </w:r>
      <w:r>
        <w:t xml:space="preserve">Comparative osteology of </w:t>
      </w:r>
      <w:r w:rsidRPr="007C62B5">
        <w:rPr>
          <w:i/>
          <w:iCs/>
        </w:rPr>
        <w:t>Mastodonsaurus giganteus</w:t>
      </w:r>
      <w:r w:rsidRPr="00027B73">
        <w:t xml:space="preserve"> </w:t>
      </w:r>
      <w:r>
        <w:t>(Jaeger, 1828) from the Middle Triassic (Lettenkeuper: Longobardian) of Germany (</w:t>
      </w:r>
      <w:r w:rsidRPr="007C62B5">
        <w:t>Baden-Württemberg, Bayern, Thüringen</w:t>
      </w:r>
      <w:r>
        <w:t>)</w:t>
      </w:r>
      <w:r w:rsidRPr="007C62B5">
        <w:rPr>
          <w:i/>
        </w:rPr>
        <w:t xml:space="preserve"> </w:t>
      </w:r>
      <w:r w:rsidRPr="00027B73">
        <w:rPr>
          <w:i/>
        </w:rPr>
        <w:t>Neues Jahrbuch für Geologie und Paläontologie-Abhandlungen</w:t>
      </w:r>
      <w:r w:rsidRPr="00027B73">
        <w:t xml:space="preserve"> </w:t>
      </w:r>
      <w:r w:rsidRPr="00027B73">
        <w:rPr>
          <w:b/>
        </w:rPr>
        <w:t>2</w:t>
      </w:r>
      <w:r>
        <w:rPr>
          <w:b/>
        </w:rPr>
        <w:t>78</w:t>
      </w:r>
      <w:r w:rsidRPr="00027B73">
        <w:t>,</w:t>
      </w:r>
      <w:r>
        <w:t xml:space="preserve"> 1-175</w:t>
      </w:r>
      <w:r w:rsidRPr="00027B73">
        <w:t xml:space="preserve"> (1999</w:t>
      </w:r>
      <w:r>
        <w:t>a</w:t>
      </w:r>
      <w:r w:rsidRPr="00027B73">
        <w:t>).</w:t>
      </w:r>
    </w:p>
    <w:p w14:paraId="69487177" w14:textId="6506A280" w:rsidR="00027B73" w:rsidRPr="00027B73" w:rsidRDefault="00027B73" w:rsidP="00027B73">
      <w:pPr>
        <w:pStyle w:val="EndNoteBibliography"/>
        <w:ind w:left="720" w:hanging="720"/>
      </w:pPr>
      <w:r w:rsidRPr="00027B73">
        <w:t xml:space="preserve">Schoch, R. R. Studies on braincases of early tetrapods: structure, morphological diversity, and phylogeny-2. Dissorophoids, eryopids, and stereospondyls. </w:t>
      </w:r>
      <w:r w:rsidRPr="00027B73">
        <w:rPr>
          <w:i/>
        </w:rPr>
        <w:t>Neues Jahrbuch für Geologie und Paläontologie-Abhandlungen</w:t>
      </w:r>
      <w:r w:rsidRPr="00027B73">
        <w:t xml:space="preserve"> </w:t>
      </w:r>
      <w:r w:rsidRPr="00027B73">
        <w:rPr>
          <w:b/>
        </w:rPr>
        <w:t>213</w:t>
      </w:r>
      <w:r w:rsidRPr="00027B73">
        <w:t>, 289-312 (1999</w:t>
      </w:r>
      <w:r w:rsidR="007C62B5">
        <w:t>b</w:t>
      </w:r>
      <w:r w:rsidRPr="00027B73">
        <w:t>).</w:t>
      </w:r>
    </w:p>
    <w:p w14:paraId="2C674286" w14:textId="04945E97" w:rsidR="00027B73" w:rsidRPr="00027B73" w:rsidRDefault="00027B73" w:rsidP="00027B73">
      <w:pPr>
        <w:pStyle w:val="EndNoteBibliography"/>
        <w:ind w:left="720" w:hanging="720"/>
      </w:pPr>
      <w:r w:rsidRPr="00027B73">
        <w:t xml:space="preserve">Schoch, R. R. The origin and intrarelationships of Triassic capitosaurid amphibians. </w:t>
      </w:r>
      <w:r w:rsidRPr="00027B73">
        <w:rPr>
          <w:i/>
        </w:rPr>
        <w:t>Palaeontology</w:t>
      </w:r>
      <w:r w:rsidRPr="00027B73">
        <w:t xml:space="preserve"> </w:t>
      </w:r>
      <w:r w:rsidRPr="00027B73">
        <w:rPr>
          <w:b/>
        </w:rPr>
        <w:t>43</w:t>
      </w:r>
      <w:r w:rsidRPr="00027B73">
        <w:t>, 705-727 (2000).</w:t>
      </w:r>
    </w:p>
    <w:p w14:paraId="7113C2B9" w14:textId="709A6218" w:rsidR="00027B73" w:rsidRPr="00027B73" w:rsidRDefault="00027B73" w:rsidP="00027B73">
      <w:pPr>
        <w:pStyle w:val="EndNoteBibliography"/>
        <w:ind w:left="720" w:hanging="720"/>
      </w:pPr>
      <w:r w:rsidRPr="00027B73">
        <w:t xml:space="preserve">Schoch, R. R. Early larval ontogeny of the Permo‐Carboniferous temnospondyl </w:t>
      </w:r>
      <w:r w:rsidRPr="00027B73">
        <w:rPr>
          <w:i/>
        </w:rPr>
        <w:t>Sclerocephalus</w:t>
      </w:r>
      <w:r w:rsidRPr="00027B73">
        <w:t xml:space="preserve">. </w:t>
      </w:r>
      <w:r w:rsidRPr="00027B73">
        <w:rPr>
          <w:i/>
        </w:rPr>
        <w:t>Palaeontology</w:t>
      </w:r>
      <w:r w:rsidRPr="00027B73">
        <w:t xml:space="preserve"> </w:t>
      </w:r>
      <w:r w:rsidRPr="00027B73">
        <w:rPr>
          <w:b/>
        </w:rPr>
        <w:t>46</w:t>
      </w:r>
      <w:r w:rsidRPr="00027B73">
        <w:t>, 1055-1072 (2003).</w:t>
      </w:r>
    </w:p>
    <w:p w14:paraId="2203EA58" w14:textId="60B80925" w:rsidR="00027B73" w:rsidRPr="00027B73" w:rsidRDefault="00027B73" w:rsidP="00027B73">
      <w:pPr>
        <w:pStyle w:val="EndNoteBibliography"/>
        <w:ind w:left="720" w:hanging="720"/>
      </w:pPr>
      <w:r w:rsidRPr="00027B73">
        <w:t xml:space="preserve">Schoch, R. R. A complete trematosaurid amphibian from the Middle Triassic of Germany. </w:t>
      </w:r>
      <w:r w:rsidRPr="00027B73">
        <w:rPr>
          <w:i/>
        </w:rPr>
        <w:t>Journal of Vertebrate Paleontology</w:t>
      </w:r>
      <w:r w:rsidRPr="00027B73">
        <w:t xml:space="preserve"> </w:t>
      </w:r>
      <w:r w:rsidRPr="00027B73">
        <w:rPr>
          <w:b/>
        </w:rPr>
        <w:t>26</w:t>
      </w:r>
      <w:r w:rsidRPr="00027B73">
        <w:t>, 29-43 (2006).</w:t>
      </w:r>
    </w:p>
    <w:p w14:paraId="0F73AB50" w14:textId="76740C34" w:rsidR="00027B73" w:rsidRPr="00027B73" w:rsidRDefault="00027B73" w:rsidP="00027B73">
      <w:pPr>
        <w:pStyle w:val="EndNoteBibliography"/>
        <w:ind w:left="720" w:hanging="720"/>
      </w:pPr>
      <w:r w:rsidRPr="00027B73">
        <w:t xml:space="preserve">Schoch, R. R. The Capitosauria (Amphibia): characters, phylogeny, and stratigraphy. </w:t>
      </w:r>
      <w:r w:rsidRPr="00027B73">
        <w:rPr>
          <w:i/>
        </w:rPr>
        <w:t>Palaeodiversity</w:t>
      </w:r>
      <w:r w:rsidRPr="00027B73">
        <w:t xml:space="preserve"> </w:t>
      </w:r>
      <w:r w:rsidRPr="00027B73">
        <w:rPr>
          <w:b/>
        </w:rPr>
        <w:t>1</w:t>
      </w:r>
      <w:r w:rsidRPr="00027B73">
        <w:t>, 189-226 (2008</w:t>
      </w:r>
      <w:r w:rsidR="002639C2">
        <w:t>a</w:t>
      </w:r>
      <w:r w:rsidRPr="00027B73">
        <w:t>).</w:t>
      </w:r>
    </w:p>
    <w:p w14:paraId="261182CB" w14:textId="7CFBA244" w:rsidR="00027B73" w:rsidRPr="00027B73" w:rsidRDefault="00027B73" w:rsidP="00027B73">
      <w:pPr>
        <w:pStyle w:val="EndNoteBibliography"/>
        <w:ind w:left="720" w:hanging="720"/>
      </w:pPr>
      <w:r w:rsidRPr="00027B73">
        <w:t xml:space="preserve">Schoch, R. R. A new stereospondyl from the German Middle Triassic, and the origin of the Metoposauridae. </w:t>
      </w:r>
      <w:r w:rsidRPr="00027B73">
        <w:rPr>
          <w:i/>
        </w:rPr>
        <w:t>Zoological Journal of the Linnean Society</w:t>
      </w:r>
      <w:r w:rsidRPr="00027B73">
        <w:t xml:space="preserve"> </w:t>
      </w:r>
      <w:r w:rsidRPr="00027B73">
        <w:rPr>
          <w:b/>
        </w:rPr>
        <w:t>152</w:t>
      </w:r>
      <w:r w:rsidRPr="00027B73">
        <w:t>, 79-113 (2008</w:t>
      </w:r>
      <w:r w:rsidR="002639C2">
        <w:t>b</w:t>
      </w:r>
      <w:r w:rsidRPr="00027B73">
        <w:t>).</w:t>
      </w:r>
    </w:p>
    <w:p w14:paraId="31267974" w14:textId="0A44938F" w:rsidR="00027B73" w:rsidRPr="00027B73" w:rsidRDefault="00027B73" w:rsidP="00027B73">
      <w:pPr>
        <w:pStyle w:val="EndNoteBibliography"/>
        <w:ind w:left="720" w:hanging="720"/>
      </w:pPr>
      <w:r w:rsidRPr="00027B73">
        <w:t xml:space="preserve">Schoch, R. R. Life‐cycle evolution as response to diverse lake habitats in Paleozoic amphibians. </w:t>
      </w:r>
      <w:r w:rsidRPr="00027B73">
        <w:rPr>
          <w:i/>
        </w:rPr>
        <w:t>Evolution: International Journal of Organic Evolution</w:t>
      </w:r>
      <w:r w:rsidRPr="00027B73">
        <w:t xml:space="preserve"> </w:t>
      </w:r>
      <w:r w:rsidRPr="00027B73">
        <w:rPr>
          <w:b/>
        </w:rPr>
        <w:t>63</w:t>
      </w:r>
      <w:r w:rsidRPr="00027B73">
        <w:t>, 2738-2749 (2009).</w:t>
      </w:r>
    </w:p>
    <w:p w14:paraId="43A1B87F" w14:textId="4E33BD26" w:rsidR="00027B73" w:rsidRPr="00027B73" w:rsidRDefault="00027B73" w:rsidP="00027B73">
      <w:pPr>
        <w:pStyle w:val="EndNoteBibliography"/>
        <w:ind w:left="720" w:hanging="720"/>
      </w:pPr>
      <w:r w:rsidRPr="00027B73">
        <w:t xml:space="preserve">Schoch, R. R. Character distribution and phylogeny of the dissorophid temnospondyls. </w:t>
      </w:r>
      <w:r w:rsidRPr="00027B73">
        <w:rPr>
          <w:i/>
        </w:rPr>
        <w:t>Fossil Record</w:t>
      </w:r>
      <w:r w:rsidRPr="00027B73">
        <w:t xml:space="preserve"> </w:t>
      </w:r>
      <w:r w:rsidRPr="00027B73">
        <w:rPr>
          <w:b/>
        </w:rPr>
        <w:t>15</w:t>
      </w:r>
      <w:r w:rsidRPr="00027B73">
        <w:t>, 121-137 (2012).</w:t>
      </w:r>
    </w:p>
    <w:p w14:paraId="7990EB62" w14:textId="6857E6A9" w:rsidR="00027B73" w:rsidRDefault="00027B73" w:rsidP="00027B73">
      <w:pPr>
        <w:pStyle w:val="EndNoteBibliography"/>
        <w:ind w:left="720" w:hanging="720"/>
      </w:pPr>
      <w:bookmarkStart w:id="33" w:name="_Hlk98872179"/>
      <w:r w:rsidRPr="00027B73">
        <w:t xml:space="preserve">Schoch, R. R. The evolution of major temnospondyl clades: an inclusive phylogenetic analysis. </w:t>
      </w:r>
      <w:r w:rsidRPr="00027B73">
        <w:rPr>
          <w:i/>
        </w:rPr>
        <w:t>Journal of Systematic Palaeontology</w:t>
      </w:r>
      <w:r w:rsidRPr="00027B73">
        <w:t xml:space="preserve"> </w:t>
      </w:r>
      <w:r w:rsidRPr="00027B73">
        <w:rPr>
          <w:b/>
        </w:rPr>
        <w:t>11</w:t>
      </w:r>
      <w:r w:rsidRPr="00027B73">
        <w:t>, 673-705 (2013).</w:t>
      </w:r>
      <w:bookmarkEnd w:id="33"/>
    </w:p>
    <w:p w14:paraId="5EC92D8F" w14:textId="4A327E4C" w:rsidR="00F26BDB" w:rsidRPr="00027B73" w:rsidRDefault="00F26BDB" w:rsidP="00B2362F">
      <w:pPr>
        <w:pStyle w:val="EndNoteBibliography"/>
        <w:ind w:left="720" w:hanging="720"/>
      </w:pPr>
      <w:r w:rsidRPr="00027B73">
        <w:t xml:space="preserve">Schoch, R. R. The stapes of </w:t>
      </w:r>
      <w:r w:rsidRPr="00027B73">
        <w:rPr>
          <w:i/>
        </w:rPr>
        <w:t xml:space="preserve">Edops craigi </w:t>
      </w:r>
      <w:r w:rsidRPr="00027B73">
        <w:t xml:space="preserve">and ear evolution in the lissamphibian stem group. </w:t>
      </w:r>
      <w:r w:rsidRPr="00027B73">
        <w:rPr>
          <w:i/>
        </w:rPr>
        <w:t>Acta Zoologica</w:t>
      </w:r>
      <w:r w:rsidRPr="00027B73">
        <w:t xml:space="preserve"> </w:t>
      </w:r>
      <w:r w:rsidRPr="00027B73">
        <w:rPr>
          <w:b/>
        </w:rPr>
        <w:t>100</w:t>
      </w:r>
      <w:r w:rsidRPr="00027B73">
        <w:t>, 126-134 (201</w:t>
      </w:r>
      <w:r>
        <w:t>7</w:t>
      </w:r>
      <w:r w:rsidRPr="00027B73">
        <w:t>).</w:t>
      </w:r>
    </w:p>
    <w:p w14:paraId="55576154" w14:textId="268B269B" w:rsidR="00027B73" w:rsidRPr="00027B73" w:rsidRDefault="00027B73" w:rsidP="00027B73">
      <w:pPr>
        <w:pStyle w:val="EndNoteBibliography"/>
        <w:ind w:left="720" w:hanging="720"/>
      </w:pPr>
      <w:bookmarkStart w:id="34" w:name="_Hlk98871827"/>
      <w:r w:rsidRPr="00027B73">
        <w:t xml:space="preserve">Schoch, R. R. The temnospondyl </w:t>
      </w:r>
      <w:r w:rsidRPr="00027B73">
        <w:rPr>
          <w:i/>
        </w:rPr>
        <w:t>Parotosuchus nasutus</w:t>
      </w:r>
      <w:r w:rsidRPr="00027B73">
        <w:t xml:space="preserve"> (v. Meyer, 1858) from the Early Triassic Middle Buntsandstein of Germany. </w:t>
      </w:r>
      <w:r w:rsidRPr="00027B73">
        <w:rPr>
          <w:i/>
        </w:rPr>
        <w:t>Palaeodiversity</w:t>
      </w:r>
      <w:r w:rsidRPr="00027B73">
        <w:t xml:space="preserve"> </w:t>
      </w:r>
      <w:r w:rsidRPr="00027B73">
        <w:rPr>
          <w:b/>
        </w:rPr>
        <w:t>11</w:t>
      </w:r>
      <w:r w:rsidRPr="00027B73">
        <w:t>, 107-126 (2018).</w:t>
      </w:r>
    </w:p>
    <w:bookmarkEnd w:id="34"/>
    <w:p w14:paraId="46CC7D20" w14:textId="1D5471EB" w:rsidR="00FA06B2" w:rsidRPr="00A155FA" w:rsidRDefault="00FA06B2" w:rsidP="00FA06B2">
      <w:pPr>
        <w:pStyle w:val="EndNoteBibliography"/>
        <w:ind w:left="720" w:hanging="720"/>
      </w:pPr>
      <w:r w:rsidRPr="00A155FA">
        <w:t xml:space="preserve">Schoch, R. R. The putative lissamphibian stem-group: phylogeny and evolution of the dissorophoid temnospondyls. </w:t>
      </w:r>
      <w:r w:rsidRPr="00A155FA">
        <w:rPr>
          <w:i/>
        </w:rPr>
        <w:t>Journal of Paleontology</w:t>
      </w:r>
      <w:r w:rsidRPr="00A155FA">
        <w:t xml:space="preserve"> </w:t>
      </w:r>
      <w:r w:rsidRPr="00A155FA">
        <w:rPr>
          <w:b/>
        </w:rPr>
        <w:t>93</w:t>
      </w:r>
      <w:r w:rsidRPr="00A155FA">
        <w:t>, 137-156 (2019a).</w:t>
      </w:r>
    </w:p>
    <w:p w14:paraId="58FFEE92" w14:textId="3F561BD6" w:rsidR="00AC0A52" w:rsidRDefault="00FA06B2" w:rsidP="00F26BDB">
      <w:pPr>
        <w:pStyle w:val="EndNoteBibliography"/>
        <w:ind w:left="720" w:hanging="720"/>
      </w:pPr>
      <w:r w:rsidRPr="00A155FA">
        <w:t xml:space="preserve">Schoch, R. R. Osteology of the temnospondyl </w:t>
      </w:r>
      <w:r w:rsidRPr="00A155FA">
        <w:rPr>
          <w:i/>
        </w:rPr>
        <w:t>Trematosaurus brauni</w:t>
      </w:r>
      <w:r w:rsidRPr="00A155FA">
        <w:t xml:space="preserve"> Burmeister, 1849 from the Middle Buntsandstein of Bernburg, Germany. </w:t>
      </w:r>
      <w:r w:rsidRPr="00A155FA">
        <w:rPr>
          <w:i/>
        </w:rPr>
        <w:t>Palaeodiversity</w:t>
      </w:r>
      <w:r w:rsidRPr="00A155FA">
        <w:t xml:space="preserve"> </w:t>
      </w:r>
      <w:r w:rsidRPr="00A155FA">
        <w:rPr>
          <w:b/>
        </w:rPr>
        <w:t>12</w:t>
      </w:r>
      <w:r w:rsidRPr="00A155FA">
        <w:t>, 41-63 (2019b).</w:t>
      </w:r>
    </w:p>
    <w:p w14:paraId="6F46CDC5" w14:textId="5CB2F8CE" w:rsidR="00027B73" w:rsidRPr="00027B73" w:rsidRDefault="00027B73" w:rsidP="00B2362F">
      <w:pPr>
        <w:pStyle w:val="EndNoteBibliography"/>
        <w:ind w:left="720" w:hanging="720"/>
      </w:pPr>
      <w:r w:rsidRPr="00027B73">
        <w:t xml:space="preserve">Schoch, R. R. &amp; Milner, A. R. </w:t>
      </w:r>
      <w:r w:rsidRPr="00027B73">
        <w:rPr>
          <w:i/>
        </w:rPr>
        <w:t>Encyclopedia of Paleoherpetology, Part 3B. Stereospondyli</w:t>
      </w:r>
      <w:r w:rsidRPr="00027B73">
        <w:t>.  (Verlag Dr Friedrich Pfeil, 2000).</w:t>
      </w:r>
    </w:p>
    <w:p w14:paraId="6F1FCC32" w14:textId="48C68AE6" w:rsidR="00027B73" w:rsidRPr="00027B73" w:rsidRDefault="00027B73" w:rsidP="00027B73">
      <w:pPr>
        <w:pStyle w:val="EndNoteBibliography"/>
        <w:ind w:left="720" w:hanging="720"/>
      </w:pPr>
      <w:r w:rsidRPr="00027B73">
        <w:t xml:space="preserve">Schoch, R. R. &amp; Milner, A. R. The intrarelationships and evolutionary history of the temnospondyl family Branchiosauridae. </w:t>
      </w:r>
      <w:r w:rsidRPr="00027B73">
        <w:rPr>
          <w:i/>
        </w:rPr>
        <w:t>Journal of Systematic Palaeontology</w:t>
      </w:r>
      <w:r w:rsidRPr="00027B73">
        <w:t xml:space="preserve"> </w:t>
      </w:r>
      <w:r w:rsidRPr="00027B73">
        <w:rPr>
          <w:b/>
        </w:rPr>
        <w:t>6</w:t>
      </w:r>
      <w:r w:rsidRPr="00027B73">
        <w:t>, 409-431 (2008).</w:t>
      </w:r>
    </w:p>
    <w:p w14:paraId="67CDA724" w14:textId="733A547E" w:rsidR="00027B73" w:rsidRPr="00027B73" w:rsidRDefault="00027B73" w:rsidP="00027B73">
      <w:pPr>
        <w:pStyle w:val="EndNoteBibliography"/>
        <w:ind w:left="720" w:hanging="720"/>
      </w:pPr>
      <w:r w:rsidRPr="00027B73">
        <w:t xml:space="preserve">Schoch, R. R. &amp; Milner, A. R. </w:t>
      </w:r>
      <w:r w:rsidRPr="00027B73">
        <w:rPr>
          <w:i/>
        </w:rPr>
        <w:t>Encyclopedia of Paleoherpetology, Part 3A.Temnospondyli</w:t>
      </w:r>
      <w:r w:rsidRPr="00027B73">
        <w:t>. (Verlag Dr. Friedrich Pfeil, 2014).</w:t>
      </w:r>
    </w:p>
    <w:p w14:paraId="14D02226" w14:textId="1A724830" w:rsidR="00027B73" w:rsidRPr="00027B73" w:rsidRDefault="00027B73" w:rsidP="00027B73">
      <w:pPr>
        <w:pStyle w:val="EndNoteBibliography"/>
        <w:ind w:left="720" w:hanging="720"/>
      </w:pPr>
      <w:r w:rsidRPr="00027B73">
        <w:t xml:space="preserve">Schoch, R. R. &amp; Milner, A. R. Morphology and relationships of the temnospondyl </w:t>
      </w:r>
      <w:r w:rsidRPr="00027B73">
        <w:rPr>
          <w:i/>
        </w:rPr>
        <w:t xml:space="preserve">Macrerpeton huxleyi </w:t>
      </w:r>
      <w:r w:rsidRPr="00027B73">
        <w:t xml:space="preserve">from the Pennsylvanian of Linton, Ohio (USA). </w:t>
      </w:r>
      <w:r w:rsidRPr="00027B73">
        <w:rPr>
          <w:i/>
        </w:rPr>
        <w:t>Neues Jahrbuch für Geologie und Paläontologie-Abhandlungen</w:t>
      </w:r>
      <w:r w:rsidRPr="00027B73">
        <w:t xml:space="preserve"> </w:t>
      </w:r>
      <w:r w:rsidRPr="00027B73">
        <w:rPr>
          <w:b/>
        </w:rPr>
        <w:t>229</w:t>
      </w:r>
      <w:r w:rsidRPr="00027B73">
        <w:t>, 77-98 (2021).</w:t>
      </w:r>
    </w:p>
    <w:p w14:paraId="703F3A80" w14:textId="6BE3105B" w:rsidR="00027B73" w:rsidRPr="00027B73" w:rsidRDefault="00027B73" w:rsidP="00027B73">
      <w:pPr>
        <w:pStyle w:val="EndNoteBibliography"/>
        <w:ind w:left="720" w:hanging="720"/>
      </w:pPr>
      <w:r w:rsidRPr="00027B73">
        <w:t xml:space="preserve">Schoch, R. R., Milner, A. R. &amp; Witzmann, F. Skull morphology and phylogenetic relationships of a new Middle Triassic plagiosaurid temnospondyl from Germany, and the evolution of plagiosaurid eyes. </w:t>
      </w:r>
      <w:r w:rsidRPr="00027B73">
        <w:rPr>
          <w:i/>
        </w:rPr>
        <w:t>Palaeontology</w:t>
      </w:r>
      <w:r w:rsidRPr="00027B73">
        <w:t xml:space="preserve"> </w:t>
      </w:r>
      <w:r w:rsidRPr="00027B73">
        <w:rPr>
          <w:b/>
        </w:rPr>
        <w:t>57</w:t>
      </w:r>
      <w:r w:rsidRPr="00027B73">
        <w:t>, 1045-1058 (2014).</w:t>
      </w:r>
    </w:p>
    <w:p w14:paraId="223FC75A" w14:textId="61D0E916" w:rsidR="00027B73" w:rsidRPr="00027B73" w:rsidRDefault="00027B73" w:rsidP="00027B73">
      <w:pPr>
        <w:pStyle w:val="EndNoteBibliography"/>
        <w:ind w:left="720" w:hanging="720"/>
      </w:pPr>
      <w:r w:rsidRPr="00027B73">
        <w:t xml:space="preserve">Schoch, R. R. &amp; Rubidge, B. S. The amphibamid </w:t>
      </w:r>
      <w:r w:rsidRPr="00027B73">
        <w:rPr>
          <w:i/>
        </w:rPr>
        <w:t xml:space="preserve">Micropholis </w:t>
      </w:r>
      <w:r w:rsidRPr="00027B73">
        <w:t xml:space="preserve">from the Lystrosaurus assemblage zone of South Africa. </w:t>
      </w:r>
      <w:r w:rsidRPr="00027B73">
        <w:rPr>
          <w:i/>
        </w:rPr>
        <w:t>Journal of Vertebrate Paleontology</w:t>
      </w:r>
      <w:r w:rsidRPr="00027B73">
        <w:t xml:space="preserve"> </w:t>
      </w:r>
      <w:r w:rsidRPr="00027B73">
        <w:rPr>
          <w:b/>
        </w:rPr>
        <w:t>25</w:t>
      </w:r>
      <w:r w:rsidRPr="00027B73">
        <w:t>, 502-522 (2005).</w:t>
      </w:r>
    </w:p>
    <w:p w14:paraId="4CC3F887" w14:textId="6C914A3A" w:rsidR="00027B73" w:rsidRPr="00027B73" w:rsidRDefault="00027B73" w:rsidP="00027B73">
      <w:pPr>
        <w:pStyle w:val="EndNoteBibliography"/>
        <w:ind w:left="720" w:hanging="720"/>
      </w:pPr>
      <w:r w:rsidRPr="00027B73">
        <w:t xml:space="preserve">Schoch, R. R. &amp; Sues, H.-D. A new dissorophid temnospondyl from the Lower Permian of north-central Texas. </w:t>
      </w:r>
      <w:r w:rsidRPr="00027B73">
        <w:rPr>
          <w:i/>
        </w:rPr>
        <w:t>Comptes Rendus Palevol</w:t>
      </w:r>
      <w:r w:rsidRPr="00027B73">
        <w:t xml:space="preserve"> </w:t>
      </w:r>
      <w:r w:rsidRPr="00027B73">
        <w:rPr>
          <w:b/>
        </w:rPr>
        <w:t>12</w:t>
      </w:r>
      <w:r w:rsidRPr="00027B73">
        <w:t>, 437-445 (2013).</w:t>
      </w:r>
    </w:p>
    <w:p w14:paraId="598B5E02" w14:textId="490FC93D" w:rsidR="00027B73" w:rsidRPr="00027B73" w:rsidRDefault="00027B73" w:rsidP="00027B73">
      <w:pPr>
        <w:pStyle w:val="EndNoteBibliography"/>
        <w:ind w:left="720" w:hanging="720"/>
      </w:pPr>
      <w:r w:rsidRPr="00027B73">
        <w:t xml:space="preserve">Schoch, R. R., Werneburg, R. &amp; Voigt, S. A Triassic stem-salamander from Kyrgyzstan and the origin of salamanders. </w:t>
      </w:r>
      <w:r w:rsidRPr="00027B73">
        <w:rPr>
          <w:i/>
        </w:rPr>
        <w:t>Proceedings of the National Academy of Sciences</w:t>
      </w:r>
      <w:r w:rsidRPr="00027B73">
        <w:t xml:space="preserve"> </w:t>
      </w:r>
      <w:r w:rsidRPr="00027B73">
        <w:rPr>
          <w:b/>
        </w:rPr>
        <w:t>117</w:t>
      </w:r>
      <w:r w:rsidRPr="00027B73">
        <w:t>, 11584-11588 (2020).</w:t>
      </w:r>
    </w:p>
    <w:p w14:paraId="37F3422E" w14:textId="02AFE30C" w:rsidR="00027B73" w:rsidRPr="00027B73" w:rsidRDefault="00027B73" w:rsidP="00027B73">
      <w:pPr>
        <w:pStyle w:val="EndNoteBibliography"/>
        <w:ind w:left="720" w:hanging="720"/>
      </w:pPr>
      <w:r w:rsidRPr="00027B73">
        <w:t xml:space="preserve">Schoch, R. R. &amp; Witzmann, F. Osteology and relationships of the temnospondyl genus </w:t>
      </w:r>
      <w:r w:rsidRPr="00027B73">
        <w:rPr>
          <w:i/>
        </w:rPr>
        <w:t>Sclerocephalus</w:t>
      </w:r>
      <w:r w:rsidRPr="00027B73">
        <w:t xml:space="preserve">. </w:t>
      </w:r>
      <w:r w:rsidRPr="00027B73">
        <w:rPr>
          <w:i/>
        </w:rPr>
        <w:t>Zoological Journal of the Linnean Society</w:t>
      </w:r>
      <w:r w:rsidRPr="00027B73">
        <w:t xml:space="preserve"> </w:t>
      </w:r>
      <w:r w:rsidRPr="00027B73">
        <w:rPr>
          <w:b/>
        </w:rPr>
        <w:t>157</w:t>
      </w:r>
      <w:r w:rsidRPr="00027B73">
        <w:t>, 135-168 (2009).</w:t>
      </w:r>
    </w:p>
    <w:p w14:paraId="6CF55BC9" w14:textId="2E29A5B4" w:rsidR="00027B73" w:rsidRPr="00027B73" w:rsidRDefault="00027B73" w:rsidP="00027B73">
      <w:pPr>
        <w:pStyle w:val="EndNoteBibliography"/>
        <w:ind w:left="720" w:hanging="720"/>
      </w:pPr>
      <w:r w:rsidRPr="00027B73">
        <w:t xml:space="preserve">Schoch, R. R. &amp; Witzmann, F. The temnospondyl </w:t>
      </w:r>
      <w:r w:rsidRPr="00027B73">
        <w:rPr>
          <w:i/>
        </w:rPr>
        <w:t xml:space="preserve">Glanochthon </w:t>
      </w:r>
      <w:r w:rsidRPr="00027B73">
        <w:t xml:space="preserve">from the Lower Permian Meisenheim Formation of Germany. </w:t>
      </w:r>
      <w:r w:rsidRPr="00027B73">
        <w:rPr>
          <w:i/>
        </w:rPr>
        <w:t>Special Papers in Palaeontology</w:t>
      </w:r>
      <w:r w:rsidRPr="00027B73">
        <w:t xml:space="preserve"> </w:t>
      </w:r>
      <w:r w:rsidRPr="00027B73">
        <w:rPr>
          <w:b/>
        </w:rPr>
        <w:t>81</w:t>
      </w:r>
      <w:r w:rsidRPr="00027B73">
        <w:t>, 121-136 (2009).</w:t>
      </w:r>
    </w:p>
    <w:p w14:paraId="739AD024" w14:textId="0D3C2FBF" w:rsidR="00027B73" w:rsidRPr="00027B73" w:rsidRDefault="00027B73" w:rsidP="00027B73">
      <w:pPr>
        <w:pStyle w:val="EndNoteBibliography"/>
        <w:ind w:left="720" w:hanging="720"/>
      </w:pPr>
      <w:r w:rsidRPr="00027B73">
        <w:t xml:space="preserve">Schoch, R. R. &amp; Witzmann, F. Cranial morphology of the plagiosaurid </w:t>
      </w:r>
      <w:r w:rsidRPr="00027B73">
        <w:rPr>
          <w:i/>
        </w:rPr>
        <w:t>Gerrothorax pulcherrimus</w:t>
      </w:r>
      <w:r w:rsidRPr="00027B73">
        <w:t xml:space="preserve"> as an extreme example of evolutionary stasis. </w:t>
      </w:r>
      <w:r w:rsidRPr="00027B73">
        <w:rPr>
          <w:i/>
        </w:rPr>
        <w:t>Lethaia</w:t>
      </w:r>
      <w:r w:rsidRPr="00027B73">
        <w:t xml:space="preserve"> </w:t>
      </w:r>
      <w:r w:rsidRPr="00027B73">
        <w:rPr>
          <w:b/>
        </w:rPr>
        <w:t>45</w:t>
      </w:r>
      <w:r w:rsidRPr="00027B73">
        <w:t>, 371-385 (2012).</w:t>
      </w:r>
    </w:p>
    <w:p w14:paraId="046FB2E2" w14:textId="58041404" w:rsidR="00027B73" w:rsidRPr="00027B73" w:rsidRDefault="00027B73" w:rsidP="00027B73">
      <w:pPr>
        <w:pStyle w:val="EndNoteBibliography"/>
        <w:ind w:left="720" w:hanging="720"/>
      </w:pPr>
      <w:r w:rsidRPr="00027B73">
        <w:t xml:space="preserve">Sengupta, D. P. Chigutisaurid temnospondyls from the Late Triassic of India and review of the family chigutisauridae. </w:t>
      </w:r>
      <w:r w:rsidRPr="00027B73">
        <w:rPr>
          <w:i/>
        </w:rPr>
        <w:t>Palaeontology</w:t>
      </w:r>
      <w:r w:rsidRPr="00027B73">
        <w:t xml:space="preserve"> </w:t>
      </w:r>
      <w:r w:rsidRPr="00027B73">
        <w:rPr>
          <w:b/>
        </w:rPr>
        <w:t>38</w:t>
      </w:r>
      <w:r w:rsidRPr="00027B73">
        <w:t>, 313-339 (1995).</w:t>
      </w:r>
    </w:p>
    <w:p w14:paraId="09A4E286" w14:textId="7146A458" w:rsidR="00027B73" w:rsidRPr="00027B73" w:rsidRDefault="00027B73" w:rsidP="00027B73">
      <w:pPr>
        <w:pStyle w:val="EndNoteBibliography"/>
        <w:ind w:left="720" w:hanging="720"/>
      </w:pPr>
      <w:r w:rsidRPr="00027B73">
        <w:t>Sequeira, S.</w:t>
      </w:r>
      <w:r w:rsidR="00B367A1">
        <w:t xml:space="preserve"> E. K.</w:t>
      </w:r>
      <w:r w:rsidRPr="00027B73">
        <w:t xml:space="preserve"> The cranial morphology and taxonomy of the saurerpetontid </w:t>
      </w:r>
      <w:r w:rsidRPr="00027B73">
        <w:rPr>
          <w:i/>
        </w:rPr>
        <w:t>Isodectes obtusus</w:t>
      </w:r>
      <w:r w:rsidRPr="00027B73">
        <w:t xml:space="preserve"> comb. nov. (Amphibia: Temnospondyli) from the Lower Permian of Texas. </w:t>
      </w:r>
      <w:r w:rsidRPr="00027B73">
        <w:rPr>
          <w:i/>
        </w:rPr>
        <w:t>Zoological Journal of the Linnean Society</w:t>
      </w:r>
      <w:r w:rsidRPr="00027B73">
        <w:t xml:space="preserve"> </w:t>
      </w:r>
      <w:r w:rsidRPr="00027B73">
        <w:rPr>
          <w:b/>
        </w:rPr>
        <w:t>122</w:t>
      </w:r>
      <w:r w:rsidRPr="00027B73">
        <w:t>, 237-259 (1998).</w:t>
      </w:r>
    </w:p>
    <w:p w14:paraId="7C0A356A" w14:textId="67A01905" w:rsidR="00027B73" w:rsidRPr="00027B73" w:rsidRDefault="00027B73" w:rsidP="00027B73">
      <w:pPr>
        <w:pStyle w:val="EndNoteBibliography"/>
        <w:ind w:left="720" w:hanging="720"/>
      </w:pPr>
      <w:r w:rsidRPr="00027B73">
        <w:t xml:space="preserve">Sequeira, S. E. K. The skull of </w:t>
      </w:r>
      <w:r w:rsidRPr="00027B73">
        <w:rPr>
          <w:i/>
        </w:rPr>
        <w:t>Cochleosaurus bohemicus</w:t>
      </w:r>
      <w:r w:rsidRPr="00027B73">
        <w:t xml:space="preserve"> Frič, a temnospondyl from the Czech Republic (Upper Carboniferous) and cochleosaurid interrelationships. </w:t>
      </w:r>
      <w:r w:rsidRPr="00027B73">
        <w:rPr>
          <w:i/>
        </w:rPr>
        <w:t>Earth and Environmental Science Transactions of The Royal Society of Edinburgh</w:t>
      </w:r>
      <w:r w:rsidRPr="00027B73">
        <w:t xml:space="preserve"> </w:t>
      </w:r>
      <w:r w:rsidRPr="00027B73">
        <w:rPr>
          <w:b/>
        </w:rPr>
        <w:t>94</w:t>
      </w:r>
      <w:r w:rsidRPr="00027B73">
        <w:t>, 21-43 (2003).</w:t>
      </w:r>
    </w:p>
    <w:p w14:paraId="48D94B4E" w14:textId="1AD55227" w:rsidR="00027B73" w:rsidRPr="00027B73" w:rsidRDefault="00027B73" w:rsidP="00027B73">
      <w:pPr>
        <w:pStyle w:val="EndNoteBibliography"/>
        <w:ind w:left="720" w:hanging="720"/>
      </w:pPr>
      <w:r w:rsidRPr="00027B73">
        <w:t xml:space="preserve">Sequeira, S. E. K. The postcranium of </w:t>
      </w:r>
      <w:r w:rsidRPr="00027B73">
        <w:rPr>
          <w:i/>
        </w:rPr>
        <w:t>Cochleosaurus bohemicus</w:t>
      </w:r>
      <w:r w:rsidRPr="00027B73">
        <w:t xml:space="preserve"> Frič, a primitive Upper Carboniferous temnospondyl from the Czech Republic. </w:t>
      </w:r>
      <w:r w:rsidRPr="00027B73">
        <w:rPr>
          <w:i/>
        </w:rPr>
        <w:t>Special Papers in Palaeontology</w:t>
      </w:r>
      <w:r w:rsidRPr="00027B73">
        <w:t xml:space="preserve"> </w:t>
      </w:r>
      <w:r w:rsidRPr="00027B73">
        <w:rPr>
          <w:b/>
        </w:rPr>
        <w:t>81</w:t>
      </w:r>
      <w:r w:rsidRPr="00027B73">
        <w:t>, 137-153 (2009).</w:t>
      </w:r>
    </w:p>
    <w:p w14:paraId="2A32A381" w14:textId="712720D9" w:rsidR="00027B73" w:rsidRPr="00027B73" w:rsidRDefault="00027B73" w:rsidP="00027B73">
      <w:pPr>
        <w:pStyle w:val="EndNoteBibliography"/>
        <w:ind w:left="720" w:hanging="720"/>
      </w:pPr>
      <w:r w:rsidRPr="00027B73">
        <w:t xml:space="preserve">Sharkey, M. J. &amp; Leathers, J. W. Majority does not rule: the trouble with majority-rule consensus trees. </w:t>
      </w:r>
      <w:r w:rsidRPr="00027B73">
        <w:rPr>
          <w:i/>
        </w:rPr>
        <w:t>Cladistics</w:t>
      </w:r>
      <w:r w:rsidRPr="00027B73">
        <w:t xml:space="preserve"> </w:t>
      </w:r>
      <w:r w:rsidRPr="00027B73">
        <w:rPr>
          <w:b/>
        </w:rPr>
        <w:t>17</w:t>
      </w:r>
      <w:r w:rsidRPr="00027B73">
        <w:t>, 282-284 (2001).</w:t>
      </w:r>
    </w:p>
    <w:p w14:paraId="4AF56E1C" w14:textId="29E9C370" w:rsidR="00027B73" w:rsidRPr="00027B73" w:rsidRDefault="00027B73" w:rsidP="00027B73">
      <w:pPr>
        <w:pStyle w:val="EndNoteBibliography"/>
        <w:ind w:left="720" w:hanging="720"/>
      </w:pPr>
      <w:r w:rsidRPr="00027B73">
        <w:t xml:space="preserve">Shen, X.-X., Liang, D., Wen, J.-Z. &amp; Zhang, P. Multiple genome alignments facilitate development of NPCL markers: a case study of tetrapod phylogeny focusing on the position of turtles. </w:t>
      </w:r>
      <w:r w:rsidRPr="00027B73">
        <w:rPr>
          <w:i/>
        </w:rPr>
        <w:t>Molecular Biology and Evolution</w:t>
      </w:r>
      <w:r w:rsidRPr="00027B73">
        <w:t xml:space="preserve"> </w:t>
      </w:r>
      <w:r w:rsidRPr="00027B73">
        <w:rPr>
          <w:b/>
        </w:rPr>
        <w:t>28</w:t>
      </w:r>
      <w:r w:rsidRPr="00027B73">
        <w:t>, 3237-3252 (2011).</w:t>
      </w:r>
    </w:p>
    <w:p w14:paraId="552BE9B5" w14:textId="3A57EB61" w:rsidR="00027B73" w:rsidRPr="00027B73" w:rsidRDefault="00027B73" w:rsidP="00027B73">
      <w:pPr>
        <w:pStyle w:val="EndNoteBibliography"/>
        <w:ind w:left="720" w:hanging="720"/>
      </w:pPr>
      <w:r w:rsidRPr="00027B73">
        <w:t xml:space="preserve">Shen, X.-X., Liang, D. &amp; Zhang, P. The development of three long universal nuclear protein-coding locus markers and their application to osteichthyan phylogenetics with nested PCR. </w:t>
      </w:r>
      <w:r w:rsidRPr="00027B73">
        <w:rPr>
          <w:i/>
        </w:rPr>
        <w:t>PloS One</w:t>
      </w:r>
      <w:r w:rsidRPr="00027B73">
        <w:t xml:space="preserve"> </w:t>
      </w:r>
      <w:r w:rsidRPr="00027B73">
        <w:rPr>
          <w:b/>
        </w:rPr>
        <w:t>7</w:t>
      </w:r>
      <w:r w:rsidRPr="00027B73">
        <w:t>, e39256 (2012).</w:t>
      </w:r>
    </w:p>
    <w:p w14:paraId="0D66949C" w14:textId="77D92A50" w:rsidR="00027B73" w:rsidRPr="00027B73" w:rsidRDefault="00027B73" w:rsidP="00027B73">
      <w:pPr>
        <w:pStyle w:val="EndNoteBibliography"/>
        <w:ind w:left="720" w:hanging="720"/>
      </w:pPr>
      <w:r w:rsidRPr="00027B73">
        <w:t xml:space="preserve">Shishkin, M. A brachyopid labyrinthodont from the Triassic of the Russian Platform. </w:t>
      </w:r>
      <w:r w:rsidRPr="00027B73">
        <w:rPr>
          <w:i/>
        </w:rPr>
        <w:t>International Geology Review</w:t>
      </w:r>
      <w:r w:rsidRPr="00027B73">
        <w:t xml:space="preserve"> </w:t>
      </w:r>
      <w:r w:rsidRPr="00027B73">
        <w:rPr>
          <w:b/>
        </w:rPr>
        <w:t>9</w:t>
      </w:r>
      <w:r w:rsidRPr="00027B73">
        <w:t>, 310-322 (1967).</w:t>
      </w:r>
    </w:p>
    <w:p w14:paraId="7F4757B9" w14:textId="15F97863" w:rsidR="00027B73" w:rsidRPr="00027B73" w:rsidRDefault="00027B73" w:rsidP="00027B73">
      <w:pPr>
        <w:pStyle w:val="EndNoteBibliography"/>
        <w:ind w:left="720" w:hanging="720"/>
      </w:pPr>
      <w:r w:rsidRPr="00027B73">
        <w:t xml:space="preserve">Shishkin, M. Evolution of early amphibians (Plagiosauroidea). </w:t>
      </w:r>
      <w:r w:rsidRPr="00027B73">
        <w:rPr>
          <w:i/>
        </w:rPr>
        <w:t>Trudy Paleontologicheskogo Instituta</w:t>
      </w:r>
      <w:r w:rsidRPr="00027B73">
        <w:t xml:space="preserve"> </w:t>
      </w:r>
      <w:r w:rsidRPr="00027B73">
        <w:rPr>
          <w:b/>
        </w:rPr>
        <w:t>225</w:t>
      </w:r>
      <w:r w:rsidRPr="00027B73">
        <w:t>, 1-143 (1987).</w:t>
      </w:r>
    </w:p>
    <w:p w14:paraId="0989353E" w14:textId="717E3444" w:rsidR="00027B73" w:rsidRPr="00027B73" w:rsidRDefault="00027B73" w:rsidP="00027B73">
      <w:pPr>
        <w:pStyle w:val="EndNoteBibliography"/>
        <w:ind w:left="720" w:hanging="720"/>
      </w:pPr>
      <w:r w:rsidRPr="00027B73">
        <w:t xml:space="preserve">Shishkin, M. The axial skeleton of early amphibians and the origin of resegmentation in tetrapod vertebrae. </w:t>
      </w:r>
      <w:r w:rsidRPr="00027B73">
        <w:rPr>
          <w:i/>
        </w:rPr>
        <w:t>Fortschritte der Zoologie</w:t>
      </w:r>
      <w:r w:rsidRPr="00027B73">
        <w:t xml:space="preserve"> </w:t>
      </w:r>
      <w:r w:rsidRPr="00027B73">
        <w:rPr>
          <w:b/>
        </w:rPr>
        <w:t>35</w:t>
      </w:r>
      <w:r w:rsidRPr="00027B73">
        <w:t>, 180-195 (1989).</w:t>
      </w:r>
    </w:p>
    <w:p w14:paraId="09C4D2BC" w14:textId="5C2A988D" w:rsidR="00027B73" w:rsidRPr="00027B73" w:rsidRDefault="00027B73" w:rsidP="00027B73">
      <w:pPr>
        <w:pStyle w:val="EndNoteBibliography"/>
        <w:ind w:left="720" w:hanging="720"/>
      </w:pPr>
      <w:r w:rsidRPr="00027B73">
        <w:t xml:space="preserve">Shishkin, M. A. The morphology of the early Amphibia and some problems of the lower tetrapod evolution. </w:t>
      </w:r>
      <w:r w:rsidRPr="00027B73">
        <w:rPr>
          <w:i/>
        </w:rPr>
        <w:t>Trudy Paleontologicheskogo Instituta</w:t>
      </w:r>
      <w:r w:rsidRPr="00027B73">
        <w:t xml:space="preserve"> </w:t>
      </w:r>
      <w:r w:rsidRPr="00027B73">
        <w:rPr>
          <w:b/>
        </w:rPr>
        <w:t>65</w:t>
      </w:r>
      <w:r w:rsidRPr="00027B73">
        <w:t>, 1–260 (1973).</w:t>
      </w:r>
    </w:p>
    <w:p w14:paraId="6F0083CD" w14:textId="1A9A48A6" w:rsidR="00027B73" w:rsidRPr="00027B73" w:rsidRDefault="00027B73" w:rsidP="00027B73">
      <w:pPr>
        <w:pStyle w:val="EndNoteBibliography"/>
        <w:ind w:left="720" w:hanging="720"/>
      </w:pPr>
      <w:r w:rsidRPr="00027B73">
        <w:t xml:space="preserve">Shishkin, M. A., Rubidge, B. S. &amp; Kitching, J. W. A new lydekkerinid (Amphibia, Temnospondyli) fro the lower Triassic of South Africa: implications for evolution of the early capitosauroid cranial pattern. </w:t>
      </w:r>
      <w:r w:rsidRPr="00027B73">
        <w:rPr>
          <w:i/>
        </w:rPr>
        <w:t>Philosophical Transactions of the Royal Society of London. Series B: Biological Sciences</w:t>
      </w:r>
      <w:r w:rsidRPr="00027B73">
        <w:t xml:space="preserve"> </w:t>
      </w:r>
      <w:r w:rsidRPr="00027B73">
        <w:rPr>
          <w:b/>
        </w:rPr>
        <w:t>351</w:t>
      </w:r>
      <w:r w:rsidRPr="00027B73">
        <w:t>, 1635-1659 (1996).</w:t>
      </w:r>
    </w:p>
    <w:p w14:paraId="3B73BD3C" w14:textId="31A9330A" w:rsidR="00027B73" w:rsidRPr="00027B73" w:rsidRDefault="00027B73" w:rsidP="00027B73">
      <w:pPr>
        <w:pStyle w:val="EndNoteBibliography"/>
        <w:ind w:left="720" w:hanging="720"/>
      </w:pPr>
      <w:r w:rsidRPr="00027B73">
        <w:t xml:space="preserve">Shishkin, M. A. &amp; Sulej, T. The Early Triassic temnospondyls of the Czatkowice 1 tetrapod assemblage. </w:t>
      </w:r>
      <w:r w:rsidRPr="00027B73">
        <w:rPr>
          <w:i/>
        </w:rPr>
        <w:t>Acta Palaeontologia Polonica</w:t>
      </w:r>
      <w:r w:rsidRPr="00027B73">
        <w:t xml:space="preserve"> </w:t>
      </w:r>
      <w:r w:rsidRPr="00027B73">
        <w:rPr>
          <w:b/>
        </w:rPr>
        <w:t>65</w:t>
      </w:r>
      <w:r w:rsidRPr="00027B73">
        <w:t>, 31-77 (2009).</w:t>
      </w:r>
    </w:p>
    <w:p w14:paraId="6A540739" w14:textId="22DDBAD7" w:rsidR="00027B73" w:rsidRPr="00027B73" w:rsidRDefault="00027B73" w:rsidP="00027B73">
      <w:pPr>
        <w:pStyle w:val="EndNoteBibliography"/>
        <w:ind w:left="720" w:hanging="720"/>
      </w:pPr>
      <w:r w:rsidRPr="00027B73">
        <w:t xml:space="preserve">Shubin, N. H. &amp; Jenkins, F. A. An early Jurassic jumping frog. </w:t>
      </w:r>
      <w:r w:rsidRPr="00027B73">
        <w:rPr>
          <w:i/>
        </w:rPr>
        <w:t>Nature</w:t>
      </w:r>
      <w:r w:rsidRPr="00027B73">
        <w:t xml:space="preserve"> </w:t>
      </w:r>
      <w:r w:rsidRPr="00027B73">
        <w:rPr>
          <w:b/>
        </w:rPr>
        <w:t>377</w:t>
      </w:r>
      <w:r w:rsidRPr="00027B73">
        <w:t>, 49-52 (1995).</w:t>
      </w:r>
    </w:p>
    <w:p w14:paraId="621C4365" w14:textId="640D7F86" w:rsidR="00027B73" w:rsidRPr="00027B73" w:rsidRDefault="00027B73" w:rsidP="00027B73">
      <w:pPr>
        <w:pStyle w:val="EndNoteBibliography"/>
        <w:ind w:left="720" w:hanging="720"/>
      </w:pPr>
      <w:r w:rsidRPr="00027B73">
        <w:t>Sidor, C. A.</w:t>
      </w:r>
      <w:r w:rsidRPr="00027B73">
        <w:rPr>
          <w:i/>
        </w:rPr>
        <w:t xml:space="preserve"> et al.</w:t>
      </w:r>
      <w:r w:rsidRPr="00027B73">
        <w:t xml:space="preserve"> Permian tetrapods from the Sahara show climate-controlled endemism in Pangaea. </w:t>
      </w:r>
      <w:r w:rsidRPr="00027B73">
        <w:rPr>
          <w:i/>
        </w:rPr>
        <w:t>Nature</w:t>
      </w:r>
      <w:r w:rsidRPr="00027B73">
        <w:t xml:space="preserve"> </w:t>
      </w:r>
      <w:r w:rsidRPr="00027B73">
        <w:rPr>
          <w:b/>
        </w:rPr>
        <w:t>434</w:t>
      </w:r>
      <w:r w:rsidRPr="00027B73">
        <w:t>, 886-889 (2005).</w:t>
      </w:r>
    </w:p>
    <w:p w14:paraId="40D566A7" w14:textId="70A2CE45" w:rsidR="00027B73" w:rsidRPr="00027B73" w:rsidRDefault="00027B73" w:rsidP="00027B73">
      <w:pPr>
        <w:pStyle w:val="EndNoteBibliography"/>
        <w:ind w:left="720" w:hanging="720"/>
      </w:pPr>
      <w:r w:rsidRPr="00027B73">
        <w:t xml:space="preserve">Sidor, C. A., Steyer, J. S. &amp; Hammer, W. R. A new capitosauroid temnospondyl from the Middle Triassic upper Fremouw Formation of Antarctica. </w:t>
      </w:r>
      <w:r w:rsidRPr="00027B73">
        <w:rPr>
          <w:i/>
        </w:rPr>
        <w:t>Journal of Vertebrate Paleontology</w:t>
      </w:r>
      <w:r w:rsidRPr="00027B73">
        <w:t xml:space="preserve"> </w:t>
      </w:r>
      <w:r w:rsidRPr="00027B73">
        <w:rPr>
          <w:b/>
        </w:rPr>
        <w:t>34</w:t>
      </w:r>
      <w:r w:rsidRPr="00027B73">
        <w:t>, 539-548 (2014).</w:t>
      </w:r>
    </w:p>
    <w:p w14:paraId="5B84DB3A" w14:textId="1CF946DF" w:rsidR="00027B73" w:rsidRPr="00027B73" w:rsidRDefault="00027B73" w:rsidP="00027B73">
      <w:pPr>
        <w:pStyle w:val="EndNoteBibliography"/>
        <w:ind w:left="720" w:hanging="720"/>
      </w:pPr>
      <w:r w:rsidRPr="00027B73">
        <w:t xml:space="preserve">Sigurdsen, T. &amp; Bolt, J. R. The Lower Permian amphibamid </w:t>
      </w:r>
      <w:r w:rsidRPr="00027B73">
        <w:rPr>
          <w:i/>
        </w:rPr>
        <w:t xml:space="preserve">Doleserpeton </w:t>
      </w:r>
      <w:r w:rsidRPr="00027B73">
        <w:t xml:space="preserve">(Temnospondyli: Dissorophoidea), the interrelationships of amphibamids, and the origin of modern amphibians. </w:t>
      </w:r>
      <w:r w:rsidRPr="00027B73">
        <w:rPr>
          <w:i/>
        </w:rPr>
        <w:t>Journal of Vertebrate Paleontology</w:t>
      </w:r>
      <w:r w:rsidRPr="00027B73">
        <w:t xml:space="preserve"> </w:t>
      </w:r>
      <w:r w:rsidRPr="00027B73">
        <w:rPr>
          <w:b/>
        </w:rPr>
        <w:t>30</w:t>
      </w:r>
      <w:r w:rsidRPr="00027B73">
        <w:t>, 1360-1377 (2010).</w:t>
      </w:r>
    </w:p>
    <w:p w14:paraId="7AA8EF60" w14:textId="5D47FE6E" w:rsidR="00027B73" w:rsidRPr="00027B73" w:rsidRDefault="00027B73" w:rsidP="00027B73">
      <w:pPr>
        <w:pStyle w:val="EndNoteBibliography"/>
        <w:ind w:left="720" w:hanging="720"/>
      </w:pPr>
      <w:bookmarkStart w:id="35" w:name="_Hlk98872686"/>
      <w:r w:rsidRPr="00027B73">
        <w:t xml:space="preserve">Silva, A. S. &amp; Wilkinson, M. On Defining and Finding Islands of Trees and Mitigating Large Island Bias. </w:t>
      </w:r>
      <w:r w:rsidRPr="00027B73">
        <w:rPr>
          <w:i/>
        </w:rPr>
        <w:t>Systematic Biology</w:t>
      </w:r>
      <w:r w:rsidR="00B939E4">
        <w:rPr>
          <w:i/>
        </w:rPr>
        <w:t xml:space="preserve"> </w:t>
      </w:r>
      <w:r w:rsidR="00B939E4" w:rsidRPr="00B939E4">
        <w:rPr>
          <w:b/>
          <w:bCs/>
          <w:iCs/>
        </w:rPr>
        <w:t>70</w:t>
      </w:r>
      <w:r w:rsidR="00B939E4">
        <w:rPr>
          <w:iCs/>
        </w:rPr>
        <w:t>, 1282-1294</w:t>
      </w:r>
      <w:r w:rsidRPr="00027B73">
        <w:t xml:space="preserve"> (2021).</w:t>
      </w:r>
      <w:bookmarkEnd w:id="35"/>
    </w:p>
    <w:p w14:paraId="19ADD375" w14:textId="43981D55" w:rsidR="00027B73" w:rsidRPr="00027B73" w:rsidRDefault="00027B73" w:rsidP="00027B73">
      <w:pPr>
        <w:pStyle w:val="EndNoteBibliography"/>
        <w:ind w:left="720" w:hanging="720"/>
      </w:pPr>
      <w:r w:rsidRPr="00027B73">
        <w:t xml:space="preserve">Simões, T. R., Caldwell, M. W., Palci, A. &amp; Nydam, R. L. Giant taxon‐character matrices: quality of character constructions remains critical regardless of size. </w:t>
      </w:r>
      <w:r w:rsidRPr="00027B73">
        <w:rPr>
          <w:i/>
        </w:rPr>
        <w:t>Cladistics</w:t>
      </w:r>
      <w:r w:rsidRPr="00027B73">
        <w:t xml:space="preserve"> </w:t>
      </w:r>
      <w:r w:rsidRPr="00027B73">
        <w:rPr>
          <w:b/>
        </w:rPr>
        <w:t>33</w:t>
      </w:r>
      <w:r w:rsidRPr="00027B73">
        <w:t>, 198-219 (2017).</w:t>
      </w:r>
    </w:p>
    <w:p w14:paraId="2E53565E" w14:textId="3882B247" w:rsidR="00027B73" w:rsidRPr="00027B73" w:rsidRDefault="00027B73" w:rsidP="00027B73">
      <w:pPr>
        <w:pStyle w:val="EndNoteBibliography"/>
        <w:ind w:left="720" w:hanging="720"/>
      </w:pPr>
      <w:r w:rsidRPr="00027B73">
        <w:t xml:space="preserve">Skutschas, P. &amp; Martin, T. Cranial anatomy of the stem salamander </w:t>
      </w:r>
      <w:r w:rsidRPr="00027B73">
        <w:rPr>
          <w:i/>
        </w:rPr>
        <w:t xml:space="preserve">Kokartus honorarius </w:t>
      </w:r>
      <w:r w:rsidRPr="00027B73">
        <w:t xml:space="preserve">(Amphibia: Caudata) from the Middle Jurassic of Kyrgyzstan. </w:t>
      </w:r>
      <w:r w:rsidRPr="00027B73">
        <w:rPr>
          <w:i/>
        </w:rPr>
        <w:t>Zoological Journal of the Linnean Society</w:t>
      </w:r>
      <w:r w:rsidRPr="00027B73">
        <w:t xml:space="preserve"> </w:t>
      </w:r>
      <w:r w:rsidRPr="00027B73">
        <w:rPr>
          <w:b/>
        </w:rPr>
        <w:t>161</w:t>
      </w:r>
      <w:r w:rsidRPr="00027B73">
        <w:t>, 816-838 (2011).</w:t>
      </w:r>
    </w:p>
    <w:p w14:paraId="4F734D7F" w14:textId="0C44C933" w:rsidR="00027B73" w:rsidRPr="00027B73" w:rsidRDefault="00027B73" w:rsidP="00027B73">
      <w:pPr>
        <w:pStyle w:val="EndNoteBibliography"/>
        <w:ind w:left="720" w:hanging="720"/>
      </w:pPr>
      <w:bookmarkStart w:id="36" w:name="_Hlk98872079"/>
      <w:r w:rsidRPr="00027B73">
        <w:t xml:space="preserve">Slodownik, M. A., Mörs, T. &amp; Kear, B. P. Reassessment of the Early Triassic trematosaurid temnospondyl </w:t>
      </w:r>
      <w:r w:rsidRPr="00027B73">
        <w:rPr>
          <w:i/>
        </w:rPr>
        <w:t xml:space="preserve">Tertrema acuta </w:t>
      </w:r>
      <w:r w:rsidRPr="00027B73">
        <w:t xml:space="preserve">from the Arctic island of Spitsbergen. </w:t>
      </w:r>
      <w:r w:rsidRPr="00027B73">
        <w:rPr>
          <w:i/>
        </w:rPr>
        <w:t>Journal of Vertebrate Paleontology</w:t>
      </w:r>
      <w:r w:rsidRPr="00027B73">
        <w:t xml:space="preserve"> </w:t>
      </w:r>
      <w:r w:rsidRPr="00027B73">
        <w:rPr>
          <w:b/>
        </w:rPr>
        <w:t>41</w:t>
      </w:r>
      <w:r w:rsidRPr="00027B73">
        <w:t>, e1900209 (2021).</w:t>
      </w:r>
    </w:p>
    <w:bookmarkEnd w:id="36"/>
    <w:p w14:paraId="2BF0983F" w14:textId="4B4F2AD1" w:rsidR="00027B73" w:rsidRPr="00027B73" w:rsidRDefault="00027B73" w:rsidP="00027B73">
      <w:pPr>
        <w:pStyle w:val="EndNoteBibliography"/>
        <w:ind w:left="720" w:hanging="720"/>
      </w:pPr>
      <w:r w:rsidRPr="00027B73">
        <w:t xml:space="preserve">Sollas, W. J. XI.-On the structure of </w:t>
      </w:r>
      <w:r w:rsidRPr="00027B73">
        <w:rPr>
          <w:i/>
        </w:rPr>
        <w:t>Lysorophus</w:t>
      </w:r>
      <w:r w:rsidRPr="00027B73">
        <w:t xml:space="preserve">, as exposed by serial sections. </w:t>
      </w:r>
      <w:r w:rsidRPr="00027B73">
        <w:rPr>
          <w:i/>
        </w:rPr>
        <w:t>Philosophical Transactions of the Royal Society of London. S. B, Biological Sciences</w:t>
      </w:r>
      <w:r w:rsidRPr="00027B73">
        <w:t xml:space="preserve"> </w:t>
      </w:r>
      <w:r w:rsidRPr="00027B73">
        <w:rPr>
          <w:b/>
        </w:rPr>
        <w:t>209</w:t>
      </w:r>
      <w:r w:rsidRPr="00027B73">
        <w:t>, 481-527 (1920).</w:t>
      </w:r>
    </w:p>
    <w:p w14:paraId="48FB2FA4" w14:textId="03F51D23" w:rsidR="00027B73" w:rsidRPr="00027B73" w:rsidRDefault="00027B73" w:rsidP="00027B73">
      <w:pPr>
        <w:pStyle w:val="EndNoteBibliography"/>
        <w:ind w:left="720" w:hanging="720"/>
      </w:pPr>
      <w:r w:rsidRPr="00027B73">
        <w:t xml:space="preserve">Steen, M. C. The amphibian fauna from the South Joggins. Nova Scotia. </w:t>
      </w:r>
      <w:r w:rsidRPr="00027B73">
        <w:rPr>
          <w:i/>
        </w:rPr>
        <w:t>Proceedings of the Zoological Society of London</w:t>
      </w:r>
      <w:r w:rsidRPr="00027B73">
        <w:t xml:space="preserve"> </w:t>
      </w:r>
      <w:r w:rsidRPr="00027B73">
        <w:rPr>
          <w:b/>
        </w:rPr>
        <w:t>104</w:t>
      </w:r>
      <w:r w:rsidRPr="00027B73">
        <w:t>, 465-504 (1934).</w:t>
      </w:r>
    </w:p>
    <w:p w14:paraId="25D84401" w14:textId="057C9944" w:rsidR="00027B73" w:rsidRPr="00027B73" w:rsidRDefault="00027B73" w:rsidP="00027B73">
      <w:pPr>
        <w:pStyle w:val="EndNoteBibliography"/>
        <w:ind w:left="720" w:hanging="720"/>
      </w:pPr>
      <w:r w:rsidRPr="00027B73">
        <w:t xml:space="preserve">Steyer, J. S. The first articulated trematosaur ‘amphibian’ from the Lower Triassic of Madagascar: implications for the phylogeny of the group. </w:t>
      </w:r>
      <w:r w:rsidRPr="00027B73">
        <w:rPr>
          <w:i/>
        </w:rPr>
        <w:t>Palaeontology</w:t>
      </w:r>
      <w:r w:rsidRPr="00027B73">
        <w:t xml:space="preserve"> </w:t>
      </w:r>
      <w:r w:rsidRPr="00027B73">
        <w:rPr>
          <w:b/>
        </w:rPr>
        <w:t>45</w:t>
      </w:r>
      <w:r w:rsidRPr="00027B73">
        <w:t>, 771-793 (2002).</w:t>
      </w:r>
    </w:p>
    <w:p w14:paraId="1D4E555B" w14:textId="67640ED4" w:rsidR="00027B73" w:rsidRPr="00027B73" w:rsidRDefault="00027B73" w:rsidP="00027B73">
      <w:pPr>
        <w:pStyle w:val="EndNoteBibliography"/>
        <w:ind w:left="720" w:hanging="720"/>
      </w:pPr>
      <w:r w:rsidRPr="00027B73">
        <w:t xml:space="preserve">Steyer, J. S. A revision of the early Triassic “capitosaurs” (Stegocephali, Stereospondyli) from Madagascar, with remarks on their comparative ontogeny. </w:t>
      </w:r>
      <w:r w:rsidRPr="00027B73">
        <w:rPr>
          <w:i/>
        </w:rPr>
        <w:t>Journal of Vertebrate Paleontology</w:t>
      </w:r>
      <w:r w:rsidRPr="00027B73">
        <w:t xml:space="preserve"> </w:t>
      </w:r>
      <w:r w:rsidRPr="00027B73">
        <w:rPr>
          <w:b/>
        </w:rPr>
        <w:t>23</w:t>
      </w:r>
      <w:r w:rsidRPr="00027B73">
        <w:t>, 544-555 (2003).</w:t>
      </w:r>
    </w:p>
    <w:p w14:paraId="20EBBB19" w14:textId="6F7714AB" w:rsidR="00027B73" w:rsidRPr="00027B73" w:rsidRDefault="00027B73" w:rsidP="00027B73">
      <w:pPr>
        <w:pStyle w:val="EndNoteBibliography"/>
        <w:ind w:left="720" w:hanging="720"/>
      </w:pPr>
      <w:r w:rsidRPr="00027B73">
        <w:t>Stocker, M. R.</w:t>
      </w:r>
      <w:r w:rsidRPr="00027B73">
        <w:rPr>
          <w:i/>
        </w:rPr>
        <w:t xml:space="preserve"> et al.</w:t>
      </w:r>
      <w:r w:rsidRPr="00027B73">
        <w:t xml:space="preserve"> The earliest equatorial record of frogs from the Late Triassic of Arizona. </w:t>
      </w:r>
      <w:r w:rsidRPr="00027B73">
        <w:rPr>
          <w:i/>
        </w:rPr>
        <w:t>Biology Letters</w:t>
      </w:r>
      <w:r w:rsidRPr="00027B73">
        <w:t xml:space="preserve"> </w:t>
      </w:r>
      <w:r w:rsidRPr="00027B73">
        <w:rPr>
          <w:b/>
        </w:rPr>
        <w:t>15</w:t>
      </w:r>
      <w:r w:rsidRPr="00027B73">
        <w:t>, 20180922 (2019).</w:t>
      </w:r>
    </w:p>
    <w:p w14:paraId="485BA8DE" w14:textId="35407761" w:rsidR="00027B73" w:rsidRPr="00027B73" w:rsidRDefault="00027B73" w:rsidP="00027B73">
      <w:pPr>
        <w:pStyle w:val="EndNoteBibliography"/>
        <w:ind w:left="720" w:hanging="720"/>
      </w:pPr>
      <w:r w:rsidRPr="00027B73">
        <w:t xml:space="preserve">Strong, E. E. &amp; Lipscomb, D. Character coding and inapplicable data. </w:t>
      </w:r>
      <w:r w:rsidRPr="00027B73">
        <w:rPr>
          <w:i/>
        </w:rPr>
        <w:t>Cladistics</w:t>
      </w:r>
      <w:r w:rsidRPr="00027B73">
        <w:t xml:space="preserve"> </w:t>
      </w:r>
      <w:r w:rsidRPr="00027B73">
        <w:rPr>
          <w:b/>
        </w:rPr>
        <w:t>15</w:t>
      </w:r>
      <w:r w:rsidRPr="00027B73">
        <w:t>, 363-371 (1999).</w:t>
      </w:r>
    </w:p>
    <w:p w14:paraId="286CE2E6" w14:textId="098F156B" w:rsidR="00027B73" w:rsidRPr="00027B73" w:rsidRDefault="00027B73" w:rsidP="00027B73">
      <w:pPr>
        <w:pStyle w:val="EndNoteBibliography"/>
        <w:ind w:left="720" w:hanging="720"/>
      </w:pPr>
      <w:r w:rsidRPr="00027B73">
        <w:t xml:space="preserve">Sulej, T. Species discrimination of the Late Triassic temnospondyl amphibian </w:t>
      </w:r>
      <w:r w:rsidRPr="00027B73">
        <w:rPr>
          <w:i/>
        </w:rPr>
        <w:t>Metoposaurus diagnosticus</w:t>
      </w:r>
      <w:r w:rsidRPr="00027B73">
        <w:t xml:space="preserve">. </w:t>
      </w:r>
      <w:r w:rsidRPr="00027B73">
        <w:rPr>
          <w:i/>
        </w:rPr>
        <w:t>Acta Palaeontologica Polonica</w:t>
      </w:r>
      <w:r w:rsidRPr="00027B73">
        <w:t xml:space="preserve"> </w:t>
      </w:r>
      <w:r w:rsidRPr="00027B73">
        <w:rPr>
          <w:b/>
        </w:rPr>
        <w:t>47</w:t>
      </w:r>
      <w:r w:rsidRPr="00027B73">
        <w:t xml:space="preserve"> (2002).</w:t>
      </w:r>
    </w:p>
    <w:p w14:paraId="675DC1A4" w14:textId="702282D6" w:rsidR="00027B73" w:rsidRPr="00027B73" w:rsidRDefault="00027B73" w:rsidP="00027B73">
      <w:pPr>
        <w:pStyle w:val="EndNoteBibliography"/>
        <w:ind w:left="720" w:hanging="720"/>
      </w:pPr>
      <w:r w:rsidRPr="00027B73">
        <w:t xml:space="preserve">Sulej, T. Osteology, variability, and evolution of </w:t>
      </w:r>
      <w:r w:rsidRPr="00027B73">
        <w:rPr>
          <w:i/>
        </w:rPr>
        <w:t>Metoposaurus</w:t>
      </w:r>
      <w:r w:rsidRPr="00027B73">
        <w:t xml:space="preserve">, a temnospondyl from the Late Triassic of Poland. </w:t>
      </w:r>
      <w:r w:rsidRPr="00027B73">
        <w:rPr>
          <w:i/>
        </w:rPr>
        <w:t>Acta Palaeontologia Polonica</w:t>
      </w:r>
      <w:r w:rsidRPr="00027B73">
        <w:t xml:space="preserve"> </w:t>
      </w:r>
      <w:r w:rsidRPr="00027B73">
        <w:rPr>
          <w:b/>
        </w:rPr>
        <w:t>64</w:t>
      </w:r>
      <w:r w:rsidRPr="00027B73">
        <w:t>, 29-139 (2007).</w:t>
      </w:r>
    </w:p>
    <w:p w14:paraId="66308EB4" w14:textId="1027B44F" w:rsidR="00027B73" w:rsidRPr="00027B73" w:rsidRDefault="00027B73" w:rsidP="00027B73">
      <w:pPr>
        <w:pStyle w:val="EndNoteBibliography"/>
        <w:ind w:left="720" w:hanging="720"/>
      </w:pPr>
      <w:r w:rsidRPr="00027B73">
        <w:t xml:space="preserve">Sulej, T. &amp; Majer, D. The temnospondyl amphibian </w:t>
      </w:r>
      <w:r w:rsidRPr="00027B73">
        <w:rPr>
          <w:i/>
        </w:rPr>
        <w:t xml:space="preserve">Cyclotosaurus </w:t>
      </w:r>
      <w:r w:rsidRPr="00027B73">
        <w:t xml:space="preserve">from the Upper Triassic of Poland. </w:t>
      </w:r>
      <w:r w:rsidRPr="00027B73">
        <w:rPr>
          <w:i/>
        </w:rPr>
        <w:t>Palaeontology</w:t>
      </w:r>
      <w:r w:rsidRPr="00027B73">
        <w:t xml:space="preserve"> </w:t>
      </w:r>
      <w:r w:rsidRPr="00027B73">
        <w:rPr>
          <w:b/>
        </w:rPr>
        <w:t>48</w:t>
      </w:r>
      <w:r w:rsidRPr="00027B73">
        <w:t>, 157-170 (2005).</w:t>
      </w:r>
    </w:p>
    <w:p w14:paraId="428A619C" w14:textId="760EFE0E" w:rsidR="00027B73" w:rsidRPr="00027B73" w:rsidRDefault="00027B73" w:rsidP="00027B73">
      <w:pPr>
        <w:pStyle w:val="EndNoteBibliography"/>
        <w:ind w:left="720" w:hanging="720"/>
      </w:pPr>
      <w:r w:rsidRPr="00027B73">
        <w:t xml:space="preserve">Sullivan, C., Reisz, R. R. &amp; May, W. J. Large dissorophoid skeletal elements from the Lower Permian Richards Spur fissures, Oklahoma, and their paleoecological implications. </w:t>
      </w:r>
      <w:r w:rsidRPr="00027B73">
        <w:rPr>
          <w:i/>
        </w:rPr>
        <w:t>Journal of Vertebrate Paleontology</w:t>
      </w:r>
      <w:r w:rsidRPr="00027B73">
        <w:t xml:space="preserve"> </w:t>
      </w:r>
      <w:r w:rsidRPr="00027B73">
        <w:rPr>
          <w:b/>
        </w:rPr>
        <w:t>20</w:t>
      </w:r>
      <w:r w:rsidRPr="00027B73">
        <w:t>, 456-461 (2000).</w:t>
      </w:r>
    </w:p>
    <w:p w14:paraId="00348E0E" w14:textId="3936AF75" w:rsidR="00027B73" w:rsidRPr="00027B73" w:rsidRDefault="00027B73" w:rsidP="00027B73">
      <w:pPr>
        <w:pStyle w:val="EndNoteBibliography"/>
        <w:ind w:left="720" w:hanging="720"/>
      </w:pPr>
      <w:r w:rsidRPr="00027B73">
        <w:t xml:space="preserve">Sumida, S. S. in </w:t>
      </w:r>
      <w:r w:rsidRPr="00027B73">
        <w:rPr>
          <w:i/>
        </w:rPr>
        <w:t>Amniote origins: completing the transition to land</w:t>
      </w:r>
      <w:r w:rsidRPr="00027B73">
        <w:t xml:space="preserve"> (eds S Sumida &amp; K Martin)  353-398 (Academic Press, 1997).</w:t>
      </w:r>
    </w:p>
    <w:p w14:paraId="06C20412" w14:textId="0E6B05CF" w:rsidR="00027B73" w:rsidRPr="00027B73" w:rsidRDefault="00027B73" w:rsidP="00027B73">
      <w:pPr>
        <w:pStyle w:val="EndNoteBibliography"/>
        <w:ind w:left="720" w:hanging="720"/>
      </w:pPr>
      <w:r w:rsidRPr="00027B73">
        <w:t xml:space="preserve">Summers, A. P. &amp; Wake, M. H. The retroarticular process, streptostyly and the caecilian jaw closing system. </w:t>
      </w:r>
      <w:r w:rsidRPr="00027B73">
        <w:rPr>
          <w:i/>
        </w:rPr>
        <w:t>Zoology</w:t>
      </w:r>
      <w:r w:rsidRPr="00027B73">
        <w:t xml:space="preserve"> </w:t>
      </w:r>
      <w:r w:rsidRPr="00027B73">
        <w:rPr>
          <w:b/>
        </w:rPr>
        <w:t>108</w:t>
      </w:r>
      <w:r w:rsidRPr="00027B73">
        <w:t>, 307-315 (2005).</w:t>
      </w:r>
    </w:p>
    <w:p w14:paraId="3C71D336" w14:textId="0FB75E18" w:rsidR="00027B73" w:rsidRPr="00027B73" w:rsidRDefault="00027B73" w:rsidP="00027B73">
      <w:pPr>
        <w:pStyle w:val="EndNoteBibliography"/>
        <w:ind w:left="720" w:hanging="720"/>
      </w:pPr>
      <w:r w:rsidRPr="00027B73">
        <w:t xml:space="preserve">Sumrall, C. D., Brochu, C. A. &amp; Merck, J. W. Global lability, regional resolution, and majority-rule consensus bias. </w:t>
      </w:r>
      <w:r w:rsidRPr="00027B73">
        <w:rPr>
          <w:i/>
        </w:rPr>
        <w:t>Paleobiology</w:t>
      </w:r>
      <w:r w:rsidRPr="00027B73">
        <w:t xml:space="preserve"> </w:t>
      </w:r>
      <w:r w:rsidRPr="00027B73">
        <w:rPr>
          <w:b/>
        </w:rPr>
        <w:t>27</w:t>
      </w:r>
      <w:r w:rsidRPr="00027B73">
        <w:t>, 254-261 (2001).</w:t>
      </w:r>
    </w:p>
    <w:p w14:paraId="1927AEB1" w14:textId="443E67E6" w:rsidR="00027B73" w:rsidRPr="00027B73" w:rsidRDefault="00027B73" w:rsidP="00027B73">
      <w:pPr>
        <w:pStyle w:val="EndNoteBibliography"/>
        <w:ind w:left="720" w:hanging="720"/>
      </w:pPr>
      <w:r w:rsidRPr="00027B73">
        <w:t xml:space="preserve">Sweetman, S. C. &amp; Gardner, J. D. A new albanerpetontid amphibian from the Barremian (Early Cretaceous) Wessex Formation of the Isle of Wight, southern England. </w:t>
      </w:r>
      <w:r w:rsidRPr="00027B73">
        <w:rPr>
          <w:i/>
        </w:rPr>
        <w:t>Acta Palaeontologica Polonica</w:t>
      </w:r>
      <w:r w:rsidRPr="00027B73">
        <w:t xml:space="preserve"> </w:t>
      </w:r>
      <w:r w:rsidRPr="00027B73">
        <w:rPr>
          <w:b/>
        </w:rPr>
        <w:t>58</w:t>
      </w:r>
      <w:r w:rsidRPr="00027B73">
        <w:t>, 295-324 (2012).</w:t>
      </w:r>
    </w:p>
    <w:p w14:paraId="2CE4C445" w14:textId="497DD3A4" w:rsidR="00027B73" w:rsidRPr="00027B73" w:rsidRDefault="00027B73" w:rsidP="00027B73">
      <w:pPr>
        <w:pStyle w:val="EndNoteBibliography"/>
        <w:ind w:left="720" w:hanging="720"/>
      </w:pPr>
      <w:r w:rsidRPr="00027B73">
        <w:t xml:space="preserve">Swofford, D. L. in </w:t>
      </w:r>
      <w:r w:rsidRPr="00027B73">
        <w:rPr>
          <w:i/>
        </w:rPr>
        <w:t>Phylogenetic analysis of DNA sequences</w:t>
      </w:r>
      <w:r w:rsidRPr="00027B73">
        <w:t xml:space="preserve"> (eds M. M. Miyamoto &amp; J Cracraft) 295-333 (Oxford University Press, New York, 1991).</w:t>
      </w:r>
    </w:p>
    <w:p w14:paraId="2FC769CF" w14:textId="7818A163" w:rsidR="00027B73" w:rsidRPr="00027B73" w:rsidRDefault="00027B73" w:rsidP="00027B73">
      <w:pPr>
        <w:pStyle w:val="EndNoteBibliography"/>
        <w:ind w:left="720" w:hanging="720"/>
      </w:pPr>
      <w:r w:rsidRPr="00027B73">
        <w:t xml:space="preserve">Szostakiwskyj, M., Pardo, J. D. &amp; Anderson, J. S. Micro-CT study of </w:t>
      </w:r>
      <w:r w:rsidRPr="00027B73">
        <w:rPr>
          <w:i/>
        </w:rPr>
        <w:t xml:space="preserve">Rhynchonkos stovalli </w:t>
      </w:r>
      <w:r w:rsidRPr="00027B73">
        <w:t xml:space="preserve">(Lepospondyli, Recumbirostra), with description of two new genera. </w:t>
      </w:r>
      <w:r w:rsidRPr="00027B73">
        <w:rPr>
          <w:i/>
        </w:rPr>
        <w:t>PLoS One</w:t>
      </w:r>
      <w:r w:rsidRPr="00027B73">
        <w:t xml:space="preserve"> </w:t>
      </w:r>
      <w:r w:rsidRPr="00027B73">
        <w:rPr>
          <w:b/>
        </w:rPr>
        <w:t>10</w:t>
      </w:r>
      <w:r w:rsidRPr="00027B73">
        <w:t>, e0127307 (2015).</w:t>
      </w:r>
    </w:p>
    <w:p w14:paraId="2C418B97" w14:textId="3F49CEE0" w:rsidR="00027B73" w:rsidRPr="00027B73" w:rsidRDefault="00027B73" w:rsidP="00027B73">
      <w:pPr>
        <w:pStyle w:val="EndNoteBibliography"/>
        <w:ind w:left="720" w:hanging="720"/>
      </w:pPr>
      <w:r w:rsidRPr="00027B73">
        <w:t xml:space="preserve">Taylor, E. H. The comparative anatomy of caecilian mandibles and their teeth. </w:t>
      </w:r>
      <w:r w:rsidRPr="00027B73">
        <w:rPr>
          <w:i/>
        </w:rPr>
        <w:t>University of Kansas Science Bulletin</w:t>
      </w:r>
      <w:r w:rsidRPr="00027B73">
        <w:t xml:space="preserve"> </w:t>
      </w:r>
      <w:r w:rsidRPr="00027B73">
        <w:rPr>
          <w:b/>
        </w:rPr>
        <w:t>51</w:t>
      </w:r>
      <w:r w:rsidRPr="00027B73">
        <w:t>, 261-282 (1977).</w:t>
      </w:r>
    </w:p>
    <w:p w14:paraId="672052DD" w14:textId="641B95A3" w:rsidR="00027B73" w:rsidRPr="00027B73" w:rsidRDefault="00027B73" w:rsidP="00027B73">
      <w:pPr>
        <w:pStyle w:val="EndNoteBibliography"/>
        <w:ind w:left="720" w:hanging="720"/>
      </w:pPr>
      <w:r w:rsidRPr="00027B73">
        <w:t xml:space="preserve">Theska, T., Wilkinson, M., Gower, D. J. &amp; Müller, H. Musculoskeletal development of the central African caecilian </w:t>
      </w:r>
      <w:r w:rsidRPr="00027B73">
        <w:rPr>
          <w:i/>
        </w:rPr>
        <w:t>Idiocranium russeli</w:t>
      </w:r>
      <w:r w:rsidRPr="00027B73">
        <w:t xml:space="preserve"> (Amphibia: Gymnophiona: Indotyphlidae) and its bearing on the re-evolution of larvae in caecilian amphibians. </w:t>
      </w:r>
      <w:r w:rsidRPr="00027B73">
        <w:rPr>
          <w:i/>
        </w:rPr>
        <w:t>Zoomorphology</w:t>
      </w:r>
      <w:r w:rsidRPr="00027B73">
        <w:t xml:space="preserve"> </w:t>
      </w:r>
      <w:r w:rsidRPr="00027B73">
        <w:rPr>
          <w:b/>
        </w:rPr>
        <w:t>138</w:t>
      </w:r>
      <w:r w:rsidRPr="00027B73">
        <w:t>, 137-158 (2019).</w:t>
      </w:r>
    </w:p>
    <w:p w14:paraId="533F579C" w14:textId="4F07ACC1" w:rsidR="00027B73" w:rsidRPr="00027B73" w:rsidRDefault="00027B73" w:rsidP="00027B73">
      <w:pPr>
        <w:pStyle w:val="EndNoteBibliography"/>
        <w:ind w:left="720" w:hanging="720"/>
      </w:pPr>
      <w:r w:rsidRPr="00027B73">
        <w:t>Torsvik, T. H.</w:t>
      </w:r>
      <w:r w:rsidRPr="00027B73">
        <w:rPr>
          <w:i/>
        </w:rPr>
        <w:t xml:space="preserve"> et al.</w:t>
      </w:r>
      <w:r w:rsidRPr="00027B73">
        <w:t xml:space="preserve"> Phanerozoic polar wander, palaeogeography and dynamics. </w:t>
      </w:r>
      <w:r w:rsidRPr="00027B73">
        <w:rPr>
          <w:i/>
        </w:rPr>
        <w:t>Earth-Science Reviews</w:t>
      </w:r>
      <w:r w:rsidRPr="00027B73">
        <w:t xml:space="preserve"> </w:t>
      </w:r>
      <w:r w:rsidRPr="00027B73">
        <w:rPr>
          <w:b/>
        </w:rPr>
        <w:t>114</w:t>
      </w:r>
      <w:r w:rsidRPr="00027B73">
        <w:t>, 325-368 (2012).</w:t>
      </w:r>
    </w:p>
    <w:p w14:paraId="2CC2C83A" w14:textId="2718371B" w:rsidR="00027B73" w:rsidRPr="00027B73" w:rsidRDefault="00027B73" w:rsidP="00027B73">
      <w:pPr>
        <w:pStyle w:val="EndNoteBibliography"/>
        <w:ind w:left="720" w:hanging="720"/>
      </w:pPr>
      <w:r w:rsidRPr="00027B73">
        <w:t xml:space="preserve">Trueb, L. &amp; Cloutier, R. in </w:t>
      </w:r>
      <w:r w:rsidRPr="00027B73">
        <w:rPr>
          <w:i/>
        </w:rPr>
        <w:t>Origins of the higher groups of tetrapods: controversy and consensus</w:t>
      </w:r>
      <w:r w:rsidRPr="00027B73">
        <w:t xml:space="preserve">   (eds H.-P. Schultz &amp; L. Trueb)  223-313 (Cornell University Press, 1991).</w:t>
      </w:r>
    </w:p>
    <w:p w14:paraId="6CCB7830" w14:textId="786213F2" w:rsidR="00027B73" w:rsidRPr="00027B73" w:rsidRDefault="00027B73" w:rsidP="00027B73">
      <w:pPr>
        <w:pStyle w:val="EndNoteBibliography"/>
        <w:ind w:left="720" w:hanging="720"/>
      </w:pPr>
      <w:r w:rsidRPr="00027B73">
        <w:t xml:space="preserve">Urban, M. &amp; Berman, D. S. First occurrence of the Late Paleozoic amphibian </w:t>
      </w:r>
      <w:r w:rsidRPr="00027B73">
        <w:rPr>
          <w:i/>
        </w:rPr>
        <w:t xml:space="preserve">Zatrachys serratus </w:t>
      </w:r>
      <w:r w:rsidRPr="00027B73">
        <w:t xml:space="preserve">(Temnospondyli, Zatrachydidae) in the eastern United States. </w:t>
      </w:r>
      <w:r w:rsidRPr="00027B73">
        <w:rPr>
          <w:i/>
        </w:rPr>
        <w:t>Annals of Carnegie Museum</w:t>
      </w:r>
      <w:r w:rsidRPr="00027B73">
        <w:t xml:space="preserve"> </w:t>
      </w:r>
      <w:r w:rsidRPr="00027B73">
        <w:rPr>
          <w:b/>
        </w:rPr>
        <w:t>76</w:t>
      </w:r>
      <w:r w:rsidRPr="00027B73">
        <w:t>, 157-164 (2007).</w:t>
      </w:r>
    </w:p>
    <w:p w14:paraId="1BB5CEC7" w14:textId="5B831B87" w:rsidR="00027B73" w:rsidRPr="00027B73" w:rsidRDefault="00B2362F" w:rsidP="00027B73">
      <w:pPr>
        <w:pStyle w:val="EndNoteBibliography"/>
        <w:ind w:left="720" w:hanging="720"/>
      </w:pPr>
      <w:r>
        <w:t>V</w:t>
      </w:r>
      <w:r w:rsidR="00027B73" w:rsidRPr="00027B73">
        <w:t>an Hinsbergen, D. J.</w:t>
      </w:r>
      <w:r w:rsidR="00027B73" w:rsidRPr="00027B73">
        <w:rPr>
          <w:i/>
        </w:rPr>
        <w:t xml:space="preserve"> et al.</w:t>
      </w:r>
      <w:r w:rsidR="00027B73" w:rsidRPr="00027B73">
        <w:t xml:space="preserve"> A Paleolatitude Calculator for Paleoclimate Studies (model version 2.1). </w:t>
      </w:r>
      <w:r w:rsidR="00027B73" w:rsidRPr="00027B73">
        <w:rPr>
          <w:i/>
        </w:rPr>
        <w:t>PloS One</w:t>
      </w:r>
      <w:r w:rsidR="00027B73" w:rsidRPr="00027B73">
        <w:t xml:space="preserve"> </w:t>
      </w:r>
      <w:r w:rsidR="00027B73" w:rsidRPr="00027B73">
        <w:rPr>
          <w:b/>
        </w:rPr>
        <w:t>10</w:t>
      </w:r>
      <w:r w:rsidR="00027B73" w:rsidRPr="00027B73">
        <w:t>, doi:e0126946 (2015).</w:t>
      </w:r>
    </w:p>
    <w:p w14:paraId="0ECA77AD" w14:textId="42E42938" w:rsidR="00027B73" w:rsidRPr="00027B73" w:rsidRDefault="00027B73" w:rsidP="00027B73">
      <w:pPr>
        <w:pStyle w:val="EndNoteBibliography"/>
        <w:ind w:left="720" w:hanging="720"/>
      </w:pPr>
      <w:r w:rsidRPr="00027B73">
        <w:t xml:space="preserve">Vieites, D. R., Min, M.-S. &amp; Wake, D. B. Rapid diversification and dispersal during periods of global warming by plethodontid salamanders. </w:t>
      </w:r>
      <w:r w:rsidRPr="00027B73">
        <w:rPr>
          <w:i/>
        </w:rPr>
        <w:t>Proceedings of the National Academy of Sciences</w:t>
      </w:r>
      <w:r w:rsidRPr="00027B73">
        <w:t xml:space="preserve"> </w:t>
      </w:r>
      <w:r w:rsidRPr="00027B73">
        <w:rPr>
          <w:b/>
        </w:rPr>
        <w:t>104</w:t>
      </w:r>
      <w:r w:rsidRPr="00027B73">
        <w:t>, 19903-19907 (2007).</w:t>
      </w:r>
    </w:p>
    <w:p w14:paraId="71FBAF8C" w14:textId="495E2D13" w:rsidR="00027B73" w:rsidRPr="00027B73" w:rsidRDefault="00027B73" w:rsidP="00027B73">
      <w:pPr>
        <w:pStyle w:val="EndNoteBibliography"/>
        <w:ind w:left="720" w:hanging="720"/>
      </w:pPr>
      <w:r w:rsidRPr="00027B73">
        <w:t xml:space="preserve">Wake, M. Evolutionary diversification of cranial and spinal nerves and their targets in the gymnophione amphibians. </w:t>
      </w:r>
      <w:r w:rsidRPr="00027B73">
        <w:rPr>
          <w:i/>
        </w:rPr>
        <w:t>Cells Tissues Organs</w:t>
      </w:r>
      <w:r w:rsidRPr="00027B73">
        <w:t xml:space="preserve"> </w:t>
      </w:r>
      <w:r w:rsidRPr="00027B73">
        <w:rPr>
          <w:b/>
        </w:rPr>
        <w:t>148</w:t>
      </w:r>
      <w:r w:rsidRPr="00027B73">
        <w:t>, 160-168 (1993).</w:t>
      </w:r>
    </w:p>
    <w:p w14:paraId="60CF351D" w14:textId="0CA90F99" w:rsidR="00027B73" w:rsidRPr="00027B73" w:rsidRDefault="00027B73" w:rsidP="00027B73">
      <w:pPr>
        <w:pStyle w:val="EndNoteBibliography"/>
        <w:ind w:left="720" w:hanging="720"/>
      </w:pPr>
      <w:r w:rsidRPr="00027B73">
        <w:t xml:space="preserve">Wake, M. H. The comparative morphology and evolution of the eyes of caecilians (Amphibia, Gymnophiona). </w:t>
      </w:r>
      <w:r w:rsidRPr="00027B73">
        <w:rPr>
          <w:i/>
        </w:rPr>
        <w:t>Zoomorphology</w:t>
      </w:r>
      <w:r w:rsidRPr="00027B73">
        <w:t xml:space="preserve"> </w:t>
      </w:r>
      <w:r w:rsidRPr="00027B73">
        <w:rPr>
          <w:b/>
        </w:rPr>
        <w:t>105</w:t>
      </w:r>
      <w:r w:rsidRPr="00027B73">
        <w:t>, 277-295 (1985).</w:t>
      </w:r>
    </w:p>
    <w:p w14:paraId="228916FE" w14:textId="5F9BA9B0" w:rsidR="00027B73" w:rsidRPr="00027B73" w:rsidRDefault="00027B73" w:rsidP="00027B73">
      <w:pPr>
        <w:pStyle w:val="EndNoteBibliography"/>
        <w:ind w:left="720" w:hanging="720"/>
      </w:pPr>
      <w:r w:rsidRPr="00027B73">
        <w:t xml:space="preserve">Wake, M. H. in </w:t>
      </w:r>
      <w:r w:rsidRPr="00027B73">
        <w:rPr>
          <w:i/>
        </w:rPr>
        <w:t>Amphibian Biology, Volume 5: Osteology</w:t>
      </w:r>
      <w:r w:rsidRPr="00027B73">
        <w:t xml:space="preserve"> (eds H. Heatwole &amp; M. Davies)  1809-1876 (Chipping Norton: Surrey Beatty and Sons., 2003).</w:t>
      </w:r>
    </w:p>
    <w:p w14:paraId="3D87EA42" w14:textId="14AD67DC" w:rsidR="00027B73" w:rsidRPr="00027B73" w:rsidRDefault="00027B73" w:rsidP="00027B73">
      <w:pPr>
        <w:pStyle w:val="EndNoteBibliography"/>
        <w:ind w:left="720" w:hanging="720"/>
      </w:pPr>
      <w:r w:rsidRPr="00027B73">
        <w:t xml:space="preserve">Wake, M. H. &amp; Hanken, J. Development of the skull of </w:t>
      </w:r>
      <w:r w:rsidRPr="00027B73">
        <w:rPr>
          <w:i/>
        </w:rPr>
        <w:t>Dermophis mexicanus</w:t>
      </w:r>
      <w:r w:rsidRPr="00027B73">
        <w:t xml:space="preserve"> (Amphibia: Gymnophiona), with comments on skull kinesis and amphibian relationships. </w:t>
      </w:r>
      <w:r w:rsidRPr="00027B73">
        <w:rPr>
          <w:i/>
        </w:rPr>
        <w:t>Journal of Morphology</w:t>
      </w:r>
      <w:r w:rsidRPr="00027B73">
        <w:t xml:space="preserve"> </w:t>
      </w:r>
      <w:r w:rsidRPr="00027B73">
        <w:rPr>
          <w:b/>
        </w:rPr>
        <w:t>173</w:t>
      </w:r>
      <w:r w:rsidRPr="00027B73">
        <w:t>, 203-223 (1982).</w:t>
      </w:r>
    </w:p>
    <w:p w14:paraId="0E4EF99D" w14:textId="17CD11ED" w:rsidR="00027B73" w:rsidRPr="00027B73" w:rsidRDefault="00027B73" w:rsidP="00027B73">
      <w:pPr>
        <w:pStyle w:val="EndNoteBibliography"/>
        <w:ind w:left="720" w:hanging="720"/>
      </w:pPr>
      <w:r w:rsidRPr="00027B73">
        <w:t xml:space="preserve">Wake, M. H. &amp; Wurst, G. Z. Tooth crown morphology in caecilians (Amphibia:Gymnophiona). </w:t>
      </w:r>
      <w:r w:rsidRPr="00027B73">
        <w:rPr>
          <w:i/>
        </w:rPr>
        <w:t>Journal of Morphology</w:t>
      </w:r>
      <w:r w:rsidRPr="00027B73">
        <w:t xml:space="preserve"> </w:t>
      </w:r>
      <w:r w:rsidRPr="00027B73">
        <w:rPr>
          <w:b/>
        </w:rPr>
        <w:t>159</w:t>
      </w:r>
      <w:r w:rsidRPr="00027B73">
        <w:t>, 331-341 (1979).</w:t>
      </w:r>
    </w:p>
    <w:p w14:paraId="23345416" w14:textId="5594403B" w:rsidR="00027B73" w:rsidRPr="00027B73" w:rsidRDefault="00027B73" w:rsidP="00027B73">
      <w:pPr>
        <w:pStyle w:val="EndNoteBibliography"/>
        <w:ind w:left="720" w:hanging="720"/>
      </w:pPr>
      <w:r w:rsidRPr="00027B73">
        <w:t xml:space="preserve">Wake, T. A., Wake, M. H. &amp; Lesure, R. G. First Quaternary fossil record of caecilians from a Mexican archaeological site. </w:t>
      </w:r>
      <w:r w:rsidRPr="00027B73">
        <w:rPr>
          <w:i/>
        </w:rPr>
        <w:t>Quaternary Research</w:t>
      </w:r>
      <w:r w:rsidRPr="00027B73">
        <w:t xml:space="preserve"> </w:t>
      </w:r>
      <w:r w:rsidRPr="00027B73">
        <w:rPr>
          <w:b/>
        </w:rPr>
        <w:t>52</w:t>
      </w:r>
      <w:r w:rsidRPr="00027B73">
        <w:t>, 138-140 (1999).</w:t>
      </w:r>
    </w:p>
    <w:p w14:paraId="454C3CF3" w14:textId="0DABD10D" w:rsidR="00027B73" w:rsidRPr="00027B73" w:rsidRDefault="00027B73" w:rsidP="00027B73">
      <w:pPr>
        <w:pStyle w:val="EndNoteBibliography"/>
        <w:ind w:left="720" w:hanging="720"/>
      </w:pPr>
      <w:r w:rsidRPr="00027B73">
        <w:t xml:space="preserve">Warren, A. </w:t>
      </w:r>
      <w:r w:rsidRPr="00027B73">
        <w:rPr>
          <w:i/>
        </w:rPr>
        <w:t>Parotosuchus</w:t>
      </w:r>
      <w:r w:rsidRPr="00027B73">
        <w:t xml:space="preserve"> from the early Triassic of Queensland and Western Australia. </w:t>
      </w:r>
      <w:r w:rsidRPr="00027B73">
        <w:rPr>
          <w:i/>
        </w:rPr>
        <w:t>Alcheringa</w:t>
      </w:r>
      <w:r w:rsidRPr="00027B73">
        <w:t xml:space="preserve"> </w:t>
      </w:r>
      <w:r w:rsidRPr="00027B73">
        <w:rPr>
          <w:b/>
        </w:rPr>
        <w:t>4</w:t>
      </w:r>
      <w:r w:rsidRPr="00027B73">
        <w:t>, 25-36 (1980).</w:t>
      </w:r>
    </w:p>
    <w:p w14:paraId="0F4EABD8" w14:textId="4E7FF81E" w:rsidR="00027B73" w:rsidRPr="00027B73" w:rsidRDefault="00027B73" w:rsidP="00027B73">
      <w:pPr>
        <w:pStyle w:val="EndNoteBibliography"/>
        <w:ind w:left="720" w:hanging="720"/>
      </w:pPr>
      <w:r w:rsidRPr="00027B73">
        <w:t xml:space="preserve">Warren, A. A horned member of the labyrinthodont super-family Brachyopoidea from the Early Triassic of Queensland. </w:t>
      </w:r>
      <w:r w:rsidRPr="00027B73">
        <w:rPr>
          <w:i/>
        </w:rPr>
        <w:t>Alcheringa</w:t>
      </w:r>
      <w:r w:rsidRPr="00027B73">
        <w:t xml:space="preserve"> </w:t>
      </w:r>
      <w:r w:rsidRPr="00027B73">
        <w:rPr>
          <w:b/>
        </w:rPr>
        <w:t>5</w:t>
      </w:r>
      <w:r w:rsidRPr="00027B73">
        <w:t>, 273-288 (1981).</w:t>
      </w:r>
    </w:p>
    <w:p w14:paraId="177C56E0" w14:textId="71C9694E" w:rsidR="00027B73" w:rsidRPr="00027B73" w:rsidRDefault="00027B73" w:rsidP="00027B73">
      <w:pPr>
        <w:pStyle w:val="EndNoteBibliography"/>
        <w:ind w:left="720" w:hanging="720"/>
      </w:pPr>
      <w:r w:rsidRPr="00027B73">
        <w:t xml:space="preserve">Warren, A. Karoo tupilakosaurid: a relict from Gondwana. </w:t>
      </w:r>
      <w:r w:rsidRPr="00027B73">
        <w:rPr>
          <w:i/>
        </w:rPr>
        <w:t>Earth and Environmental Science Transactions of the Royal Society of Edinburgh</w:t>
      </w:r>
      <w:r w:rsidRPr="00027B73">
        <w:t xml:space="preserve"> </w:t>
      </w:r>
      <w:r w:rsidRPr="00027B73">
        <w:rPr>
          <w:b/>
        </w:rPr>
        <w:t>89</w:t>
      </w:r>
      <w:r w:rsidRPr="00027B73">
        <w:t>, 145-160 (1998</w:t>
      </w:r>
      <w:r w:rsidR="00F60417">
        <w:t>a</w:t>
      </w:r>
      <w:r w:rsidRPr="00027B73">
        <w:t>).</w:t>
      </w:r>
    </w:p>
    <w:p w14:paraId="41FA96CB" w14:textId="665E2748" w:rsidR="00027B73" w:rsidRPr="00027B73" w:rsidRDefault="00027B73" w:rsidP="00027B73">
      <w:pPr>
        <w:pStyle w:val="EndNoteBibliography"/>
        <w:ind w:left="720" w:hanging="720"/>
      </w:pPr>
      <w:r w:rsidRPr="00027B73">
        <w:t xml:space="preserve">Warren, A. </w:t>
      </w:r>
      <w:r w:rsidRPr="00027B73">
        <w:rPr>
          <w:i/>
        </w:rPr>
        <w:t>Laidleria</w:t>
      </w:r>
      <w:r w:rsidRPr="00027B73">
        <w:t xml:space="preserve"> uncovered: a redescription of</w:t>
      </w:r>
      <w:r w:rsidRPr="00027B73">
        <w:rPr>
          <w:i/>
        </w:rPr>
        <w:t xml:space="preserve"> Laidleria gracilis </w:t>
      </w:r>
      <w:r w:rsidRPr="00027B73">
        <w:t xml:space="preserve">Kitching (1957), a temnospondyl from the Cynognathus Zone of South Africa. </w:t>
      </w:r>
      <w:r w:rsidRPr="00027B73">
        <w:rPr>
          <w:i/>
        </w:rPr>
        <w:t>Zoological Journal of the Linnean Society</w:t>
      </w:r>
      <w:r w:rsidRPr="00027B73">
        <w:t xml:space="preserve"> </w:t>
      </w:r>
      <w:r w:rsidRPr="00027B73">
        <w:rPr>
          <w:b/>
        </w:rPr>
        <w:t>122</w:t>
      </w:r>
      <w:r w:rsidRPr="00027B73">
        <w:t>, 167-185 (1998</w:t>
      </w:r>
      <w:r w:rsidR="00F60417">
        <w:t>b</w:t>
      </w:r>
      <w:r w:rsidRPr="00027B73">
        <w:t>).</w:t>
      </w:r>
    </w:p>
    <w:p w14:paraId="54227C2F" w14:textId="6B355AA0" w:rsidR="00027B73" w:rsidRPr="00027B73" w:rsidRDefault="00027B73" w:rsidP="00027B73">
      <w:pPr>
        <w:pStyle w:val="EndNoteBibliography"/>
        <w:ind w:left="720" w:hanging="720"/>
      </w:pPr>
      <w:r w:rsidRPr="00027B73">
        <w:t xml:space="preserve">Warren, A. &amp; Black, T. A new rhytidosteid (Amphibia, Labyrinthodontia) from the Early Triassic Arcadia Formation of Queensland, Australia, and the relationships of Triassic temnospondyls. </w:t>
      </w:r>
      <w:r w:rsidRPr="00027B73">
        <w:rPr>
          <w:i/>
        </w:rPr>
        <w:t>Journal of Vertebrate Paleontology</w:t>
      </w:r>
      <w:r w:rsidRPr="00027B73">
        <w:t xml:space="preserve"> </w:t>
      </w:r>
      <w:r w:rsidRPr="00027B73">
        <w:rPr>
          <w:b/>
        </w:rPr>
        <w:t>5</w:t>
      </w:r>
      <w:r w:rsidRPr="00027B73">
        <w:t>, 303-327 (1985).</w:t>
      </w:r>
    </w:p>
    <w:p w14:paraId="7DECB437" w14:textId="7B473AD6" w:rsidR="00027B73" w:rsidRPr="00027B73" w:rsidRDefault="00027B73" w:rsidP="00027B73">
      <w:pPr>
        <w:pStyle w:val="EndNoteBibliography"/>
        <w:ind w:left="720" w:hanging="720"/>
      </w:pPr>
      <w:r w:rsidRPr="00027B73">
        <w:t xml:space="preserve">Warren, A. &amp; Davey, L. Folded teeth in temnospondyls—a preliminary study. </w:t>
      </w:r>
      <w:r w:rsidRPr="00027B73">
        <w:rPr>
          <w:i/>
        </w:rPr>
        <w:t>Alcheringa</w:t>
      </w:r>
      <w:r w:rsidRPr="00027B73">
        <w:t xml:space="preserve"> </w:t>
      </w:r>
      <w:r w:rsidRPr="00027B73">
        <w:rPr>
          <w:b/>
        </w:rPr>
        <w:t>16</w:t>
      </w:r>
      <w:r w:rsidRPr="00027B73">
        <w:t>, 107-132 (1992).</w:t>
      </w:r>
    </w:p>
    <w:p w14:paraId="0404BF1A" w14:textId="676C2570" w:rsidR="00027B73" w:rsidRPr="00027B73" w:rsidRDefault="00027B73" w:rsidP="00027B73">
      <w:pPr>
        <w:pStyle w:val="EndNoteBibliography"/>
        <w:ind w:left="720" w:hanging="720"/>
      </w:pPr>
      <w:r w:rsidRPr="00027B73">
        <w:t xml:space="preserve">Warren, A. &amp; Hutchinson, M. The Madagascan capitosaurs. </w:t>
      </w:r>
      <w:r w:rsidRPr="00027B73">
        <w:rPr>
          <w:i/>
        </w:rPr>
        <w:t>Bulletin du Museum National d'Histoire Nuturelle, Paris</w:t>
      </w:r>
      <w:r w:rsidRPr="00027B73">
        <w:t xml:space="preserve"> </w:t>
      </w:r>
      <w:r w:rsidRPr="00027B73">
        <w:rPr>
          <w:b/>
        </w:rPr>
        <w:t>10</w:t>
      </w:r>
      <w:r w:rsidRPr="00027B73">
        <w:t>, 23-30 (1988</w:t>
      </w:r>
      <w:r w:rsidR="001A3B4F">
        <w:t>a</w:t>
      </w:r>
      <w:r w:rsidRPr="00027B73">
        <w:t>).</w:t>
      </w:r>
    </w:p>
    <w:p w14:paraId="17C0828D" w14:textId="7E234760" w:rsidR="00027B73" w:rsidRPr="00027B73" w:rsidRDefault="00027B73" w:rsidP="00027B73">
      <w:pPr>
        <w:pStyle w:val="EndNoteBibliography"/>
        <w:ind w:left="720" w:hanging="720"/>
      </w:pPr>
      <w:r w:rsidRPr="00027B73">
        <w:t xml:space="preserve">Warren, A. &amp; Hutchinson, M. A new capitosaurid amphibian from the Early Triassic of Queensland, and the ontogeny of the capitosaur skull. </w:t>
      </w:r>
      <w:r w:rsidRPr="00027B73">
        <w:rPr>
          <w:i/>
        </w:rPr>
        <w:t>Palaeontology</w:t>
      </w:r>
      <w:r w:rsidRPr="00027B73">
        <w:t xml:space="preserve"> </w:t>
      </w:r>
      <w:r w:rsidRPr="00027B73">
        <w:rPr>
          <w:b/>
        </w:rPr>
        <w:t>31</w:t>
      </w:r>
      <w:r w:rsidRPr="00027B73">
        <w:t>, 857-876 (1988</w:t>
      </w:r>
      <w:r w:rsidR="001A3B4F">
        <w:t>b</w:t>
      </w:r>
      <w:r w:rsidRPr="00027B73">
        <w:t>).</w:t>
      </w:r>
    </w:p>
    <w:p w14:paraId="3CABC43E" w14:textId="652351A4" w:rsidR="00027B73" w:rsidRPr="00027B73" w:rsidRDefault="00027B73" w:rsidP="00027B73">
      <w:pPr>
        <w:pStyle w:val="EndNoteBibliography"/>
        <w:ind w:left="720" w:hanging="720"/>
      </w:pPr>
      <w:r w:rsidRPr="00027B73">
        <w:t xml:space="preserve">Warren, A. &amp; Hutchinson, M. N. The last labyrinthodont? A new brachyopoid (Amphibia, Temnospondyli) from the early Jurassic Evergreen Formation of Queensland, Australia. </w:t>
      </w:r>
      <w:r w:rsidRPr="00027B73">
        <w:rPr>
          <w:i/>
        </w:rPr>
        <w:t>Philosophical Transactions of the Royal Society of London. B, Biological Sciences</w:t>
      </w:r>
      <w:r w:rsidRPr="00027B73">
        <w:t xml:space="preserve"> </w:t>
      </w:r>
      <w:r w:rsidRPr="00027B73">
        <w:rPr>
          <w:b/>
        </w:rPr>
        <w:t>303</w:t>
      </w:r>
      <w:r w:rsidRPr="00027B73">
        <w:t>, 1-62 (1983).</w:t>
      </w:r>
    </w:p>
    <w:p w14:paraId="37FCDEFF" w14:textId="0054901D" w:rsidR="00027B73" w:rsidRPr="00027B73" w:rsidRDefault="00027B73" w:rsidP="00027B73">
      <w:pPr>
        <w:pStyle w:val="EndNoteBibliography"/>
        <w:ind w:left="720" w:hanging="720"/>
      </w:pPr>
      <w:r w:rsidRPr="00027B73">
        <w:t xml:space="preserve">Warren, A. &amp; Marsicano, C. Revision of the Brachyopidae (Temnospondyli) from the Triassic of the Sydney, Carnarvon and Tasmania basins, Australia. </w:t>
      </w:r>
      <w:r w:rsidRPr="00027B73">
        <w:rPr>
          <w:i/>
        </w:rPr>
        <w:t>Alcheringa</w:t>
      </w:r>
      <w:r w:rsidRPr="00027B73">
        <w:t xml:space="preserve"> </w:t>
      </w:r>
      <w:r w:rsidRPr="00027B73">
        <w:rPr>
          <w:b/>
        </w:rPr>
        <w:t>22</w:t>
      </w:r>
      <w:r w:rsidRPr="00027B73">
        <w:t>, 329-342 (1998).</w:t>
      </w:r>
    </w:p>
    <w:p w14:paraId="5579DAA7" w14:textId="6BE892FF" w:rsidR="00027B73" w:rsidRPr="00027B73" w:rsidRDefault="00027B73" w:rsidP="00027B73">
      <w:pPr>
        <w:pStyle w:val="EndNoteBibliography"/>
        <w:ind w:left="720" w:hanging="720"/>
      </w:pPr>
      <w:r w:rsidRPr="00027B73">
        <w:t xml:space="preserve">Warren, A. &amp; Marsicano, C. A phylogeny of the Brachyopoidea (Temnospondyli, Stereospondyli). </w:t>
      </w:r>
      <w:r w:rsidRPr="00027B73">
        <w:rPr>
          <w:i/>
        </w:rPr>
        <w:t>Journal of Vertebrate Paleontology</w:t>
      </w:r>
      <w:r w:rsidRPr="00027B73">
        <w:t xml:space="preserve"> </w:t>
      </w:r>
      <w:r w:rsidRPr="00027B73">
        <w:rPr>
          <w:b/>
        </w:rPr>
        <w:t>20</w:t>
      </w:r>
      <w:r w:rsidRPr="00027B73">
        <w:t>, 462-483 (2000).</w:t>
      </w:r>
    </w:p>
    <w:p w14:paraId="7532BB30" w14:textId="4069A798" w:rsidR="00027B73" w:rsidRPr="00027B73" w:rsidRDefault="00027B73" w:rsidP="00027B73">
      <w:pPr>
        <w:pStyle w:val="EndNoteBibliography"/>
        <w:ind w:left="720" w:hanging="720"/>
      </w:pPr>
      <w:r w:rsidRPr="00027B73">
        <w:t xml:space="preserve">Warren, A., Rich, T. H. &amp; Vickers-Rich, P. The last, last labyrinthodonts? </w:t>
      </w:r>
      <w:r w:rsidRPr="00027B73">
        <w:rPr>
          <w:i/>
        </w:rPr>
        <w:t>Palaeontolographica Abteilung</w:t>
      </w:r>
      <w:r w:rsidRPr="00027B73">
        <w:t xml:space="preserve"> </w:t>
      </w:r>
      <w:r w:rsidRPr="00027B73">
        <w:rPr>
          <w:b/>
        </w:rPr>
        <w:t>247</w:t>
      </w:r>
      <w:r w:rsidRPr="00027B73">
        <w:t>, 1-24 (1997).</w:t>
      </w:r>
    </w:p>
    <w:p w14:paraId="59F149D5" w14:textId="410FE073" w:rsidR="00027B73" w:rsidRPr="00027B73" w:rsidRDefault="00027B73" w:rsidP="00027B73">
      <w:pPr>
        <w:pStyle w:val="EndNoteBibliography"/>
        <w:ind w:left="720" w:hanging="720"/>
      </w:pPr>
      <w:r w:rsidRPr="00027B73">
        <w:t xml:space="preserve">Warren, A., Rozefelds, A. C. &amp; Bull, S. Tupilakosaur-like vertebrae in </w:t>
      </w:r>
      <w:r w:rsidRPr="00027B73">
        <w:rPr>
          <w:i/>
        </w:rPr>
        <w:t>Bothriceps australis</w:t>
      </w:r>
      <w:r w:rsidRPr="00027B73">
        <w:t xml:space="preserve">, an Australian brachyopid stereospondyl. </w:t>
      </w:r>
      <w:r w:rsidRPr="00027B73">
        <w:rPr>
          <w:i/>
        </w:rPr>
        <w:t>Journal of Vertebrate Paleontology</w:t>
      </w:r>
      <w:r w:rsidRPr="00027B73">
        <w:t xml:space="preserve"> </w:t>
      </w:r>
      <w:r w:rsidRPr="00027B73">
        <w:rPr>
          <w:b/>
        </w:rPr>
        <w:t>31</w:t>
      </w:r>
      <w:r w:rsidRPr="00027B73">
        <w:t>, 738-753 (2011).</w:t>
      </w:r>
    </w:p>
    <w:p w14:paraId="5C0FE86C" w14:textId="5D512FE9" w:rsidR="00027B73" w:rsidRPr="00027B73" w:rsidRDefault="00027B73" w:rsidP="00027B73">
      <w:pPr>
        <w:pStyle w:val="EndNoteBibliography"/>
        <w:ind w:left="720" w:hanging="720"/>
      </w:pPr>
      <w:r w:rsidRPr="00027B73">
        <w:t xml:space="preserve">Warren, A. &amp; Snell, N. The postcranial skeleton of Mesozoic temnospondyl amphibians: a review. </w:t>
      </w:r>
      <w:r w:rsidRPr="00027B73">
        <w:rPr>
          <w:i/>
        </w:rPr>
        <w:t>Alcheringa</w:t>
      </w:r>
      <w:r w:rsidRPr="00027B73">
        <w:t xml:space="preserve"> </w:t>
      </w:r>
      <w:r w:rsidRPr="00027B73">
        <w:rPr>
          <w:b/>
        </w:rPr>
        <w:t>15</w:t>
      </w:r>
      <w:r w:rsidRPr="00027B73">
        <w:t>, 43-64 (1991).</w:t>
      </w:r>
    </w:p>
    <w:p w14:paraId="716D0634" w14:textId="775D7C95" w:rsidR="00027B73" w:rsidRPr="00027B73" w:rsidRDefault="00027B73" w:rsidP="00027B73">
      <w:pPr>
        <w:pStyle w:val="EndNoteBibliography"/>
        <w:ind w:left="720" w:hanging="720"/>
      </w:pPr>
      <w:r w:rsidRPr="00027B73">
        <w:t xml:space="preserve">Watson, D. M. S. </w:t>
      </w:r>
      <w:r w:rsidRPr="00C6106A">
        <w:rPr>
          <w:iCs/>
        </w:rPr>
        <w:t>The brachyopid labyrinthodonts.</w:t>
      </w:r>
      <w:r w:rsidRPr="00027B73">
        <w:t xml:space="preserve"> </w:t>
      </w:r>
      <w:r w:rsidRPr="00C6106A">
        <w:rPr>
          <w:i/>
          <w:iCs/>
        </w:rPr>
        <w:t>Bulletin of the British Museum of Natural History, Geology</w:t>
      </w:r>
      <w:r w:rsidRPr="00C6106A">
        <w:rPr>
          <w:b/>
          <w:bCs/>
        </w:rPr>
        <w:t xml:space="preserve"> </w:t>
      </w:r>
      <w:r w:rsidR="00C6106A" w:rsidRPr="00C6106A">
        <w:rPr>
          <w:b/>
          <w:bCs/>
        </w:rPr>
        <w:t>2</w:t>
      </w:r>
      <w:r w:rsidR="00C6106A">
        <w:t>, 1-61 (</w:t>
      </w:r>
      <w:r w:rsidRPr="00027B73">
        <w:t>1956).</w:t>
      </w:r>
    </w:p>
    <w:p w14:paraId="0DAE00B5" w14:textId="421AE4DD" w:rsidR="00027B73" w:rsidRPr="00027B73" w:rsidRDefault="00027B73" w:rsidP="00027B73">
      <w:pPr>
        <w:pStyle w:val="EndNoteBibliography"/>
        <w:ind w:left="720" w:hanging="720"/>
      </w:pPr>
      <w:r w:rsidRPr="00027B73">
        <w:t>Watson, D. M. S. A new labyrinthodont (</w:t>
      </w:r>
      <w:r w:rsidRPr="00027B73">
        <w:rPr>
          <w:i/>
        </w:rPr>
        <w:t>Paracyclotosaurus</w:t>
      </w:r>
      <w:r w:rsidRPr="00027B73">
        <w:t xml:space="preserve">) from the Upper Trias of New South Wales. </w:t>
      </w:r>
      <w:r w:rsidRPr="00027B73">
        <w:rPr>
          <w:i/>
        </w:rPr>
        <w:t>Bulletin of the British Museum of Natural History, Geology</w:t>
      </w:r>
      <w:r w:rsidRPr="00027B73">
        <w:t xml:space="preserve"> </w:t>
      </w:r>
      <w:r w:rsidRPr="00027B73">
        <w:rPr>
          <w:b/>
        </w:rPr>
        <w:t>3</w:t>
      </w:r>
      <w:r w:rsidRPr="00027B73">
        <w:t>, 233-263 (1958).</w:t>
      </w:r>
    </w:p>
    <w:p w14:paraId="2892CB45" w14:textId="1E9C7784" w:rsidR="00027B73" w:rsidRPr="00027B73" w:rsidRDefault="00027B73" w:rsidP="00027B73">
      <w:pPr>
        <w:pStyle w:val="EndNoteBibliography"/>
        <w:ind w:left="720" w:hanging="720"/>
      </w:pPr>
      <w:r w:rsidRPr="00027B73">
        <w:t xml:space="preserve">Welles, S. &amp; Cosgriff, J. A revision of the labyrinthodont family Capitosauridae, Moenkopi Formation of northern Arizona. </w:t>
      </w:r>
      <w:r w:rsidRPr="00027B73">
        <w:rPr>
          <w:i/>
        </w:rPr>
        <w:t>University of California Publications in Geological Sciences</w:t>
      </w:r>
      <w:r w:rsidRPr="00027B73">
        <w:t xml:space="preserve"> </w:t>
      </w:r>
      <w:r w:rsidRPr="00027B73">
        <w:rPr>
          <w:b/>
        </w:rPr>
        <w:t>54</w:t>
      </w:r>
      <w:r w:rsidRPr="00027B73">
        <w:t>, 1-148 (1965).</w:t>
      </w:r>
    </w:p>
    <w:p w14:paraId="64F4B348" w14:textId="218F5621" w:rsidR="00027B73" w:rsidRPr="00027B73" w:rsidRDefault="00027B73" w:rsidP="00027B73">
      <w:pPr>
        <w:pStyle w:val="EndNoteBibliography"/>
        <w:ind w:left="720" w:hanging="720"/>
      </w:pPr>
      <w:r w:rsidRPr="00027B73">
        <w:t xml:space="preserve">Welles, S. P. &amp; Estes, R. </w:t>
      </w:r>
      <w:r w:rsidRPr="00027B73">
        <w:rPr>
          <w:i/>
        </w:rPr>
        <w:t xml:space="preserve">Hadrokkosaurus bradyi </w:t>
      </w:r>
      <w:r w:rsidRPr="00027B73">
        <w:t xml:space="preserve">from the Upper Moenkopi Formation of Arizona: with a review of the brachyopid labyrinthodonts. </w:t>
      </w:r>
      <w:r w:rsidRPr="00027B73">
        <w:rPr>
          <w:i/>
        </w:rPr>
        <w:t>University of California Publications in Geological Sciences</w:t>
      </w:r>
      <w:r w:rsidRPr="00027B73">
        <w:t xml:space="preserve"> </w:t>
      </w:r>
      <w:r w:rsidRPr="00027B73">
        <w:rPr>
          <w:b/>
        </w:rPr>
        <w:t>84</w:t>
      </w:r>
      <w:r w:rsidRPr="00027B73">
        <w:t>, 1-56 (1969).</w:t>
      </w:r>
    </w:p>
    <w:p w14:paraId="4A4C9B60" w14:textId="5C51BE0B" w:rsidR="00027B73" w:rsidRPr="00027B73" w:rsidRDefault="00027B73" w:rsidP="00027B73">
      <w:pPr>
        <w:pStyle w:val="EndNoteBibliography"/>
        <w:ind w:left="720" w:hanging="720"/>
      </w:pPr>
      <w:r w:rsidRPr="00027B73">
        <w:t xml:space="preserve">Wellstead, C. F. Taxonomic revision of the Lysorophia, Permo-Carboniferous lepospondyl amphibians. </w:t>
      </w:r>
      <w:r w:rsidR="00C6106A">
        <w:rPr>
          <w:i/>
        </w:rPr>
        <w:t>B</w:t>
      </w:r>
      <w:r w:rsidRPr="00027B73">
        <w:rPr>
          <w:i/>
        </w:rPr>
        <w:t>ulletin of the American Museum of Natural History</w:t>
      </w:r>
      <w:r w:rsidRPr="00027B73">
        <w:t xml:space="preserve"> </w:t>
      </w:r>
      <w:r w:rsidRPr="00027B73">
        <w:rPr>
          <w:b/>
        </w:rPr>
        <w:t>209</w:t>
      </w:r>
      <w:r w:rsidRPr="00027B73">
        <w:t>, 209 (1991).</w:t>
      </w:r>
    </w:p>
    <w:p w14:paraId="068FD3EB" w14:textId="4A4E36F6" w:rsidR="00027B73" w:rsidRPr="00027B73" w:rsidRDefault="00027B73" w:rsidP="00027B73">
      <w:pPr>
        <w:pStyle w:val="EndNoteBibliography"/>
        <w:ind w:left="720" w:hanging="720"/>
      </w:pPr>
      <w:r w:rsidRPr="00027B73">
        <w:t xml:space="preserve">Werneburg, R. </w:t>
      </w:r>
      <w:r w:rsidRPr="00027B73">
        <w:rPr>
          <w:i/>
        </w:rPr>
        <w:t>Onchiodon</w:t>
      </w:r>
      <w:r w:rsidRPr="00027B73">
        <w:t xml:space="preserve"> (Eryopidae, Amphibia) aus dem Rotliegend des Innersudetischen Beckens (Böhmen). </w:t>
      </w:r>
      <w:r w:rsidRPr="00027B73">
        <w:rPr>
          <w:i/>
        </w:rPr>
        <w:t>Paläontologische Zeitschrift</w:t>
      </w:r>
      <w:r w:rsidRPr="00027B73">
        <w:t xml:space="preserve"> </w:t>
      </w:r>
      <w:r w:rsidRPr="00027B73">
        <w:rPr>
          <w:b/>
        </w:rPr>
        <w:t>67</w:t>
      </w:r>
      <w:r w:rsidRPr="00027B73">
        <w:t>, 343-355 (1993).</w:t>
      </w:r>
    </w:p>
    <w:p w14:paraId="0416C2F1" w14:textId="19AFEE4A" w:rsidR="00027B73" w:rsidRPr="00027B73" w:rsidRDefault="00027B73" w:rsidP="00027B73">
      <w:pPr>
        <w:pStyle w:val="EndNoteBibliography"/>
        <w:ind w:left="720" w:hanging="720"/>
      </w:pPr>
      <w:r w:rsidRPr="00027B73">
        <w:t xml:space="preserve">Werner, C. Der erste Nachweis von Gymnophionen (Amphibia) in der Kreide (Wadi-Milk-Formation, Sudan). </w:t>
      </w:r>
      <w:r w:rsidRPr="00027B73">
        <w:rPr>
          <w:i/>
        </w:rPr>
        <w:t>Neues Jahrbuch für Geologie und Paläontologie-Monatshefte</w:t>
      </w:r>
      <w:r w:rsidRPr="00027B73">
        <w:t xml:space="preserve"> </w:t>
      </w:r>
      <w:r w:rsidRPr="00027B73">
        <w:rPr>
          <w:b/>
        </w:rPr>
        <w:t>10</w:t>
      </w:r>
      <w:r w:rsidRPr="00027B73">
        <w:t>, 633-640 (1994).</w:t>
      </w:r>
    </w:p>
    <w:p w14:paraId="5B63BFD6" w14:textId="1BC69DFF" w:rsidR="00027B73" w:rsidRPr="00027B73" w:rsidRDefault="00027B73" w:rsidP="00027B73">
      <w:pPr>
        <w:pStyle w:val="EndNoteBibliography"/>
        <w:ind w:left="720" w:hanging="720"/>
      </w:pPr>
      <w:r w:rsidRPr="00027B73">
        <w:t xml:space="preserve">Wheeler, W. C. &amp; Pickett, K. M. Topology-Bayes versus Clade-Bayes in phylogenetic analysis. </w:t>
      </w:r>
      <w:r w:rsidRPr="00027B73">
        <w:rPr>
          <w:i/>
        </w:rPr>
        <w:t>Molecular biology and evolution</w:t>
      </w:r>
      <w:r w:rsidRPr="00027B73">
        <w:t xml:space="preserve"> </w:t>
      </w:r>
      <w:r w:rsidRPr="00027B73">
        <w:rPr>
          <w:b/>
        </w:rPr>
        <w:t>25</w:t>
      </w:r>
      <w:r w:rsidRPr="00027B73">
        <w:t>, 447-453 (2008).</w:t>
      </w:r>
    </w:p>
    <w:p w14:paraId="4AFBA281" w14:textId="2C298143" w:rsidR="00027B73" w:rsidRPr="00027B73" w:rsidRDefault="00027B73" w:rsidP="00027B73">
      <w:pPr>
        <w:pStyle w:val="EndNoteBibliography"/>
        <w:ind w:left="720" w:hanging="720"/>
      </w:pPr>
      <w:r w:rsidRPr="00027B73">
        <w:t xml:space="preserve">Whiteside, J. H., Grogan, D. S., Olsen, P. E. &amp; Kent, D. V. Climatically driven biogeographic provinces of Late Triassic tropical Pangea. </w:t>
      </w:r>
      <w:r w:rsidRPr="00027B73">
        <w:rPr>
          <w:i/>
        </w:rPr>
        <w:t>Proceedings of the National Academy of Sciences</w:t>
      </w:r>
      <w:r w:rsidRPr="00027B73">
        <w:t xml:space="preserve"> </w:t>
      </w:r>
      <w:r w:rsidRPr="00027B73">
        <w:rPr>
          <w:b/>
        </w:rPr>
        <w:t>108</w:t>
      </w:r>
      <w:r w:rsidRPr="00027B73">
        <w:t>, 8972-8977 (2011).</w:t>
      </w:r>
    </w:p>
    <w:p w14:paraId="3FEA1DCC" w14:textId="3078140C" w:rsidR="00027B73" w:rsidRPr="00027B73" w:rsidRDefault="00027B73" w:rsidP="00027B73">
      <w:pPr>
        <w:pStyle w:val="EndNoteBibliography"/>
        <w:ind w:left="720" w:hanging="720"/>
      </w:pPr>
      <w:r w:rsidRPr="00027B73">
        <w:t xml:space="preserve">Wilkinson, M. Characters, congruence and quality: a study of neuroanatomical and traditional data in caecilian phylogeny. </w:t>
      </w:r>
      <w:r w:rsidRPr="00027B73">
        <w:rPr>
          <w:i/>
        </w:rPr>
        <w:t>Biological Reviews</w:t>
      </w:r>
      <w:r w:rsidRPr="00027B73">
        <w:t xml:space="preserve"> </w:t>
      </w:r>
      <w:r w:rsidRPr="00027B73">
        <w:rPr>
          <w:b/>
        </w:rPr>
        <w:t>72</w:t>
      </w:r>
      <w:r w:rsidRPr="00027B73">
        <w:t>, 423-470 (1997).</w:t>
      </w:r>
    </w:p>
    <w:p w14:paraId="74AC0205" w14:textId="7740C1EF" w:rsidR="00027B73" w:rsidRPr="00027B73" w:rsidRDefault="00027B73" w:rsidP="00027B73">
      <w:pPr>
        <w:pStyle w:val="EndNoteBibliography"/>
        <w:ind w:left="720" w:hanging="720"/>
      </w:pPr>
      <w:r w:rsidRPr="00027B73">
        <w:t xml:space="preserve">Wilkinson, M. &amp; Nussbaum, R. A. On the phylogenetic position of the Uraeotyphlidae (Amphibia: Gymnophiona). </w:t>
      </w:r>
      <w:r w:rsidRPr="00027B73">
        <w:rPr>
          <w:i/>
        </w:rPr>
        <w:t>Copeia</w:t>
      </w:r>
      <w:r w:rsidRPr="00027B73">
        <w:t xml:space="preserve"> </w:t>
      </w:r>
      <w:r w:rsidRPr="00027B73">
        <w:rPr>
          <w:b/>
        </w:rPr>
        <w:t>1996</w:t>
      </w:r>
      <w:r w:rsidRPr="00027B73">
        <w:t>, 550-562 (1996).</w:t>
      </w:r>
    </w:p>
    <w:p w14:paraId="24DC3F6D" w14:textId="7AD2738F" w:rsidR="00027B73" w:rsidRPr="00027B73" w:rsidRDefault="00027B73" w:rsidP="00027B73">
      <w:pPr>
        <w:pStyle w:val="EndNoteBibliography"/>
        <w:ind w:left="720" w:hanging="720"/>
      </w:pPr>
      <w:r w:rsidRPr="00027B73">
        <w:t xml:space="preserve">Wilkinson, M., Reynolds, R. P. &amp; Jacobs, J. F. A new genus and species of rhinatrematid caecilian (Amphibia: Gymnophiona: Rhinatrematidae) from Ecuador. </w:t>
      </w:r>
      <w:r w:rsidRPr="00027B73">
        <w:rPr>
          <w:i/>
        </w:rPr>
        <w:t>Herpetological Journal</w:t>
      </w:r>
      <w:r w:rsidRPr="00027B73">
        <w:t xml:space="preserve"> </w:t>
      </w:r>
      <w:r w:rsidRPr="00027B73">
        <w:rPr>
          <w:b/>
        </w:rPr>
        <w:t>31</w:t>
      </w:r>
      <w:r w:rsidRPr="00027B73">
        <w:t xml:space="preserve"> (2021).</w:t>
      </w:r>
    </w:p>
    <w:p w14:paraId="5450794F" w14:textId="2E9A6390" w:rsidR="00027B73" w:rsidRPr="00027B73" w:rsidRDefault="00027B73" w:rsidP="00027B73">
      <w:pPr>
        <w:pStyle w:val="EndNoteBibliography"/>
        <w:ind w:left="720" w:hanging="720"/>
      </w:pPr>
      <w:r w:rsidRPr="00027B73">
        <w:t xml:space="preserve">Wilkinson, M., San Mauro, D., Sherratt, E. &amp; Gower, D. J. A nine-family classification of caecilians (Amphibia: Gymnophiona). </w:t>
      </w:r>
      <w:r w:rsidRPr="00027B73">
        <w:rPr>
          <w:i/>
        </w:rPr>
        <w:t>Zootaxa</w:t>
      </w:r>
      <w:r w:rsidRPr="00027B73">
        <w:t xml:space="preserve"> </w:t>
      </w:r>
      <w:r w:rsidRPr="00027B73">
        <w:rPr>
          <w:b/>
        </w:rPr>
        <w:t>2874</w:t>
      </w:r>
      <w:r w:rsidRPr="00027B73">
        <w:t>, 41–64-41–64 (2011).</w:t>
      </w:r>
    </w:p>
    <w:p w14:paraId="25A0225C" w14:textId="014F0F5F" w:rsidR="00027B73" w:rsidRPr="00027B73" w:rsidRDefault="00027B73" w:rsidP="00027B73">
      <w:pPr>
        <w:pStyle w:val="EndNoteBibliography"/>
        <w:ind w:left="720" w:hanging="720"/>
      </w:pPr>
      <w:r w:rsidRPr="00027B73">
        <w:t xml:space="preserve">Williston, S. New or little-known Permian vertebrates: </w:t>
      </w:r>
      <w:r w:rsidRPr="00027B73">
        <w:rPr>
          <w:i/>
        </w:rPr>
        <w:t>Trematops</w:t>
      </w:r>
      <w:r w:rsidRPr="00027B73">
        <w:t xml:space="preserve">, new genus. </w:t>
      </w:r>
      <w:r w:rsidRPr="00027B73">
        <w:rPr>
          <w:i/>
        </w:rPr>
        <w:t>The Journal of Geology</w:t>
      </w:r>
      <w:r w:rsidRPr="00027B73">
        <w:t xml:space="preserve"> </w:t>
      </w:r>
      <w:r w:rsidRPr="00027B73">
        <w:rPr>
          <w:b/>
        </w:rPr>
        <w:t>17</w:t>
      </w:r>
      <w:r w:rsidRPr="00027B73">
        <w:t>, 636-658 (1909).</w:t>
      </w:r>
    </w:p>
    <w:p w14:paraId="07C8532B" w14:textId="3CB80DA4" w:rsidR="00027B73" w:rsidRPr="00027B73" w:rsidRDefault="00027B73" w:rsidP="00027B73">
      <w:pPr>
        <w:pStyle w:val="EndNoteBibliography"/>
        <w:ind w:left="720" w:hanging="720"/>
      </w:pPr>
      <w:r w:rsidRPr="00027B73">
        <w:t xml:space="preserve">Williston, S. </w:t>
      </w:r>
      <w:r w:rsidRPr="00027B73">
        <w:rPr>
          <w:i/>
        </w:rPr>
        <w:t>Cacops</w:t>
      </w:r>
      <w:r w:rsidRPr="00027B73">
        <w:t xml:space="preserve">, </w:t>
      </w:r>
      <w:r w:rsidRPr="00027B73">
        <w:rPr>
          <w:i/>
        </w:rPr>
        <w:t>Desmospondylus</w:t>
      </w:r>
      <w:r w:rsidRPr="00027B73">
        <w:t xml:space="preserve">; new genera of Permian vertebrates. </w:t>
      </w:r>
      <w:r w:rsidRPr="00027B73">
        <w:rPr>
          <w:i/>
        </w:rPr>
        <w:t>Bulletin of the Geological Society of America</w:t>
      </w:r>
      <w:r w:rsidRPr="00027B73">
        <w:t xml:space="preserve"> </w:t>
      </w:r>
      <w:r w:rsidRPr="00027B73">
        <w:rPr>
          <w:b/>
        </w:rPr>
        <w:t>21</w:t>
      </w:r>
      <w:r w:rsidRPr="00027B73">
        <w:t>, 249-284 (1910).</w:t>
      </w:r>
    </w:p>
    <w:p w14:paraId="26E89E99" w14:textId="0A67076F" w:rsidR="00027B73" w:rsidRPr="00027B73" w:rsidRDefault="00027B73" w:rsidP="00027B73">
      <w:pPr>
        <w:pStyle w:val="EndNoteBibliography"/>
        <w:ind w:left="720" w:hanging="720"/>
      </w:pPr>
      <w:r w:rsidRPr="00027B73">
        <w:t xml:space="preserve">Williston, S. The primitive structure of the mandible in Amphibians and Reptiles. </w:t>
      </w:r>
      <w:r w:rsidRPr="00027B73">
        <w:rPr>
          <w:i/>
        </w:rPr>
        <w:t>The Journal of Geology</w:t>
      </w:r>
      <w:r w:rsidRPr="00027B73">
        <w:t xml:space="preserve"> </w:t>
      </w:r>
      <w:r w:rsidRPr="00027B73">
        <w:rPr>
          <w:b/>
        </w:rPr>
        <w:t>21</w:t>
      </w:r>
      <w:r w:rsidRPr="00027B73">
        <w:t>, 625-627 (1913).</w:t>
      </w:r>
    </w:p>
    <w:p w14:paraId="6FA3146A" w14:textId="56E2D9E0" w:rsidR="00027B73" w:rsidRPr="00027B73" w:rsidRDefault="00027B73" w:rsidP="00027B73">
      <w:pPr>
        <w:pStyle w:val="EndNoteBibliography"/>
        <w:ind w:left="720" w:hanging="720"/>
      </w:pPr>
      <w:r w:rsidRPr="00027B73">
        <w:t xml:space="preserve">Williston, S. W. </w:t>
      </w:r>
      <w:r w:rsidRPr="00027B73">
        <w:rPr>
          <w:i/>
        </w:rPr>
        <w:t>Broiliellus</w:t>
      </w:r>
      <w:r w:rsidRPr="00027B73">
        <w:t xml:space="preserve">, a new genus of amphibians from the Permian of Texas. </w:t>
      </w:r>
      <w:r w:rsidRPr="00027B73">
        <w:rPr>
          <w:i/>
        </w:rPr>
        <w:t>The Journal of Geology</w:t>
      </w:r>
      <w:r w:rsidRPr="00027B73">
        <w:t xml:space="preserve"> </w:t>
      </w:r>
      <w:r w:rsidRPr="00027B73">
        <w:rPr>
          <w:b/>
        </w:rPr>
        <w:t>22</w:t>
      </w:r>
      <w:r w:rsidRPr="00027B73">
        <w:t>, 49-56 (1914).</w:t>
      </w:r>
    </w:p>
    <w:p w14:paraId="5FDC6139" w14:textId="2EA0A8F7" w:rsidR="00027B73" w:rsidRPr="00027B73" w:rsidRDefault="00027B73" w:rsidP="00027B73">
      <w:pPr>
        <w:pStyle w:val="EndNoteBibliography"/>
        <w:ind w:left="720" w:hanging="720"/>
      </w:pPr>
      <w:r w:rsidRPr="00027B73">
        <w:t xml:space="preserve">Wilson, J. A. An interpretation of the skull of </w:t>
      </w:r>
      <w:r w:rsidRPr="00027B73">
        <w:rPr>
          <w:i/>
        </w:rPr>
        <w:t>Buettneria</w:t>
      </w:r>
      <w:r w:rsidRPr="00027B73">
        <w:t xml:space="preserve">, with special reference to the cartilages and soft parts. </w:t>
      </w:r>
      <w:r w:rsidRPr="00027B73">
        <w:rPr>
          <w:i/>
        </w:rPr>
        <w:t>Contributions from the Museum of Paleontology, University of Michigan</w:t>
      </w:r>
      <w:r w:rsidRPr="00027B73">
        <w:t xml:space="preserve"> </w:t>
      </w:r>
      <w:r w:rsidRPr="00027B73">
        <w:rPr>
          <w:b/>
        </w:rPr>
        <w:t>6</w:t>
      </w:r>
      <w:r w:rsidRPr="00027B73">
        <w:t>, 71-111 (1941).</w:t>
      </w:r>
    </w:p>
    <w:p w14:paraId="3077C208" w14:textId="363E8498" w:rsidR="00027B73" w:rsidRPr="00027B73" w:rsidRDefault="00027B73" w:rsidP="00027B73">
      <w:pPr>
        <w:pStyle w:val="EndNoteBibliography"/>
        <w:ind w:left="720" w:hanging="720"/>
      </w:pPr>
      <w:r w:rsidRPr="00027B73">
        <w:t xml:space="preserve">Witzmann, F. Cranial morphology and ontogeny of the Permo-Carboniferous temnospondyl </w:t>
      </w:r>
      <w:r w:rsidRPr="00027B73">
        <w:rPr>
          <w:i/>
        </w:rPr>
        <w:t xml:space="preserve">Archegosaurus decheni </w:t>
      </w:r>
      <w:r w:rsidRPr="00027B73">
        <w:t xml:space="preserve">Goldfuss, 1847 from the Saar–Nahe Basin, Germany. </w:t>
      </w:r>
      <w:r w:rsidRPr="00027B73">
        <w:rPr>
          <w:i/>
        </w:rPr>
        <w:t>Earth and Environmental Science Transactions of The Royal Society of Edinburgh</w:t>
      </w:r>
      <w:r w:rsidRPr="00027B73">
        <w:t xml:space="preserve"> </w:t>
      </w:r>
      <w:r w:rsidRPr="00027B73">
        <w:rPr>
          <w:b/>
        </w:rPr>
        <w:t>96</w:t>
      </w:r>
      <w:r w:rsidRPr="00027B73">
        <w:t>, 131-162 (2005).</w:t>
      </w:r>
    </w:p>
    <w:p w14:paraId="505C93EA" w14:textId="137DED84" w:rsidR="00027B73" w:rsidRPr="00027B73" w:rsidRDefault="00027B73" w:rsidP="00027B73">
      <w:pPr>
        <w:pStyle w:val="EndNoteBibliography"/>
        <w:ind w:left="720" w:hanging="720"/>
      </w:pPr>
      <w:r w:rsidRPr="00027B73">
        <w:t xml:space="preserve">Witzmann, F. The evolution of the scalation pattern in temnospondyl amphibians. </w:t>
      </w:r>
      <w:r w:rsidRPr="00027B73">
        <w:rPr>
          <w:i/>
        </w:rPr>
        <w:t>Zoological Journal of the Linnean Society</w:t>
      </w:r>
      <w:r w:rsidRPr="00027B73">
        <w:t xml:space="preserve"> </w:t>
      </w:r>
      <w:r w:rsidRPr="00027B73">
        <w:rPr>
          <w:b/>
        </w:rPr>
        <w:t>150</w:t>
      </w:r>
      <w:r w:rsidRPr="00027B73">
        <w:t>, 815-834 (2007).</w:t>
      </w:r>
    </w:p>
    <w:p w14:paraId="37BB55AB" w14:textId="5533ECBD" w:rsidR="00027B73" w:rsidRPr="00027B73" w:rsidRDefault="00027B73" w:rsidP="00027B73">
      <w:pPr>
        <w:pStyle w:val="EndNoteBibliography"/>
        <w:ind w:left="720" w:hanging="720"/>
      </w:pPr>
      <w:r w:rsidRPr="00027B73">
        <w:t xml:space="preserve">Witzmann, F. Phylogenetic patterns of character evolution in the hyobranchial apparatus of early tetrapods. </w:t>
      </w:r>
      <w:r w:rsidRPr="00027B73">
        <w:rPr>
          <w:i/>
        </w:rPr>
        <w:t>Earth and Environmental Science Transactions of the Royal Society of Edinburgh</w:t>
      </w:r>
      <w:r w:rsidRPr="00027B73">
        <w:t xml:space="preserve"> </w:t>
      </w:r>
      <w:r w:rsidRPr="00027B73">
        <w:rPr>
          <w:b/>
        </w:rPr>
        <w:t>104</w:t>
      </w:r>
      <w:r w:rsidRPr="00027B73">
        <w:t>, 145-167 (2013).</w:t>
      </w:r>
    </w:p>
    <w:p w14:paraId="4A727457" w14:textId="6CE41A0F" w:rsidR="00027B73" w:rsidRPr="00027B73" w:rsidRDefault="00027B73" w:rsidP="00027B73">
      <w:pPr>
        <w:pStyle w:val="EndNoteBibliography"/>
        <w:ind w:left="720" w:hanging="720"/>
      </w:pPr>
      <w:r w:rsidRPr="00027B73">
        <w:t>Witzmann, F.</w:t>
      </w:r>
      <w:r w:rsidRPr="00027B73">
        <w:rPr>
          <w:i/>
        </w:rPr>
        <w:t xml:space="preserve"> et al.</w:t>
      </w:r>
      <w:r w:rsidRPr="00027B73">
        <w:t xml:space="preserve"> Congenital malformations of the vertebral column in ancientamphibians. </w:t>
      </w:r>
      <w:r w:rsidRPr="00027B73">
        <w:rPr>
          <w:i/>
        </w:rPr>
        <w:t>Anatomia, histologia, embryologia</w:t>
      </w:r>
      <w:r w:rsidRPr="00027B73">
        <w:t xml:space="preserve"> </w:t>
      </w:r>
      <w:r w:rsidRPr="00027B73">
        <w:rPr>
          <w:b/>
        </w:rPr>
        <w:t>43</w:t>
      </w:r>
      <w:r w:rsidRPr="00027B73">
        <w:t>, 90-102 (2014).</w:t>
      </w:r>
    </w:p>
    <w:p w14:paraId="2CA521FB" w14:textId="7440056E" w:rsidR="00027B73" w:rsidRPr="00027B73" w:rsidRDefault="00027B73" w:rsidP="00027B73">
      <w:pPr>
        <w:pStyle w:val="EndNoteBibliography"/>
        <w:ind w:left="720" w:hanging="720"/>
      </w:pPr>
      <w:r w:rsidRPr="00027B73">
        <w:t xml:space="preserve">Witzmann, F., Sachs, S. &amp; Nyhuis, C. J. A new species of </w:t>
      </w:r>
      <w:r w:rsidRPr="00027B73">
        <w:rPr>
          <w:i/>
        </w:rPr>
        <w:t xml:space="preserve">Cyclotosaurus </w:t>
      </w:r>
      <w:r w:rsidRPr="00027B73">
        <w:t xml:space="preserve">(Stereospondyli, Capitosauria) from the Late Triassic of Bielefeld, NW Germany, and the intrarelationships of the genus. </w:t>
      </w:r>
      <w:r w:rsidRPr="00027B73">
        <w:rPr>
          <w:i/>
        </w:rPr>
        <w:t>Fossil Record</w:t>
      </w:r>
      <w:r w:rsidRPr="00027B73">
        <w:t xml:space="preserve"> </w:t>
      </w:r>
      <w:r w:rsidRPr="00027B73">
        <w:rPr>
          <w:b/>
        </w:rPr>
        <w:t>19</w:t>
      </w:r>
      <w:r w:rsidRPr="00027B73">
        <w:t>, 83-100 (2016).</w:t>
      </w:r>
    </w:p>
    <w:p w14:paraId="5A9F0B7F" w14:textId="716DBA60" w:rsidR="00027B73" w:rsidRPr="00027B73" w:rsidRDefault="00027B73" w:rsidP="00027B73">
      <w:pPr>
        <w:pStyle w:val="EndNoteBibliography"/>
        <w:ind w:left="720" w:hanging="720"/>
      </w:pPr>
      <w:r w:rsidRPr="00027B73">
        <w:t xml:space="preserve">Witzmann, F. &amp; Schoch, R. R. The postcranium of </w:t>
      </w:r>
      <w:r w:rsidRPr="00027B73">
        <w:rPr>
          <w:i/>
        </w:rPr>
        <w:t>Archegosaurus decheni</w:t>
      </w:r>
      <w:r w:rsidRPr="00027B73">
        <w:t xml:space="preserve">, and a phylogenetic analysis of temnospondyl postcrania. </w:t>
      </w:r>
      <w:r w:rsidRPr="00027B73">
        <w:rPr>
          <w:i/>
        </w:rPr>
        <w:t>Palaeontology</w:t>
      </w:r>
      <w:r w:rsidRPr="00027B73">
        <w:t xml:space="preserve"> </w:t>
      </w:r>
      <w:r w:rsidRPr="00027B73">
        <w:rPr>
          <w:b/>
        </w:rPr>
        <w:t>49</w:t>
      </w:r>
      <w:r w:rsidRPr="00027B73">
        <w:t>, 1211-1235 (2006).</w:t>
      </w:r>
    </w:p>
    <w:p w14:paraId="7A5F0F24" w14:textId="14C12839" w:rsidR="00027B73" w:rsidRPr="00027B73" w:rsidRDefault="00027B73" w:rsidP="00027B73">
      <w:pPr>
        <w:pStyle w:val="EndNoteBibliography"/>
        <w:ind w:left="720" w:hanging="720"/>
      </w:pPr>
      <w:r w:rsidRPr="00027B73">
        <w:t xml:space="preserve">Witzmann, F., Schoch, R. R., Hilger, A. &amp; Kardjilov, N. Braincase, palatoquadrate and ear region of the plagiosaurid </w:t>
      </w:r>
      <w:r w:rsidRPr="00027B73">
        <w:rPr>
          <w:i/>
        </w:rPr>
        <w:t>Gerrothorax pulcherrimus</w:t>
      </w:r>
      <w:r w:rsidRPr="00027B73">
        <w:t xml:space="preserve"> from the Middle Triassic of Germany. </w:t>
      </w:r>
      <w:r w:rsidRPr="00027B73">
        <w:rPr>
          <w:i/>
        </w:rPr>
        <w:t>Palaeontology</w:t>
      </w:r>
      <w:r w:rsidRPr="00027B73">
        <w:t xml:space="preserve"> </w:t>
      </w:r>
      <w:r w:rsidRPr="00027B73">
        <w:rPr>
          <w:b/>
        </w:rPr>
        <w:t>55</w:t>
      </w:r>
      <w:r w:rsidRPr="00027B73">
        <w:t>, 31-50 (2012).</w:t>
      </w:r>
    </w:p>
    <w:p w14:paraId="040054FF" w14:textId="43C24FD5" w:rsidR="00027B73" w:rsidRPr="00027B73" w:rsidRDefault="00027B73" w:rsidP="00027B73">
      <w:pPr>
        <w:pStyle w:val="EndNoteBibliography"/>
        <w:ind w:left="720" w:hanging="720"/>
      </w:pPr>
      <w:r w:rsidRPr="00027B73">
        <w:t xml:space="preserve">Witzmann, F. &amp; Soler‐Gijón, R. The bone histology of osteoderms in temnospondyl amphibians and in the chroniosuchian </w:t>
      </w:r>
      <w:r w:rsidRPr="00027B73">
        <w:rPr>
          <w:i/>
        </w:rPr>
        <w:t>Bystrowiella</w:t>
      </w:r>
      <w:r w:rsidRPr="00027B73">
        <w:t xml:space="preserve">. </w:t>
      </w:r>
      <w:r w:rsidRPr="00027B73">
        <w:rPr>
          <w:i/>
        </w:rPr>
        <w:t>Acta Zoologica</w:t>
      </w:r>
      <w:r w:rsidRPr="00027B73">
        <w:t xml:space="preserve"> </w:t>
      </w:r>
      <w:r w:rsidRPr="00027B73">
        <w:rPr>
          <w:b/>
        </w:rPr>
        <w:t>91</w:t>
      </w:r>
      <w:r w:rsidRPr="00027B73">
        <w:t>, 96-114 (2010).</w:t>
      </w:r>
    </w:p>
    <w:p w14:paraId="72390435" w14:textId="72217AD2" w:rsidR="00027B73" w:rsidRPr="00027B73" w:rsidRDefault="00027B73" w:rsidP="00027B73">
      <w:pPr>
        <w:pStyle w:val="EndNoteBibliography"/>
        <w:ind w:left="720" w:hanging="720"/>
      </w:pPr>
      <w:r w:rsidRPr="00027B73">
        <w:t xml:space="preserve">Yates, A. M. The Lapillopsidae: a new family of small temnospondyls from the Early Triassic of Australia. </w:t>
      </w:r>
      <w:r w:rsidRPr="00027B73">
        <w:rPr>
          <w:i/>
        </w:rPr>
        <w:t>Journal of Vertebrate Paleontology</w:t>
      </w:r>
      <w:r w:rsidRPr="00027B73">
        <w:t xml:space="preserve"> </w:t>
      </w:r>
      <w:r w:rsidRPr="00027B73">
        <w:rPr>
          <w:b/>
        </w:rPr>
        <w:t>19</w:t>
      </w:r>
      <w:r w:rsidRPr="00027B73">
        <w:t>, 302-320 (1999).</w:t>
      </w:r>
    </w:p>
    <w:p w14:paraId="0D24B182" w14:textId="19A0B35A" w:rsidR="00027B73" w:rsidRPr="00027B73" w:rsidRDefault="00027B73" w:rsidP="00027B73">
      <w:pPr>
        <w:pStyle w:val="EndNoteBibliography"/>
        <w:ind w:left="720" w:hanging="720"/>
      </w:pPr>
      <w:r w:rsidRPr="00027B73">
        <w:t xml:space="preserve">Yates, A. M. A new tiny rhytidosteid (Temnospondyli: Stereospondyli) from the Early Triassic of Australia and the possibility of hidden temnospondyl diversity. </w:t>
      </w:r>
      <w:r w:rsidRPr="00027B73">
        <w:rPr>
          <w:i/>
        </w:rPr>
        <w:t>Journal of Vertebrate Paleontology</w:t>
      </w:r>
      <w:r w:rsidRPr="00027B73">
        <w:t xml:space="preserve"> </w:t>
      </w:r>
      <w:r w:rsidRPr="00027B73">
        <w:rPr>
          <w:b/>
        </w:rPr>
        <w:t>20</w:t>
      </w:r>
      <w:r w:rsidRPr="00027B73">
        <w:t>, 484-489 (2000).</w:t>
      </w:r>
    </w:p>
    <w:p w14:paraId="320652A3" w14:textId="798E785C" w:rsidR="00027B73" w:rsidRPr="00027B73" w:rsidRDefault="00027B73" w:rsidP="00027B73">
      <w:pPr>
        <w:pStyle w:val="EndNoteBibliography"/>
        <w:ind w:left="720" w:hanging="720"/>
      </w:pPr>
      <w:r w:rsidRPr="00027B73">
        <w:t xml:space="preserve">Yates, A. M. &amp; Sengupta, D. P. A lapillopsid temnospondyl from the Early Triassic of India. </w:t>
      </w:r>
      <w:r w:rsidRPr="00027B73">
        <w:rPr>
          <w:i/>
        </w:rPr>
        <w:t>Alcheringa</w:t>
      </w:r>
      <w:r w:rsidRPr="00027B73">
        <w:t xml:space="preserve"> </w:t>
      </w:r>
      <w:r w:rsidRPr="00027B73">
        <w:rPr>
          <w:b/>
        </w:rPr>
        <w:t>26</w:t>
      </w:r>
      <w:r w:rsidRPr="00027B73">
        <w:t>, 201-208 (2002).</w:t>
      </w:r>
    </w:p>
    <w:p w14:paraId="4878E08B" w14:textId="4010B279" w:rsidR="00027B73" w:rsidRPr="00027B73" w:rsidRDefault="00027B73" w:rsidP="00027B73">
      <w:pPr>
        <w:pStyle w:val="EndNoteBibliography"/>
        <w:ind w:left="720" w:hanging="720"/>
      </w:pPr>
      <w:r w:rsidRPr="00027B73">
        <w:t xml:space="preserve">Yates, A. M. &amp; Warren, A. A. The phylogeny of the ‘higher’temnospondyls (Vertebrata: Choanata) and its implications for the monophyly and origins of the Stereospondyli. </w:t>
      </w:r>
      <w:r w:rsidRPr="00027B73">
        <w:rPr>
          <w:i/>
        </w:rPr>
        <w:t>Zoological Journal of the Linnean Society</w:t>
      </w:r>
      <w:r w:rsidRPr="00027B73">
        <w:t xml:space="preserve"> </w:t>
      </w:r>
      <w:r w:rsidRPr="00027B73">
        <w:rPr>
          <w:b/>
        </w:rPr>
        <w:t>128</w:t>
      </w:r>
      <w:r w:rsidRPr="00027B73">
        <w:t>, 77-121 (2000).</w:t>
      </w:r>
    </w:p>
    <w:p w14:paraId="3CC687C8" w14:textId="68527B0F" w:rsidR="00027B73" w:rsidRPr="00027B73" w:rsidRDefault="00027B73" w:rsidP="00027B73">
      <w:pPr>
        <w:pStyle w:val="EndNoteBibliography"/>
        <w:ind w:left="720" w:hanging="720"/>
      </w:pPr>
      <w:r w:rsidRPr="00027B73">
        <w:t>Zhang, P.</w:t>
      </w:r>
      <w:r w:rsidRPr="00027B73">
        <w:rPr>
          <w:i/>
        </w:rPr>
        <w:t xml:space="preserve"> et al.</w:t>
      </w:r>
      <w:r w:rsidRPr="00027B73">
        <w:t xml:space="preserve"> Efficient sequencing of anuran mtDNAs and a mitogenomic exploration of the phylogeny and evolution of frogs. </w:t>
      </w:r>
      <w:r w:rsidRPr="00027B73">
        <w:rPr>
          <w:i/>
        </w:rPr>
        <w:t>Molecular Biology and Evolution</w:t>
      </w:r>
      <w:r w:rsidRPr="00027B73">
        <w:t xml:space="preserve"> </w:t>
      </w:r>
      <w:r w:rsidRPr="00027B73">
        <w:rPr>
          <w:b/>
        </w:rPr>
        <w:t>30</w:t>
      </w:r>
      <w:r w:rsidRPr="00027B73">
        <w:t>, 1899-1915 (2013).</w:t>
      </w:r>
    </w:p>
    <w:p w14:paraId="5839D93D" w14:textId="2726ABB8" w:rsidR="00027B73" w:rsidRPr="00027B73" w:rsidRDefault="00027B73" w:rsidP="00027B73">
      <w:pPr>
        <w:pStyle w:val="EndNoteBibliography"/>
        <w:ind w:left="720" w:hanging="720"/>
      </w:pPr>
      <w:r w:rsidRPr="00027B73">
        <w:t xml:space="preserve">Zhang, P. &amp; Wake, D. B. Higher-level salamander relationships and divergence dates inferred from complete mitochondrial genomes. </w:t>
      </w:r>
      <w:r w:rsidRPr="00027B73">
        <w:rPr>
          <w:i/>
        </w:rPr>
        <w:t>Molecular Phylogenetics and Evolution</w:t>
      </w:r>
      <w:r w:rsidRPr="00027B73">
        <w:t xml:space="preserve"> </w:t>
      </w:r>
      <w:r w:rsidRPr="00027B73">
        <w:rPr>
          <w:b/>
        </w:rPr>
        <w:t>53</w:t>
      </w:r>
      <w:r w:rsidRPr="00027B73">
        <w:t>, 492-508 (2009).</w:t>
      </w:r>
    </w:p>
    <w:p w14:paraId="3BC87DB0" w14:textId="28833285" w:rsidR="00027B73" w:rsidRPr="00027B73" w:rsidRDefault="00027B73" w:rsidP="00027B73">
      <w:pPr>
        <w:pStyle w:val="EndNoteBibliography"/>
        <w:ind w:left="720" w:hanging="720"/>
      </w:pPr>
      <w:r w:rsidRPr="00027B73">
        <w:t xml:space="preserve">Zhang, P. &amp; Wake, M. H. A mitogenomic perspective on the phylogeny andbiogeography of living caecilians (Amphibia: Gymnophiona). </w:t>
      </w:r>
      <w:r w:rsidRPr="00027B73">
        <w:rPr>
          <w:i/>
        </w:rPr>
        <w:t>Molecular Phylogenetics and Evolution</w:t>
      </w:r>
      <w:r w:rsidRPr="00027B73">
        <w:t xml:space="preserve"> </w:t>
      </w:r>
      <w:r w:rsidRPr="00027B73">
        <w:rPr>
          <w:b/>
        </w:rPr>
        <w:t>53</w:t>
      </w:r>
      <w:r w:rsidRPr="00027B73">
        <w:t>, 479-491 (2009).</w:t>
      </w:r>
    </w:p>
    <w:p w14:paraId="3E338622" w14:textId="4761E387" w:rsidR="00027B73" w:rsidRPr="00027B73" w:rsidRDefault="00027B73" w:rsidP="00027B73">
      <w:pPr>
        <w:pStyle w:val="EndNoteBibliography"/>
        <w:ind w:left="720" w:hanging="720"/>
      </w:pPr>
      <w:r w:rsidRPr="00027B73">
        <w:t xml:space="preserve">Zhang, P., Zhou, H., Chen, Y.-Q., Liu, Y.-F. &amp; Qu, L.-H. Mitogenomic perspectives on the origin and phylogeny of living amphibians. </w:t>
      </w:r>
      <w:r w:rsidRPr="00027B73">
        <w:rPr>
          <w:i/>
        </w:rPr>
        <w:t>Systematic Biology</w:t>
      </w:r>
      <w:r w:rsidRPr="00027B73">
        <w:t xml:space="preserve"> </w:t>
      </w:r>
      <w:r w:rsidRPr="00027B73">
        <w:rPr>
          <w:b/>
        </w:rPr>
        <w:t>54</w:t>
      </w:r>
      <w:r w:rsidRPr="00027B73">
        <w:t>, 391-400 (2005).</w:t>
      </w:r>
    </w:p>
    <w:p w14:paraId="3DFAE3AE" w14:textId="52B524B9" w:rsidR="00027B73" w:rsidRPr="00027B73" w:rsidRDefault="00027B73" w:rsidP="00027B73">
      <w:pPr>
        <w:pStyle w:val="EndNoteBibliography"/>
        <w:ind w:left="720" w:hanging="720"/>
      </w:pPr>
      <w:r w:rsidRPr="00027B73">
        <w:t>Zhang, P.</w:t>
      </w:r>
      <w:r w:rsidRPr="00027B73">
        <w:rPr>
          <w:i/>
        </w:rPr>
        <w:t xml:space="preserve"> et al.</w:t>
      </w:r>
      <w:r w:rsidRPr="00027B73">
        <w:t xml:space="preserve"> The complete mitochondrial genome of a tree frog, </w:t>
      </w:r>
      <w:r w:rsidRPr="00027B73">
        <w:rPr>
          <w:i/>
        </w:rPr>
        <w:t xml:space="preserve">Polypedates megacephalus </w:t>
      </w:r>
      <w:r w:rsidRPr="00027B73">
        <w:t xml:space="preserve">(Amphibia: Anura: Rhacophoridae), and a novel gene organization in living amphibians. </w:t>
      </w:r>
      <w:r w:rsidRPr="00027B73">
        <w:rPr>
          <w:i/>
        </w:rPr>
        <w:t>Gene</w:t>
      </w:r>
      <w:r w:rsidRPr="00027B73">
        <w:t xml:space="preserve"> </w:t>
      </w:r>
      <w:r w:rsidRPr="00027B73">
        <w:rPr>
          <w:b/>
        </w:rPr>
        <w:t>346</w:t>
      </w:r>
      <w:r w:rsidRPr="00027B73">
        <w:t>, 133-143 (2005).</w:t>
      </w:r>
    </w:p>
    <w:p w14:paraId="73ABC60B" w14:textId="253B20BA" w:rsidR="00D731DB" w:rsidRDefault="00027B73" w:rsidP="00D731DB">
      <w:r>
        <w:fldChar w:fldCharType="end"/>
      </w:r>
    </w:p>
    <w:p w14:paraId="3115F48F" w14:textId="77777777" w:rsidR="005D19DB" w:rsidRDefault="005D19DB" w:rsidP="00D01A5E">
      <w:pPr>
        <w:rPr>
          <w:b/>
          <w:bCs/>
          <w:sz w:val="28"/>
          <w:szCs w:val="28"/>
        </w:rPr>
      </w:pPr>
    </w:p>
    <w:p w14:paraId="6F594521" w14:textId="77777777" w:rsidR="005D19DB" w:rsidRDefault="005D19DB" w:rsidP="00D01A5E">
      <w:pPr>
        <w:rPr>
          <w:b/>
          <w:bCs/>
          <w:sz w:val="28"/>
          <w:szCs w:val="28"/>
        </w:rPr>
      </w:pPr>
    </w:p>
    <w:p w14:paraId="175A9664" w14:textId="77777777" w:rsidR="005D19DB" w:rsidRDefault="005D19DB" w:rsidP="00D01A5E">
      <w:pPr>
        <w:rPr>
          <w:b/>
          <w:bCs/>
          <w:sz w:val="28"/>
          <w:szCs w:val="28"/>
        </w:rPr>
      </w:pPr>
    </w:p>
    <w:p w14:paraId="768E93E8" w14:textId="77777777" w:rsidR="005D19DB" w:rsidRDefault="005D19DB" w:rsidP="00D01A5E">
      <w:pPr>
        <w:rPr>
          <w:b/>
          <w:bCs/>
          <w:sz w:val="28"/>
          <w:szCs w:val="28"/>
        </w:rPr>
      </w:pPr>
    </w:p>
    <w:p w14:paraId="4F308988" w14:textId="77777777" w:rsidR="005D19DB" w:rsidRDefault="005D19DB" w:rsidP="00D01A5E">
      <w:pPr>
        <w:rPr>
          <w:b/>
          <w:bCs/>
          <w:sz w:val="28"/>
          <w:szCs w:val="28"/>
        </w:rPr>
      </w:pPr>
    </w:p>
    <w:p w14:paraId="5116F60F" w14:textId="77777777" w:rsidR="005D19DB" w:rsidRDefault="005D19DB" w:rsidP="00D01A5E">
      <w:pPr>
        <w:rPr>
          <w:b/>
          <w:bCs/>
          <w:sz w:val="28"/>
          <w:szCs w:val="28"/>
        </w:rPr>
      </w:pPr>
    </w:p>
    <w:p w14:paraId="472C9107" w14:textId="77777777" w:rsidR="005D19DB" w:rsidRDefault="005D19DB" w:rsidP="00D01A5E">
      <w:pPr>
        <w:rPr>
          <w:b/>
          <w:bCs/>
          <w:sz w:val="28"/>
          <w:szCs w:val="28"/>
        </w:rPr>
      </w:pPr>
    </w:p>
    <w:p w14:paraId="15D51F2E" w14:textId="77777777" w:rsidR="005D19DB" w:rsidRDefault="005D19DB" w:rsidP="00D01A5E">
      <w:pPr>
        <w:rPr>
          <w:b/>
          <w:bCs/>
          <w:sz w:val="28"/>
          <w:szCs w:val="28"/>
        </w:rPr>
      </w:pPr>
    </w:p>
    <w:p w14:paraId="1D4A4C22" w14:textId="6AA34D30" w:rsidR="00D01A5E" w:rsidRPr="00662B68" w:rsidRDefault="00D01A5E" w:rsidP="00D01A5E">
      <w:pPr>
        <w:rPr>
          <w:b/>
          <w:bCs/>
          <w:sz w:val="28"/>
          <w:szCs w:val="28"/>
        </w:rPr>
      </w:pPr>
      <w:r w:rsidRPr="00662B68">
        <w:rPr>
          <w:b/>
          <w:bCs/>
          <w:sz w:val="28"/>
          <w:szCs w:val="28"/>
        </w:rPr>
        <w:t>8. Phylogenetic datasets</w:t>
      </w:r>
    </w:p>
    <w:p w14:paraId="46576607" w14:textId="77777777" w:rsidR="00D01A5E" w:rsidRDefault="00D01A5E" w:rsidP="00D01A5E">
      <w:pPr>
        <w:rPr>
          <w:b/>
          <w:bCs/>
          <w:color w:val="222222"/>
        </w:rPr>
      </w:pPr>
    </w:p>
    <w:p w14:paraId="21F204CB" w14:textId="77777777" w:rsidR="00D01A5E" w:rsidRPr="00662B68" w:rsidRDefault="00D01A5E" w:rsidP="00D01A5E">
      <w:pPr>
        <w:rPr>
          <w:rFonts w:ascii="Arial" w:hAnsi="Arial" w:cs="Arial"/>
          <w:b/>
          <w:bCs/>
          <w:color w:val="222222"/>
          <w:sz w:val="20"/>
          <w:szCs w:val="20"/>
          <w:shd w:val="clear" w:color="auto" w:fill="FFFFFF"/>
        </w:rPr>
      </w:pPr>
    </w:p>
    <w:p w14:paraId="6925ACE9" w14:textId="1781E76A" w:rsidR="00A97E37" w:rsidRPr="00A155FA" w:rsidRDefault="00A97E37" w:rsidP="00D01A5E">
      <w:r w:rsidRPr="00A155FA">
        <w:rPr>
          <w:b/>
          <w:bCs/>
        </w:rPr>
        <w:t>Character list</w:t>
      </w:r>
      <w:r w:rsidRPr="00A155FA">
        <w:t>.</w:t>
      </w:r>
      <w:r w:rsidRPr="00A155FA">
        <w:rPr>
          <w:b/>
          <w:bCs/>
          <w:color w:val="222222"/>
        </w:rPr>
        <w:t xml:space="preserve"> </w:t>
      </w:r>
      <w:r w:rsidRPr="00A155FA">
        <w:t>35</w:t>
      </w:r>
      <w:r>
        <w:t>5</w:t>
      </w:r>
      <w:r w:rsidRPr="00A155FA">
        <w:t xml:space="preserve"> craniodental and postcranial characters were used in the phylogenetic analyses conducted here, appended from the details above, and are listed below. Numbers in parentheses represent the corresponding numbering from Schoch (2013), Pardo et al. (2017a), and Schoch et al. (2020). The following characters from the Schoch et al. (2020) character list are omitted from the character list herein: 14, 78, 81, 115, 232, 253, 352; these omitted characters are listed in full at the end of this section.</w:t>
      </w:r>
    </w:p>
    <w:p w14:paraId="65674414" w14:textId="77777777" w:rsidR="00A97E37" w:rsidRPr="00A155FA" w:rsidRDefault="00A97E37" w:rsidP="00D01A5E"/>
    <w:p w14:paraId="45ABA083"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bookmarkStart w:id="37" w:name="_Hlk98842281"/>
      <w:r w:rsidRPr="00A155FA">
        <w:rPr>
          <w:rFonts w:ascii="Times New Roman" w:eastAsia="Times New Roman" w:hAnsi="Times New Roman" w:cs="Times New Roman"/>
          <w:color w:val="222222"/>
        </w:rPr>
        <w:t xml:space="preserve">(1) </w:t>
      </w:r>
      <w:r w:rsidRPr="00A155FA">
        <w:rPr>
          <w:rFonts w:ascii="Times New Roman" w:eastAsia="Times New Roman" w:hAnsi="Times New Roman" w:cs="Times New Roman"/>
          <w:b/>
          <w:bCs/>
          <w:color w:val="222222"/>
        </w:rPr>
        <w:t>Skull (outline)</w:t>
      </w:r>
      <w:r w:rsidRPr="00A155FA">
        <w:rPr>
          <w:rFonts w:ascii="Times New Roman" w:eastAsia="Times New Roman" w:hAnsi="Times New Roman" w:cs="Times New Roman"/>
          <w:color w:val="222222"/>
        </w:rPr>
        <w:t>. Parabolic (0), or triangular with pointed tip (1).</w:t>
      </w:r>
    </w:p>
    <w:p w14:paraId="643994FC" w14:textId="77777777" w:rsidR="00A97E37" w:rsidRPr="00A155FA" w:rsidRDefault="00A97E37" w:rsidP="00D01A5E">
      <w:pPr>
        <w:ind w:left="540" w:hanging="540"/>
      </w:pPr>
    </w:p>
    <w:p w14:paraId="101567C2"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 </w:t>
      </w:r>
      <w:r w:rsidRPr="00A155FA">
        <w:rPr>
          <w:rFonts w:ascii="Times New Roman" w:eastAsia="Times New Roman" w:hAnsi="Times New Roman" w:cs="Times New Roman"/>
          <w:b/>
          <w:bCs/>
          <w:color w:val="222222"/>
        </w:rPr>
        <w:t>Skull (height)</w:t>
      </w:r>
      <w:r w:rsidRPr="00A155FA">
        <w:rPr>
          <w:rFonts w:ascii="Times New Roman" w:eastAsia="Times New Roman" w:hAnsi="Times New Roman" w:cs="Times New Roman"/>
          <w:color w:val="222222"/>
        </w:rPr>
        <w:t>. Skull of variable height, but occiput always deeper than snout (0), or</w:t>
      </w:r>
    </w:p>
    <w:p w14:paraId="203A39A5"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extremely flattened to equal height throughout (1).</w:t>
      </w:r>
    </w:p>
    <w:p w14:paraId="74C2434F" w14:textId="77777777" w:rsidR="00A97E37" w:rsidRPr="00A155FA" w:rsidRDefault="00A97E37" w:rsidP="00D01A5E">
      <w:pPr>
        <w:ind w:left="540" w:hanging="540"/>
        <w:rPr>
          <w:color w:val="222222"/>
        </w:rPr>
      </w:pPr>
    </w:p>
    <w:p w14:paraId="5B9D1BC4"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 </w:t>
      </w:r>
      <w:r w:rsidRPr="00A155FA">
        <w:rPr>
          <w:rFonts w:ascii="Times New Roman" w:eastAsia="Times New Roman" w:hAnsi="Times New Roman" w:cs="Times New Roman"/>
          <w:b/>
          <w:bCs/>
          <w:color w:val="222222"/>
        </w:rPr>
        <w:t>Ornament (elements)</w:t>
      </w:r>
      <w:r w:rsidRPr="00A155FA">
        <w:rPr>
          <w:rFonts w:ascii="Times New Roman" w:eastAsia="Times New Roman" w:hAnsi="Times New Roman" w:cs="Times New Roman"/>
          <w:color w:val="222222"/>
        </w:rPr>
        <w:t>. Reticulate ridges of various sizes (0), isolated pustules (1), or absent (2).</w:t>
      </w:r>
    </w:p>
    <w:p w14:paraId="353F27F6" w14:textId="77777777" w:rsidR="00A97E37" w:rsidRPr="00A155FA" w:rsidRDefault="00A97E37" w:rsidP="00D01A5E">
      <w:pPr>
        <w:ind w:left="540" w:hanging="540"/>
      </w:pPr>
    </w:p>
    <w:p w14:paraId="52ECE893" w14:textId="1ECF2963"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(4) </w:t>
      </w:r>
      <w:r w:rsidRPr="00A155FA">
        <w:rPr>
          <w:rFonts w:ascii="Times New Roman" w:eastAsia="Times New Roman" w:hAnsi="Times New Roman" w:cs="Times New Roman"/>
          <w:b/>
          <w:bCs/>
          <w:color w:val="222222"/>
        </w:rPr>
        <w:t>Ornament (snout)</w:t>
      </w:r>
      <w:r w:rsidRPr="00A155FA">
        <w:rPr>
          <w:rFonts w:ascii="Times New Roman" w:eastAsia="Times New Roman" w:hAnsi="Times New Roman" w:cs="Times New Roman"/>
          <w:color w:val="222222"/>
        </w:rPr>
        <w:t>. Polygons or short grooves (0), mostly radial, elongated grooves (1), or numerous circular to subcircular pits (2).</w:t>
      </w:r>
    </w:p>
    <w:p w14:paraId="65A331EE" w14:textId="77777777" w:rsidR="00A97E37" w:rsidRPr="00A155FA" w:rsidRDefault="00A97E37" w:rsidP="00D01A5E">
      <w:pPr>
        <w:ind w:left="540" w:hanging="540"/>
        <w:rPr>
          <w:color w:val="222222"/>
        </w:rPr>
      </w:pPr>
    </w:p>
    <w:p w14:paraId="40BF7232"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(5) </w:t>
      </w:r>
      <w:r w:rsidRPr="00A155FA">
        <w:rPr>
          <w:rFonts w:ascii="Times New Roman" w:eastAsia="Times New Roman" w:hAnsi="Times New Roman" w:cs="Times New Roman"/>
          <w:b/>
          <w:bCs/>
          <w:color w:val="222222"/>
        </w:rPr>
        <w:t>Ornament (general)</w:t>
      </w:r>
      <w:r w:rsidRPr="00A155FA">
        <w:rPr>
          <w:rFonts w:ascii="Times New Roman" w:eastAsia="Times New Roman" w:hAnsi="Times New Roman" w:cs="Times New Roman"/>
          <w:color w:val="222222"/>
        </w:rPr>
        <w:t>. Shallow ridges of variable height (0), or high ridges throughout (1).</w:t>
      </w:r>
    </w:p>
    <w:p w14:paraId="0B8CAFE0" w14:textId="77777777" w:rsidR="00A97E37" w:rsidRPr="00A155FA" w:rsidRDefault="00A97E37" w:rsidP="00D01A5E">
      <w:pPr>
        <w:ind w:left="540" w:hanging="540"/>
        <w:rPr>
          <w:color w:val="222222"/>
        </w:rPr>
      </w:pPr>
    </w:p>
    <w:p w14:paraId="2F43D155"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(6) </w:t>
      </w:r>
      <w:r w:rsidRPr="00A155FA">
        <w:rPr>
          <w:rFonts w:ascii="Times New Roman" w:eastAsia="Times New Roman" w:hAnsi="Times New Roman" w:cs="Times New Roman"/>
          <w:b/>
          <w:bCs/>
          <w:color w:val="222222"/>
        </w:rPr>
        <w:t>Ornament (intensive growth)</w:t>
      </w:r>
      <w:r w:rsidRPr="00A155FA">
        <w:rPr>
          <w:rFonts w:ascii="Times New Roman" w:eastAsia="Times New Roman" w:hAnsi="Times New Roman" w:cs="Times New Roman"/>
          <w:color w:val="222222"/>
        </w:rPr>
        <w:t xml:space="preserve">. Elongated ridges (‘zones of intensive growth’) confined to snout only (0), or </w:t>
      </w:r>
      <w:proofErr w:type="spellStart"/>
      <w:r w:rsidRPr="00A155FA">
        <w:rPr>
          <w:rFonts w:ascii="Times New Roman" w:eastAsia="Times New Roman" w:hAnsi="Times New Roman" w:cs="Times New Roman"/>
          <w:color w:val="222222"/>
        </w:rPr>
        <w:t>prepineal</w:t>
      </w:r>
      <w:proofErr w:type="spellEnd"/>
      <w:r w:rsidRPr="00A155FA">
        <w:rPr>
          <w:rFonts w:ascii="Times New Roman" w:eastAsia="Times New Roman" w:hAnsi="Times New Roman" w:cs="Times New Roman"/>
          <w:color w:val="222222"/>
        </w:rPr>
        <w:t xml:space="preserve"> growth zone established on extended anterior parietal and postorbital (1).</w:t>
      </w:r>
    </w:p>
    <w:p w14:paraId="57C2831E" w14:textId="77777777" w:rsidR="00A97E37" w:rsidRPr="00A155FA" w:rsidRDefault="00A97E37" w:rsidP="00D01A5E">
      <w:pPr>
        <w:ind w:left="540" w:hanging="540"/>
        <w:rPr>
          <w:color w:val="222222"/>
        </w:rPr>
      </w:pPr>
    </w:p>
    <w:p w14:paraId="5C2CFC8C"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(7) </w:t>
      </w:r>
      <w:r w:rsidRPr="00A155FA">
        <w:rPr>
          <w:rFonts w:ascii="Times New Roman" w:eastAsia="Times New Roman" w:hAnsi="Times New Roman" w:cs="Times New Roman"/>
          <w:b/>
          <w:bCs/>
          <w:color w:val="222222"/>
        </w:rPr>
        <w:t>Ornament (preorbital)</w:t>
      </w:r>
      <w:r w:rsidRPr="00A155FA">
        <w:rPr>
          <w:rFonts w:ascii="Times New Roman" w:eastAsia="Times New Roman" w:hAnsi="Times New Roman" w:cs="Times New Roman"/>
          <w:color w:val="222222"/>
        </w:rPr>
        <w:t>. Zone of subdued ornament on the medial skull bones adjacent to the midline suture absent (0), or present (1).</w:t>
      </w:r>
    </w:p>
    <w:p w14:paraId="44E18138" w14:textId="77777777" w:rsidR="00A97E37" w:rsidRPr="00A155FA" w:rsidRDefault="00A97E37" w:rsidP="00D01A5E">
      <w:pPr>
        <w:ind w:left="540" w:hanging="540"/>
        <w:rPr>
          <w:color w:val="222222"/>
        </w:rPr>
      </w:pPr>
    </w:p>
    <w:p w14:paraId="1A270C93"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 (8) </w:t>
      </w:r>
      <w:r w:rsidRPr="00A155FA">
        <w:rPr>
          <w:rFonts w:ascii="Times New Roman" w:eastAsia="Times New Roman" w:hAnsi="Times New Roman" w:cs="Times New Roman"/>
          <w:b/>
          <w:bCs/>
          <w:color w:val="222222"/>
        </w:rPr>
        <w:t>Spines</w:t>
      </w:r>
      <w:r w:rsidRPr="00A155FA">
        <w:rPr>
          <w:rFonts w:ascii="Times New Roman" w:eastAsia="Times New Roman" w:hAnsi="Times New Roman" w:cs="Times New Roman"/>
          <w:color w:val="222222"/>
        </w:rPr>
        <w:t>. Absent (0), or present along lateral flank of quadratojugal (1).</w:t>
      </w:r>
    </w:p>
    <w:p w14:paraId="671A24F6" w14:textId="77777777" w:rsidR="00A97E37" w:rsidRPr="00A155FA" w:rsidRDefault="00A97E37" w:rsidP="00D01A5E">
      <w:pPr>
        <w:ind w:left="540" w:hanging="540"/>
        <w:rPr>
          <w:color w:val="222222"/>
        </w:rPr>
      </w:pPr>
    </w:p>
    <w:p w14:paraId="7108EF18" w14:textId="6048438C"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 (9) </w:t>
      </w:r>
      <w:r w:rsidRPr="00A155FA">
        <w:rPr>
          <w:rFonts w:ascii="Times New Roman" w:eastAsia="Times New Roman" w:hAnsi="Times New Roman" w:cs="Times New Roman"/>
          <w:b/>
          <w:bCs/>
          <w:color w:val="222222"/>
        </w:rPr>
        <w:t>Preorbital region (length)</w:t>
      </w:r>
      <w:r w:rsidRPr="00A155FA">
        <w:rPr>
          <w:rFonts w:ascii="Times New Roman" w:eastAsia="Times New Roman" w:hAnsi="Times New Roman" w:cs="Times New Roman"/>
          <w:color w:val="222222"/>
        </w:rPr>
        <w:t>. Less than twice the length of posterior skull table (0), more than twice the length (1); twice as long (2).</w:t>
      </w:r>
    </w:p>
    <w:p w14:paraId="7EC963FA" w14:textId="77777777" w:rsidR="00A97E37" w:rsidRPr="00A155FA" w:rsidRDefault="00A97E37" w:rsidP="00D01A5E">
      <w:pPr>
        <w:ind w:left="540" w:hanging="540"/>
        <w:rPr>
          <w:color w:val="222222"/>
        </w:rPr>
      </w:pPr>
    </w:p>
    <w:p w14:paraId="0F0D5C31"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(10) </w:t>
      </w:r>
      <w:r w:rsidRPr="00A155FA">
        <w:rPr>
          <w:rFonts w:ascii="Times New Roman" w:eastAsia="Times New Roman" w:hAnsi="Times New Roman" w:cs="Times New Roman"/>
          <w:b/>
          <w:bCs/>
          <w:color w:val="222222"/>
        </w:rPr>
        <w:t>Premaxilla (alary process)</w:t>
      </w:r>
      <w:r w:rsidRPr="00A155FA">
        <w:rPr>
          <w:rFonts w:ascii="Times New Roman" w:eastAsia="Times New Roman" w:hAnsi="Times New Roman" w:cs="Times New Roman"/>
          <w:color w:val="222222"/>
        </w:rPr>
        <w:t>. Absent (0), or present, forming a posterior hook-like</w:t>
      </w:r>
    </w:p>
    <w:p w14:paraId="0E968CB6"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indentation (1).</w:t>
      </w:r>
    </w:p>
    <w:p w14:paraId="40A0CB7A" w14:textId="77777777" w:rsidR="00A97E37" w:rsidRPr="00A155FA" w:rsidRDefault="00A97E37" w:rsidP="00D01A5E">
      <w:pPr>
        <w:ind w:left="540" w:hanging="540"/>
        <w:rPr>
          <w:color w:val="222222"/>
        </w:rPr>
      </w:pPr>
    </w:p>
    <w:p w14:paraId="73AAEB59" w14:textId="2797AC5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(11) </w:t>
      </w:r>
      <w:r w:rsidRPr="00A155FA">
        <w:rPr>
          <w:rFonts w:ascii="Times New Roman" w:eastAsia="Times New Roman" w:hAnsi="Times New Roman" w:cs="Times New Roman"/>
          <w:b/>
          <w:bCs/>
          <w:color w:val="222222"/>
        </w:rPr>
        <w:t>Premaxilla (</w:t>
      </w:r>
      <w:proofErr w:type="spellStart"/>
      <w:r w:rsidRPr="00A155FA">
        <w:rPr>
          <w:rFonts w:ascii="Times New Roman" w:eastAsia="Times New Roman" w:hAnsi="Times New Roman" w:cs="Times New Roman"/>
          <w:b/>
          <w:bCs/>
          <w:color w:val="222222"/>
        </w:rPr>
        <w:t>prenarial</w:t>
      </w:r>
      <w:proofErr w:type="spellEnd"/>
      <w:r w:rsidRPr="00A155FA">
        <w:rPr>
          <w:rFonts w:ascii="Times New Roman" w:eastAsia="Times New Roman" w:hAnsi="Times New Roman" w:cs="Times New Roman"/>
          <w:b/>
          <w:bCs/>
          <w:color w:val="222222"/>
        </w:rPr>
        <w:t xml:space="preserve"> portion)</w:t>
      </w:r>
      <w:r w:rsidRPr="00A155FA">
        <w:rPr>
          <w:rFonts w:ascii="Times New Roman" w:eastAsia="Times New Roman" w:hAnsi="Times New Roman" w:cs="Times New Roman"/>
          <w:color w:val="222222"/>
        </w:rPr>
        <w:t xml:space="preserve">. Short (0), or very expanded, </w:t>
      </w:r>
      <w:r w:rsidR="00A30351" w:rsidRPr="00A155FA">
        <w:rPr>
          <w:rFonts w:ascii="Times New Roman" w:eastAsia="Times New Roman" w:hAnsi="Times New Roman" w:cs="Times New Roman"/>
          <w:color w:val="222222"/>
        </w:rPr>
        <w:t>equaling</w:t>
      </w:r>
      <w:r w:rsidRPr="00A155FA">
        <w:rPr>
          <w:rFonts w:ascii="Times New Roman" w:eastAsia="Times New Roman" w:hAnsi="Times New Roman" w:cs="Times New Roman"/>
          <w:color w:val="222222"/>
        </w:rPr>
        <w:t xml:space="preserve"> the length of the frontal (1).</w:t>
      </w:r>
    </w:p>
    <w:p w14:paraId="7F13A1F9" w14:textId="77777777" w:rsidR="00A97E37" w:rsidRPr="00A155FA" w:rsidRDefault="00A97E37" w:rsidP="00D01A5E">
      <w:pPr>
        <w:ind w:left="540" w:hanging="540"/>
        <w:rPr>
          <w:color w:val="222222"/>
        </w:rPr>
      </w:pPr>
    </w:p>
    <w:p w14:paraId="2F39DC59"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 (12) </w:t>
      </w:r>
      <w:r w:rsidRPr="00A155FA">
        <w:rPr>
          <w:rFonts w:ascii="Times New Roman" w:eastAsia="Times New Roman" w:hAnsi="Times New Roman" w:cs="Times New Roman"/>
          <w:b/>
          <w:bCs/>
          <w:color w:val="222222"/>
        </w:rPr>
        <w:t>Premaxilla (outline)</w:t>
      </w:r>
      <w:r w:rsidRPr="00A155FA">
        <w:rPr>
          <w:rFonts w:ascii="Times New Roman" w:eastAsia="Times New Roman" w:hAnsi="Times New Roman" w:cs="Times New Roman"/>
          <w:color w:val="222222"/>
        </w:rPr>
        <w:t>. Parabolically rounded (0), or box-like and anteriorly blunt (1).</w:t>
      </w:r>
    </w:p>
    <w:p w14:paraId="59C704CB" w14:textId="77777777" w:rsidR="00A97E37" w:rsidRPr="00A155FA" w:rsidRDefault="00A97E37" w:rsidP="00D01A5E">
      <w:pPr>
        <w:ind w:left="540" w:hanging="540"/>
        <w:rPr>
          <w:color w:val="222222"/>
        </w:rPr>
      </w:pPr>
    </w:p>
    <w:p w14:paraId="430FBE02" w14:textId="164934C3"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(13) </w:t>
      </w:r>
      <w:r w:rsidRPr="00A155FA">
        <w:rPr>
          <w:rFonts w:ascii="Times New Roman" w:eastAsia="Times New Roman" w:hAnsi="Times New Roman" w:cs="Times New Roman"/>
          <w:b/>
          <w:bCs/>
          <w:color w:val="222222"/>
        </w:rPr>
        <w:t>Premaxillary foramen</w:t>
      </w:r>
      <w:r w:rsidRPr="00A155FA">
        <w:rPr>
          <w:rFonts w:ascii="Times New Roman" w:eastAsia="Times New Roman" w:hAnsi="Times New Roman" w:cs="Times New Roman"/>
          <w:color w:val="222222"/>
        </w:rPr>
        <w:t>. Premaxilla and nasal completely sutured (0), medially bearing an opening separating the premaxillae (1), or medially bearing a large opening that divides the premaxillae and the nasals (2).</w:t>
      </w:r>
    </w:p>
    <w:p w14:paraId="4DF91989" w14:textId="77777777" w:rsidR="00A97E37" w:rsidRPr="00A155FA" w:rsidRDefault="00A97E37" w:rsidP="00D01A5E">
      <w:pPr>
        <w:rPr>
          <w:color w:val="222222"/>
        </w:rPr>
      </w:pPr>
    </w:p>
    <w:p w14:paraId="68556932"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(15) </w:t>
      </w:r>
      <w:r w:rsidRPr="00A155FA">
        <w:rPr>
          <w:rFonts w:ascii="Times New Roman" w:eastAsia="Times New Roman" w:hAnsi="Times New Roman" w:cs="Times New Roman"/>
          <w:b/>
          <w:bCs/>
          <w:color w:val="222222"/>
        </w:rPr>
        <w:t>Snout (internarial distance)</w:t>
      </w:r>
      <w:r w:rsidRPr="00A155FA">
        <w:rPr>
          <w:rFonts w:ascii="Times New Roman" w:eastAsia="Times New Roman" w:hAnsi="Times New Roman" w:cs="Times New Roman"/>
          <w:color w:val="222222"/>
        </w:rPr>
        <w:t>. Narrower than interorbital distance (0), or wider (1).</w:t>
      </w:r>
    </w:p>
    <w:p w14:paraId="2FB1877F" w14:textId="77777777" w:rsidR="00A97E37" w:rsidRPr="00A155FA" w:rsidRDefault="00A97E37" w:rsidP="00D01A5E">
      <w:pPr>
        <w:ind w:left="540" w:hanging="540"/>
        <w:rPr>
          <w:color w:val="222222"/>
        </w:rPr>
      </w:pPr>
    </w:p>
    <w:p w14:paraId="48A7CEEE"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(16) </w:t>
      </w:r>
      <w:r w:rsidRPr="00A155FA">
        <w:rPr>
          <w:rFonts w:ascii="Times New Roman" w:eastAsia="Times New Roman" w:hAnsi="Times New Roman" w:cs="Times New Roman"/>
          <w:b/>
          <w:bCs/>
          <w:color w:val="222222"/>
        </w:rPr>
        <w:t>Nasal (width)</w:t>
      </w:r>
      <w:r w:rsidRPr="00A155FA">
        <w:rPr>
          <w:rFonts w:ascii="Times New Roman" w:eastAsia="Times New Roman" w:hAnsi="Times New Roman" w:cs="Times New Roman"/>
          <w:color w:val="222222"/>
        </w:rPr>
        <w:t>. Nasal longer than wide (0), or as wide as long (1).</w:t>
      </w:r>
    </w:p>
    <w:p w14:paraId="68BA585A" w14:textId="77777777" w:rsidR="00A97E37" w:rsidRPr="00A155FA" w:rsidRDefault="00A97E37" w:rsidP="00D01A5E">
      <w:pPr>
        <w:ind w:left="540" w:hanging="540"/>
        <w:rPr>
          <w:color w:val="222222"/>
        </w:rPr>
      </w:pPr>
    </w:p>
    <w:p w14:paraId="4FDC5102"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(17) </w:t>
      </w:r>
      <w:r w:rsidRPr="00A155FA">
        <w:rPr>
          <w:rFonts w:ascii="Times New Roman" w:eastAsia="Times New Roman" w:hAnsi="Times New Roman" w:cs="Times New Roman"/>
          <w:b/>
          <w:bCs/>
          <w:color w:val="222222"/>
        </w:rPr>
        <w:t>Naris (position)</w:t>
      </w:r>
      <w:r w:rsidRPr="00A155FA">
        <w:rPr>
          <w:rFonts w:ascii="Times New Roman" w:eastAsia="Times New Roman" w:hAnsi="Times New Roman" w:cs="Times New Roman"/>
          <w:color w:val="222222"/>
        </w:rPr>
        <w:t>. At lateral margin of snout, opening laterally (0), or set well medially,</w:t>
      </w:r>
    </w:p>
    <w:p w14:paraId="521C8B2C"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opening anteriorly (1).</w:t>
      </w:r>
    </w:p>
    <w:p w14:paraId="2C1401D5" w14:textId="77777777" w:rsidR="00A97E37" w:rsidRPr="00A155FA" w:rsidRDefault="00A97E37" w:rsidP="00D01A5E">
      <w:pPr>
        <w:ind w:left="540" w:hanging="540"/>
        <w:rPr>
          <w:color w:val="222222"/>
        </w:rPr>
      </w:pPr>
    </w:p>
    <w:p w14:paraId="169722F8"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(18) </w:t>
      </w:r>
      <w:r w:rsidRPr="00A155FA">
        <w:rPr>
          <w:rFonts w:ascii="Times New Roman" w:eastAsia="Times New Roman" w:hAnsi="Times New Roman" w:cs="Times New Roman"/>
          <w:b/>
          <w:bCs/>
          <w:color w:val="222222"/>
        </w:rPr>
        <w:t>Naris (extension)</w:t>
      </w:r>
      <w:r w:rsidRPr="00A155FA">
        <w:rPr>
          <w:rFonts w:ascii="Times New Roman" w:eastAsia="Times New Roman" w:hAnsi="Times New Roman" w:cs="Times New Roman"/>
          <w:color w:val="222222"/>
        </w:rPr>
        <w:t>. Naris uniform, with oval shaped margin (0), or posteriorly expanded with distinct anterior and posterior regions giving external overall “key-hole” shape (1).</w:t>
      </w:r>
    </w:p>
    <w:p w14:paraId="3F254EB9" w14:textId="77777777" w:rsidR="00A97E37" w:rsidRPr="00A155FA" w:rsidRDefault="00A97E37" w:rsidP="00D01A5E">
      <w:pPr>
        <w:ind w:left="540" w:hanging="540"/>
        <w:rPr>
          <w:color w:val="222222"/>
        </w:rPr>
      </w:pPr>
    </w:p>
    <w:p w14:paraId="1549E5C1"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(19) </w:t>
      </w:r>
      <w:r w:rsidRPr="00A155FA">
        <w:rPr>
          <w:rFonts w:ascii="Times New Roman" w:eastAsia="Times New Roman" w:hAnsi="Times New Roman" w:cs="Times New Roman"/>
          <w:b/>
          <w:bCs/>
          <w:color w:val="222222"/>
        </w:rPr>
        <w:t>Naris (flange)</w:t>
      </w:r>
      <w:r w:rsidRPr="00A155FA">
        <w:rPr>
          <w:rFonts w:ascii="Times New Roman" w:eastAsia="Times New Roman" w:hAnsi="Times New Roman" w:cs="Times New Roman"/>
          <w:color w:val="222222"/>
        </w:rPr>
        <w:t>. Ventral (inner) side of prefrontal, lacrimal, and nasal smooth (0), or</w:t>
      </w:r>
    </w:p>
    <w:p w14:paraId="4EFFC8B9"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bearing a complicated bar-like structure (narial flange) permitting contact with the</w:t>
      </w:r>
    </w:p>
    <w:p w14:paraId="45C4301B" w14:textId="77777777" w:rsidR="00A97E37" w:rsidRPr="00A155FA" w:rsidRDefault="00A97E37" w:rsidP="00D01A5E">
      <w:pPr>
        <w:ind w:firstLine="540"/>
        <w:rPr>
          <w:color w:val="222222"/>
        </w:rPr>
      </w:pPr>
      <w:r w:rsidRPr="00A155FA">
        <w:rPr>
          <w:color w:val="222222"/>
        </w:rPr>
        <w:t>antorbital bar (1).</w:t>
      </w:r>
    </w:p>
    <w:p w14:paraId="12765FEA" w14:textId="77777777" w:rsidR="00A97E37" w:rsidRPr="00A155FA" w:rsidRDefault="00A97E37" w:rsidP="00D01A5E">
      <w:pPr>
        <w:ind w:left="540" w:hanging="540"/>
        <w:rPr>
          <w:color w:val="222222"/>
        </w:rPr>
      </w:pPr>
    </w:p>
    <w:p w14:paraId="624A6142"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(20) </w:t>
      </w:r>
      <w:r w:rsidRPr="00A155FA">
        <w:rPr>
          <w:rFonts w:ascii="Times New Roman" w:eastAsia="Times New Roman" w:hAnsi="Times New Roman" w:cs="Times New Roman"/>
          <w:b/>
          <w:bCs/>
          <w:color w:val="222222"/>
        </w:rPr>
        <w:t>Nasal (lateral margin)</w:t>
      </w:r>
      <w:r w:rsidRPr="00A155FA">
        <w:rPr>
          <w:rFonts w:ascii="Times New Roman" w:eastAsia="Times New Roman" w:hAnsi="Times New Roman" w:cs="Times New Roman"/>
          <w:color w:val="222222"/>
        </w:rPr>
        <w:t>. Straight (0), or stepped, with lateral excursion (1).</w:t>
      </w:r>
    </w:p>
    <w:p w14:paraId="5A82053B" w14:textId="77777777" w:rsidR="00A97E37" w:rsidRPr="00A155FA" w:rsidRDefault="00A97E37" w:rsidP="00D01A5E">
      <w:pPr>
        <w:ind w:left="540" w:hanging="540"/>
        <w:rPr>
          <w:color w:val="222222"/>
        </w:rPr>
      </w:pPr>
    </w:p>
    <w:p w14:paraId="490F839F"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(21) </w:t>
      </w:r>
      <w:r w:rsidRPr="00A155FA">
        <w:rPr>
          <w:rFonts w:ascii="Times New Roman" w:eastAsia="Times New Roman" w:hAnsi="Times New Roman" w:cs="Times New Roman"/>
          <w:b/>
          <w:bCs/>
          <w:color w:val="222222"/>
        </w:rPr>
        <w:t>Lacrimal</w:t>
      </w:r>
      <w:r w:rsidRPr="00A155FA">
        <w:rPr>
          <w:rFonts w:ascii="Times New Roman" w:eastAsia="Times New Roman" w:hAnsi="Times New Roman" w:cs="Times New Roman"/>
          <w:color w:val="222222"/>
        </w:rPr>
        <w:t>. Present (0), or absent (1).</w:t>
      </w:r>
    </w:p>
    <w:p w14:paraId="733946C5" w14:textId="77777777" w:rsidR="00A97E37" w:rsidRPr="00A155FA" w:rsidRDefault="00A97E37" w:rsidP="00D01A5E">
      <w:pPr>
        <w:ind w:left="540" w:hanging="540"/>
        <w:rPr>
          <w:color w:val="222222"/>
        </w:rPr>
      </w:pPr>
    </w:p>
    <w:p w14:paraId="775CF5DD"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(22) </w:t>
      </w:r>
      <w:r w:rsidRPr="00A155FA">
        <w:rPr>
          <w:rFonts w:ascii="Times New Roman" w:eastAsia="Times New Roman" w:hAnsi="Times New Roman" w:cs="Times New Roman"/>
          <w:b/>
          <w:bCs/>
          <w:color w:val="222222"/>
        </w:rPr>
        <w:t>Lacrimal (lateral suture)</w:t>
      </w:r>
      <w:r w:rsidRPr="00A155FA">
        <w:rPr>
          <w:rFonts w:ascii="Times New Roman" w:eastAsia="Times New Roman" w:hAnsi="Times New Roman" w:cs="Times New Roman"/>
          <w:color w:val="222222"/>
        </w:rPr>
        <w:t xml:space="preserve">. Parallels medial suture (0), or lateral suture posterolaterally </w:t>
      </w:r>
      <w:r w:rsidRPr="00A155FA">
        <w:rPr>
          <w:rFonts w:ascii="Times New Roman" w:hAnsi="Times New Roman" w:cs="Times New Roman"/>
          <w:color w:val="222222"/>
        </w:rPr>
        <w:t>expanded to give broader preorbital region (1).</w:t>
      </w:r>
    </w:p>
    <w:p w14:paraId="44511AB1" w14:textId="77777777" w:rsidR="00A97E37" w:rsidRPr="00A155FA" w:rsidRDefault="00A97E37" w:rsidP="00D01A5E">
      <w:pPr>
        <w:ind w:left="540" w:hanging="540"/>
        <w:rPr>
          <w:color w:val="222222"/>
        </w:rPr>
      </w:pPr>
    </w:p>
    <w:p w14:paraId="7679D86E"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(23) </w:t>
      </w:r>
      <w:r w:rsidRPr="00A155FA">
        <w:rPr>
          <w:rFonts w:ascii="Times New Roman" w:eastAsia="Times New Roman" w:hAnsi="Times New Roman" w:cs="Times New Roman"/>
          <w:b/>
          <w:bCs/>
          <w:color w:val="222222"/>
        </w:rPr>
        <w:t>Lacrimal (position)</w:t>
      </w:r>
      <w:r w:rsidRPr="00A155FA">
        <w:rPr>
          <w:rFonts w:ascii="Times New Roman" w:eastAsia="Times New Roman" w:hAnsi="Times New Roman" w:cs="Times New Roman"/>
          <w:color w:val="222222"/>
        </w:rPr>
        <w:t xml:space="preserve">. Extending anterior to orbit (0), or confined to lateral orbit margin </w:t>
      </w:r>
      <w:r w:rsidRPr="00A155FA">
        <w:rPr>
          <w:rFonts w:ascii="Times New Roman" w:hAnsi="Times New Roman" w:cs="Times New Roman"/>
          <w:color w:val="222222"/>
        </w:rPr>
        <w:t>(1).</w:t>
      </w:r>
    </w:p>
    <w:p w14:paraId="3B70F5E3" w14:textId="77777777" w:rsidR="00A97E37" w:rsidRPr="00A155FA" w:rsidRDefault="00A97E37" w:rsidP="00D01A5E">
      <w:pPr>
        <w:ind w:left="540" w:hanging="540"/>
        <w:rPr>
          <w:color w:val="222222"/>
        </w:rPr>
      </w:pPr>
    </w:p>
    <w:p w14:paraId="7795DE1A"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(24) </w:t>
      </w:r>
      <w:r w:rsidRPr="00A155FA">
        <w:rPr>
          <w:rFonts w:ascii="Times New Roman" w:eastAsia="Times New Roman" w:hAnsi="Times New Roman" w:cs="Times New Roman"/>
          <w:b/>
          <w:bCs/>
          <w:color w:val="222222"/>
        </w:rPr>
        <w:t>Lacrimal (posterior extension)</w:t>
      </w:r>
      <w:r w:rsidRPr="00A155FA">
        <w:rPr>
          <w:rFonts w:ascii="Times New Roman" w:eastAsia="Times New Roman" w:hAnsi="Times New Roman" w:cs="Times New Roman"/>
          <w:color w:val="222222"/>
        </w:rPr>
        <w:t>. Restricted to the antorbital region (0), or extending back lateral to orbit (1).</w:t>
      </w:r>
    </w:p>
    <w:p w14:paraId="4B768714" w14:textId="77777777" w:rsidR="00A97E37" w:rsidRPr="00A155FA" w:rsidRDefault="00A97E37" w:rsidP="00D01A5E">
      <w:pPr>
        <w:ind w:left="540" w:hanging="540"/>
        <w:rPr>
          <w:color w:val="222222"/>
        </w:rPr>
      </w:pPr>
    </w:p>
    <w:p w14:paraId="1D28D905"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(25) </w:t>
      </w:r>
      <w:r w:rsidRPr="00A155FA">
        <w:rPr>
          <w:rFonts w:ascii="Times New Roman" w:eastAsia="Times New Roman" w:hAnsi="Times New Roman" w:cs="Times New Roman"/>
          <w:b/>
          <w:bCs/>
          <w:color w:val="222222"/>
        </w:rPr>
        <w:t>Orbit and naris</w:t>
      </w:r>
      <w:r w:rsidRPr="00A155FA">
        <w:rPr>
          <w:rFonts w:ascii="Times New Roman" w:eastAsia="Times New Roman" w:hAnsi="Times New Roman" w:cs="Times New Roman"/>
          <w:color w:val="222222"/>
        </w:rPr>
        <w:t>. Well separated (0), or separated only by narrow gap of bone (1).</w:t>
      </w:r>
    </w:p>
    <w:p w14:paraId="431A449F" w14:textId="77777777" w:rsidR="00A97E37" w:rsidRPr="00A155FA" w:rsidRDefault="00A97E37" w:rsidP="00D01A5E">
      <w:pPr>
        <w:ind w:left="540" w:hanging="540"/>
        <w:rPr>
          <w:color w:val="222222"/>
        </w:rPr>
      </w:pPr>
    </w:p>
    <w:p w14:paraId="61C75D41"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(26) </w:t>
      </w:r>
      <w:r w:rsidRPr="00A155FA">
        <w:rPr>
          <w:rFonts w:ascii="Times New Roman" w:eastAsia="Times New Roman" w:hAnsi="Times New Roman" w:cs="Times New Roman"/>
          <w:b/>
          <w:bCs/>
          <w:color w:val="222222"/>
        </w:rPr>
        <w:t>Orbit location</w:t>
      </w:r>
      <w:r w:rsidRPr="00A155FA">
        <w:rPr>
          <w:rFonts w:ascii="Times New Roman" w:eastAsia="Times New Roman" w:hAnsi="Times New Roman" w:cs="Times New Roman"/>
          <w:color w:val="222222"/>
        </w:rPr>
        <w:t>. Medial, framed by wide jugals laterally (0), or lateral emplacement,</w:t>
      </w:r>
    </w:p>
    <w:p w14:paraId="38516A1E"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framed by very slender jugals (1); medial, framed by narrow jugals and narrow frontals (2).</w:t>
      </w:r>
    </w:p>
    <w:p w14:paraId="2660E322" w14:textId="77777777" w:rsidR="00A97E37" w:rsidRPr="00A155FA" w:rsidRDefault="00A97E37" w:rsidP="00D01A5E">
      <w:pPr>
        <w:ind w:left="540" w:hanging="540"/>
        <w:rPr>
          <w:color w:val="222222"/>
        </w:rPr>
      </w:pPr>
    </w:p>
    <w:p w14:paraId="6DF647D8"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(27) </w:t>
      </w:r>
      <w:r w:rsidRPr="00A155FA">
        <w:rPr>
          <w:rFonts w:ascii="Times New Roman" w:eastAsia="Times New Roman" w:hAnsi="Times New Roman" w:cs="Times New Roman"/>
          <w:b/>
          <w:bCs/>
          <w:color w:val="222222"/>
        </w:rPr>
        <w:t>Orbit margins</w:t>
      </w:r>
      <w:r w:rsidRPr="00A155FA">
        <w:rPr>
          <w:rFonts w:ascii="Times New Roman" w:eastAsia="Times New Roman" w:hAnsi="Times New Roman" w:cs="Times New Roman"/>
          <w:color w:val="222222"/>
        </w:rPr>
        <w:t>. Raised well above skull plain (0), or flush with roof (1).</w:t>
      </w:r>
    </w:p>
    <w:p w14:paraId="1C2F2806" w14:textId="77777777" w:rsidR="00A97E37" w:rsidRPr="00A155FA" w:rsidRDefault="00A97E37" w:rsidP="00D01A5E">
      <w:pPr>
        <w:ind w:left="540" w:hanging="540"/>
        <w:rPr>
          <w:color w:val="222222"/>
        </w:rPr>
      </w:pPr>
    </w:p>
    <w:p w14:paraId="581F4013"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(28) </w:t>
      </w:r>
      <w:r w:rsidRPr="00A155FA">
        <w:rPr>
          <w:rFonts w:ascii="Times New Roman" w:eastAsia="Times New Roman" w:hAnsi="Times New Roman" w:cs="Times New Roman"/>
          <w:b/>
          <w:bCs/>
          <w:color w:val="222222"/>
        </w:rPr>
        <w:t>Palpebral ossifications</w:t>
      </w:r>
      <w:r w:rsidRPr="00A155FA">
        <w:rPr>
          <w:rFonts w:ascii="Times New Roman" w:eastAsia="Times New Roman" w:hAnsi="Times New Roman" w:cs="Times New Roman"/>
          <w:color w:val="222222"/>
        </w:rPr>
        <w:t>. Ossifications in orbit restricted to sclerotic ring (0), or numerous additional ossicles at medial margin of sclerotic ring (1).</w:t>
      </w:r>
    </w:p>
    <w:p w14:paraId="41EA0732" w14:textId="77777777" w:rsidR="00A97E37" w:rsidRPr="00A155FA" w:rsidRDefault="00A97E37" w:rsidP="00D01A5E">
      <w:pPr>
        <w:ind w:left="540" w:hanging="540"/>
        <w:rPr>
          <w:color w:val="222222"/>
        </w:rPr>
      </w:pPr>
    </w:p>
    <w:p w14:paraId="4A22F164"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(29) </w:t>
      </w:r>
      <w:r w:rsidRPr="00A155FA">
        <w:rPr>
          <w:rFonts w:ascii="Times New Roman" w:eastAsia="Times New Roman" w:hAnsi="Times New Roman" w:cs="Times New Roman"/>
          <w:b/>
          <w:bCs/>
          <w:color w:val="222222"/>
        </w:rPr>
        <w:t>Pineal foramen</w:t>
      </w:r>
      <w:r w:rsidRPr="00A155FA">
        <w:rPr>
          <w:rFonts w:ascii="Times New Roman" w:eastAsia="Times New Roman" w:hAnsi="Times New Roman" w:cs="Times New Roman"/>
          <w:color w:val="222222"/>
        </w:rPr>
        <w:t>. Present (0), or absent in adults (1).</w:t>
      </w:r>
    </w:p>
    <w:p w14:paraId="39935635" w14:textId="77777777" w:rsidR="00A97E37" w:rsidRPr="00A155FA" w:rsidRDefault="00A97E37" w:rsidP="00D01A5E">
      <w:pPr>
        <w:ind w:left="540" w:hanging="540"/>
        <w:rPr>
          <w:color w:val="222222"/>
        </w:rPr>
      </w:pPr>
    </w:p>
    <w:p w14:paraId="645EF0AA" w14:textId="078DA38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(30) </w:t>
      </w:r>
      <w:r w:rsidRPr="00A155FA">
        <w:rPr>
          <w:rFonts w:ascii="Times New Roman" w:eastAsia="Times New Roman" w:hAnsi="Times New Roman" w:cs="Times New Roman"/>
          <w:b/>
          <w:bCs/>
          <w:color w:val="222222"/>
        </w:rPr>
        <w:t>Interorbital distance</w:t>
      </w:r>
      <w:r w:rsidRPr="00A155FA">
        <w:rPr>
          <w:rFonts w:ascii="Times New Roman" w:eastAsia="Times New Roman" w:hAnsi="Times New Roman" w:cs="Times New Roman"/>
          <w:color w:val="222222"/>
        </w:rPr>
        <w:t xml:space="preserve">. Narrower than or </w:t>
      </w:r>
      <w:r w:rsidR="00A30351" w:rsidRPr="00A155FA">
        <w:rPr>
          <w:rFonts w:ascii="Times New Roman" w:eastAsia="Times New Roman" w:hAnsi="Times New Roman" w:cs="Times New Roman"/>
          <w:color w:val="222222"/>
        </w:rPr>
        <w:t>equaling</w:t>
      </w:r>
      <w:r w:rsidRPr="00A155FA">
        <w:rPr>
          <w:rFonts w:ascii="Times New Roman" w:eastAsia="Times New Roman" w:hAnsi="Times New Roman" w:cs="Times New Roman"/>
          <w:color w:val="222222"/>
        </w:rPr>
        <w:t xml:space="preserve"> orbital width (0), or wider (1).</w:t>
      </w:r>
    </w:p>
    <w:p w14:paraId="2943998D" w14:textId="77777777" w:rsidR="00A97E37" w:rsidRPr="00A155FA" w:rsidRDefault="00A97E37" w:rsidP="00D01A5E">
      <w:pPr>
        <w:ind w:left="540" w:hanging="540"/>
        <w:rPr>
          <w:color w:val="222222"/>
        </w:rPr>
      </w:pPr>
    </w:p>
    <w:p w14:paraId="2166905D"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(31) </w:t>
      </w:r>
      <w:r w:rsidRPr="00A155FA">
        <w:rPr>
          <w:rFonts w:ascii="Times New Roman" w:eastAsia="Times New Roman" w:hAnsi="Times New Roman" w:cs="Times New Roman"/>
          <w:b/>
          <w:bCs/>
          <w:color w:val="222222"/>
        </w:rPr>
        <w:t>Frontal-nasal (length)</w:t>
      </w:r>
      <w:r w:rsidRPr="00A155FA">
        <w:rPr>
          <w:rFonts w:ascii="Times New Roman" w:eastAsia="Times New Roman" w:hAnsi="Times New Roman" w:cs="Times New Roman"/>
          <w:color w:val="222222"/>
        </w:rPr>
        <w:t>. Frontal as long or longer than nasal (0), or shorter (1).</w:t>
      </w:r>
    </w:p>
    <w:p w14:paraId="76BD06F7" w14:textId="77777777" w:rsidR="00A97E37" w:rsidRPr="00A155FA" w:rsidRDefault="00A97E37" w:rsidP="00D01A5E">
      <w:pPr>
        <w:ind w:left="540" w:hanging="540"/>
        <w:rPr>
          <w:color w:val="222222"/>
        </w:rPr>
      </w:pPr>
    </w:p>
    <w:p w14:paraId="4CC12100"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(32) </w:t>
      </w:r>
      <w:r w:rsidRPr="00A155FA">
        <w:rPr>
          <w:rFonts w:ascii="Times New Roman" w:eastAsia="Times New Roman" w:hAnsi="Times New Roman" w:cs="Times New Roman"/>
          <w:b/>
          <w:bCs/>
          <w:color w:val="222222"/>
        </w:rPr>
        <w:t>Frontal-nasal (suture)</w:t>
      </w:r>
      <w:r w:rsidRPr="00A155FA">
        <w:rPr>
          <w:rFonts w:ascii="Times New Roman" w:eastAsia="Times New Roman" w:hAnsi="Times New Roman" w:cs="Times New Roman"/>
          <w:color w:val="222222"/>
        </w:rPr>
        <w:t>. Level with or anterior to the orbit margin (0), or further posterior (1).</w:t>
      </w:r>
    </w:p>
    <w:p w14:paraId="281BCCCD" w14:textId="77777777" w:rsidR="00A97E37" w:rsidRPr="00A155FA" w:rsidRDefault="00A97E37" w:rsidP="00D01A5E">
      <w:pPr>
        <w:ind w:left="540" w:hanging="540"/>
        <w:rPr>
          <w:color w:val="222222"/>
        </w:rPr>
      </w:pPr>
    </w:p>
    <w:p w14:paraId="4D8C991B"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(33) </w:t>
      </w:r>
      <w:r w:rsidRPr="00A155FA">
        <w:rPr>
          <w:rFonts w:ascii="Times New Roman" w:eastAsia="Times New Roman" w:hAnsi="Times New Roman" w:cs="Times New Roman"/>
          <w:b/>
          <w:bCs/>
          <w:color w:val="222222"/>
        </w:rPr>
        <w:t>Lateral line sulci (adults)</w:t>
      </w:r>
      <w:r w:rsidRPr="00A155FA">
        <w:rPr>
          <w:rFonts w:ascii="Times New Roman" w:eastAsia="Times New Roman" w:hAnsi="Times New Roman" w:cs="Times New Roman"/>
          <w:color w:val="222222"/>
        </w:rPr>
        <w:t>. Present (0), absent (1).</w:t>
      </w:r>
    </w:p>
    <w:p w14:paraId="25DA8956" w14:textId="77777777" w:rsidR="00A97E37" w:rsidRPr="00A155FA" w:rsidRDefault="00A97E37" w:rsidP="00D01A5E">
      <w:pPr>
        <w:ind w:left="540" w:hanging="540"/>
        <w:rPr>
          <w:color w:val="222222"/>
        </w:rPr>
      </w:pPr>
    </w:p>
    <w:p w14:paraId="4BD36AA1"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(34) </w:t>
      </w:r>
      <w:r w:rsidRPr="00A155FA">
        <w:rPr>
          <w:rFonts w:ascii="Times New Roman" w:eastAsia="Times New Roman" w:hAnsi="Times New Roman" w:cs="Times New Roman"/>
          <w:b/>
          <w:bCs/>
          <w:color w:val="222222"/>
        </w:rPr>
        <w:t>Sulci (skull roof)</w:t>
      </w:r>
      <w:r w:rsidRPr="00A155FA">
        <w:rPr>
          <w:rFonts w:ascii="Times New Roman" w:eastAsia="Times New Roman" w:hAnsi="Times New Roman" w:cs="Times New Roman"/>
          <w:color w:val="222222"/>
        </w:rPr>
        <w:t>. Throughout skull roof if present (0), or confined to circumorbital</w:t>
      </w:r>
    </w:p>
    <w:p w14:paraId="08AE79C9"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region (1).</w:t>
      </w:r>
    </w:p>
    <w:p w14:paraId="2882B896" w14:textId="77777777" w:rsidR="00A97E37" w:rsidRPr="00A155FA" w:rsidRDefault="00A97E37" w:rsidP="00D01A5E">
      <w:pPr>
        <w:ind w:left="540" w:hanging="540"/>
        <w:rPr>
          <w:color w:val="222222"/>
        </w:rPr>
      </w:pPr>
    </w:p>
    <w:p w14:paraId="39F01E8C"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(35) </w:t>
      </w:r>
      <w:r w:rsidRPr="00A155FA">
        <w:rPr>
          <w:rFonts w:ascii="Times New Roman" w:eastAsia="Times New Roman" w:hAnsi="Times New Roman" w:cs="Times New Roman"/>
          <w:b/>
          <w:bCs/>
          <w:color w:val="222222"/>
        </w:rPr>
        <w:t>Infraorbital sulcus</w:t>
      </w:r>
      <w:r w:rsidRPr="00A155FA">
        <w:rPr>
          <w:rFonts w:ascii="Times New Roman" w:eastAsia="Times New Roman" w:hAnsi="Times New Roman" w:cs="Times New Roman"/>
          <w:color w:val="222222"/>
        </w:rPr>
        <w:t>. With simple curve (0), or with pronounced S-shaped</w:t>
      </w:r>
    </w:p>
    <w:p w14:paraId="4BD0A259"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flexure (1).</w:t>
      </w:r>
    </w:p>
    <w:p w14:paraId="1DF100BC" w14:textId="77777777" w:rsidR="00A97E37" w:rsidRPr="00A155FA" w:rsidRDefault="00A97E37" w:rsidP="00D01A5E">
      <w:pPr>
        <w:ind w:left="540" w:hanging="540"/>
        <w:rPr>
          <w:color w:val="222222"/>
        </w:rPr>
      </w:pPr>
    </w:p>
    <w:p w14:paraId="41B5DBF4"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(36) </w:t>
      </w:r>
      <w:r w:rsidRPr="00A155FA">
        <w:rPr>
          <w:rFonts w:ascii="Times New Roman" w:eastAsia="Times New Roman" w:hAnsi="Times New Roman" w:cs="Times New Roman"/>
          <w:b/>
          <w:bCs/>
          <w:color w:val="222222"/>
        </w:rPr>
        <w:t>Supraorbital sulcus</w:t>
      </w:r>
      <w:r w:rsidRPr="00A155FA">
        <w:rPr>
          <w:rFonts w:ascii="Times New Roman" w:eastAsia="Times New Roman" w:hAnsi="Times New Roman" w:cs="Times New Roman"/>
          <w:color w:val="222222"/>
        </w:rPr>
        <w:t>. Passing entirely through nasal (0), passing through nasal and prefrontal (1), or passing through nasal, prefrontal, and lacrimal (2).</w:t>
      </w:r>
    </w:p>
    <w:p w14:paraId="78C3E732" w14:textId="77777777" w:rsidR="00A97E37" w:rsidRPr="00A155FA" w:rsidRDefault="00A97E37" w:rsidP="00D01A5E">
      <w:pPr>
        <w:ind w:left="540" w:hanging="540"/>
        <w:rPr>
          <w:color w:val="222222"/>
        </w:rPr>
      </w:pPr>
    </w:p>
    <w:p w14:paraId="0E8954EA"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(37) </w:t>
      </w:r>
      <w:r w:rsidRPr="00A155FA">
        <w:rPr>
          <w:rFonts w:ascii="Times New Roman" w:eastAsia="Times New Roman" w:hAnsi="Times New Roman" w:cs="Times New Roman"/>
          <w:b/>
          <w:bCs/>
          <w:color w:val="222222"/>
        </w:rPr>
        <w:t>Maxilla (anterior margin)</w:t>
      </w:r>
      <w:r w:rsidRPr="00A155FA">
        <w:rPr>
          <w:rFonts w:ascii="Times New Roman" w:eastAsia="Times New Roman" w:hAnsi="Times New Roman" w:cs="Times New Roman"/>
          <w:color w:val="222222"/>
        </w:rPr>
        <w:t>. Straight (0), or laterally convex due to enlarged teeth (1).</w:t>
      </w:r>
    </w:p>
    <w:p w14:paraId="458B5047" w14:textId="77777777" w:rsidR="00A97E37" w:rsidRPr="00A155FA" w:rsidRDefault="00A97E37" w:rsidP="00D01A5E">
      <w:pPr>
        <w:ind w:left="540" w:hanging="540"/>
        <w:rPr>
          <w:color w:val="222222"/>
        </w:rPr>
      </w:pPr>
    </w:p>
    <w:p w14:paraId="0C938146"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(38) </w:t>
      </w:r>
      <w:r w:rsidRPr="00A155FA">
        <w:rPr>
          <w:rFonts w:ascii="Times New Roman" w:eastAsia="Times New Roman" w:hAnsi="Times New Roman" w:cs="Times New Roman"/>
          <w:b/>
          <w:bCs/>
          <w:color w:val="222222"/>
        </w:rPr>
        <w:t>Maxilla (contact to nasal)</w:t>
      </w:r>
      <w:r w:rsidRPr="00A155FA">
        <w:rPr>
          <w:rFonts w:ascii="Times New Roman" w:eastAsia="Times New Roman" w:hAnsi="Times New Roman" w:cs="Times New Roman"/>
          <w:color w:val="222222"/>
        </w:rPr>
        <w:t>. Absent (0), or present (1).</w:t>
      </w:r>
    </w:p>
    <w:p w14:paraId="11D306DE" w14:textId="77777777" w:rsidR="00A97E37" w:rsidRPr="00A155FA" w:rsidRDefault="00A97E37" w:rsidP="00D01A5E">
      <w:pPr>
        <w:ind w:left="540" w:hanging="540"/>
        <w:rPr>
          <w:color w:val="222222"/>
        </w:rPr>
      </w:pPr>
    </w:p>
    <w:p w14:paraId="67BB1B1C"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(39) </w:t>
      </w:r>
      <w:r w:rsidRPr="00A155FA">
        <w:rPr>
          <w:rFonts w:ascii="Times New Roman" w:eastAsia="Times New Roman" w:hAnsi="Times New Roman" w:cs="Times New Roman"/>
          <w:b/>
          <w:bCs/>
          <w:color w:val="222222"/>
        </w:rPr>
        <w:t>Prefrontal-frontal</w:t>
      </w:r>
      <w:r w:rsidRPr="00A155FA">
        <w:rPr>
          <w:rFonts w:ascii="Times New Roman" w:eastAsia="Times New Roman" w:hAnsi="Times New Roman" w:cs="Times New Roman"/>
          <w:color w:val="222222"/>
        </w:rPr>
        <w:t>. Prefrontal extends beyond the anterior level of the frontal (0), ending at one level with frontal (1), or ending posterior to the anterior level of the frontal (2).</w:t>
      </w:r>
    </w:p>
    <w:p w14:paraId="100BDE50" w14:textId="77777777" w:rsidR="00A97E37" w:rsidRPr="00A155FA" w:rsidRDefault="00A97E37" w:rsidP="00D01A5E">
      <w:pPr>
        <w:ind w:left="540" w:hanging="540"/>
        <w:rPr>
          <w:color w:val="222222"/>
        </w:rPr>
      </w:pPr>
    </w:p>
    <w:p w14:paraId="325C4E13"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(40) </w:t>
      </w:r>
      <w:r w:rsidRPr="00A155FA">
        <w:rPr>
          <w:rFonts w:ascii="Times New Roman" w:eastAsia="Times New Roman" w:hAnsi="Times New Roman" w:cs="Times New Roman"/>
          <w:b/>
          <w:bCs/>
          <w:color w:val="222222"/>
        </w:rPr>
        <w:t>Prefrontal (anterior end).</w:t>
      </w:r>
      <w:r w:rsidRPr="00A155FA">
        <w:rPr>
          <w:rFonts w:ascii="Times New Roman" w:eastAsia="Times New Roman" w:hAnsi="Times New Roman" w:cs="Times New Roman"/>
          <w:color w:val="222222"/>
        </w:rPr>
        <w:t xml:space="preserve"> Pointed (0), or wide and blunt (1).</w:t>
      </w:r>
    </w:p>
    <w:p w14:paraId="1A2BEC6C" w14:textId="77777777" w:rsidR="00A97E37" w:rsidRPr="00A155FA" w:rsidRDefault="00A97E37" w:rsidP="00D01A5E">
      <w:pPr>
        <w:ind w:left="540" w:hanging="540"/>
        <w:rPr>
          <w:color w:val="222222"/>
        </w:rPr>
      </w:pPr>
    </w:p>
    <w:p w14:paraId="2219A395"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(41) </w:t>
      </w:r>
      <w:r w:rsidRPr="00A155FA">
        <w:rPr>
          <w:rFonts w:ascii="Times New Roman" w:eastAsia="Times New Roman" w:hAnsi="Times New Roman" w:cs="Times New Roman"/>
          <w:b/>
          <w:bCs/>
          <w:color w:val="222222"/>
        </w:rPr>
        <w:t>Prefrontal (lateral suture)</w:t>
      </w:r>
      <w:r w:rsidRPr="00A155FA">
        <w:rPr>
          <w:rFonts w:ascii="Times New Roman" w:eastAsia="Times New Roman" w:hAnsi="Times New Roman" w:cs="Times New Roman"/>
          <w:color w:val="222222"/>
        </w:rPr>
        <w:t>. Straight or concave (0), or with marked medial projection of jugal near the orbit (1).</w:t>
      </w:r>
    </w:p>
    <w:p w14:paraId="4CA55562" w14:textId="77777777" w:rsidR="00A97E37" w:rsidRPr="00A155FA" w:rsidRDefault="00A97E37" w:rsidP="00D01A5E">
      <w:pPr>
        <w:ind w:left="540" w:hanging="540"/>
        <w:rPr>
          <w:color w:val="222222"/>
        </w:rPr>
      </w:pPr>
    </w:p>
    <w:p w14:paraId="7DC96AA9"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(42) </w:t>
      </w:r>
      <w:r w:rsidRPr="00A155FA">
        <w:rPr>
          <w:rFonts w:ascii="Times New Roman" w:eastAsia="Times New Roman" w:hAnsi="Times New Roman" w:cs="Times New Roman"/>
          <w:b/>
          <w:bCs/>
          <w:color w:val="222222"/>
        </w:rPr>
        <w:t>Prefrontal-postfrontal</w:t>
      </w:r>
      <w:r w:rsidRPr="00A155FA">
        <w:rPr>
          <w:rFonts w:ascii="Times New Roman" w:eastAsia="Times New Roman" w:hAnsi="Times New Roman" w:cs="Times New Roman"/>
          <w:color w:val="222222"/>
        </w:rPr>
        <w:t>. Sutured (0), or separated by frontal (1).</w:t>
      </w:r>
    </w:p>
    <w:p w14:paraId="330DE256" w14:textId="77777777" w:rsidR="00A97E37" w:rsidRPr="00A155FA" w:rsidRDefault="00A97E37" w:rsidP="00D01A5E">
      <w:pPr>
        <w:ind w:left="540" w:hanging="540"/>
        <w:rPr>
          <w:color w:val="222222"/>
        </w:rPr>
      </w:pPr>
    </w:p>
    <w:p w14:paraId="36B0CA58"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(43) </w:t>
      </w:r>
      <w:r w:rsidRPr="00A155FA">
        <w:rPr>
          <w:rFonts w:ascii="Times New Roman" w:eastAsia="Times New Roman" w:hAnsi="Times New Roman" w:cs="Times New Roman"/>
          <w:b/>
          <w:bCs/>
          <w:color w:val="222222"/>
        </w:rPr>
        <w:t>Prefrontal (process)</w:t>
      </w:r>
      <w:r w:rsidRPr="00A155FA">
        <w:rPr>
          <w:rFonts w:ascii="Times New Roman" w:eastAsia="Times New Roman" w:hAnsi="Times New Roman" w:cs="Times New Roman"/>
          <w:color w:val="222222"/>
        </w:rPr>
        <w:t>. Prefrontal-lacrimal suture simple (0), or prefrontal underlying</w:t>
      </w:r>
    </w:p>
    <w:p w14:paraId="374F6849"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lacrimal laterally to reach the palatine (1).</w:t>
      </w:r>
    </w:p>
    <w:p w14:paraId="7C609BF2" w14:textId="77777777" w:rsidR="00A97E37" w:rsidRPr="00A155FA" w:rsidRDefault="00A97E37" w:rsidP="00D01A5E">
      <w:pPr>
        <w:ind w:left="540" w:hanging="540"/>
        <w:rPr>
          <w:color w:val="222222"/>
        </w:rPr>
      </w:pPr>
    </w:p>
    <w:p w14:paraId="214B948B"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(44) </w:t>
      </w:r>
      <w:r w:rsidRPr="00A155FA">
        <w:rPr>
          <w:rFonts w:ascii="Times New Roman" w:eastAsia="Times New Roman" w:hAnsi="Times New Roman" w:cs="Times New Roman"/>
          <w:b/>
          <w:bCs/>
          <w:color w:val="222222"/>
        </w:rPr>
        <w:t>Prefrontal-jugal</w:t>
      </w:r>
      <w:r w:rsidRPr="00A155FA">
        <w:rPr>
          <w:rFonts w:ascii="Times New Roman" w:eastAsia="Times New Roman" w:hAnsi="Times New Roman" w:cs="Times New Roman"/>
          <w:color w:val="222222"/>
        </w:rPr>
        <w:t>. Separated (0), or in contact (1).</w:t>
      </w:r>
    </w:p>
    <w:p w14:paraId="6B8E5543" w14:textId="77777777" w:rsidR="00A97E37" w:rsidRPr="00A155FA" w:rsidRDefault="00A97E37" w:rsidP="00D01A5E">
      <w:pPr>
        <w:ind w:left="540" w:hanging="540"/>
        <w:rPr>
          <w:color w:val="222222"/>
        </w:rPr>
      </w:pPr>
    </w:p>
    <w:p w14:paraId="4E69D118"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(45) </w:t>
      </w:r>
      <w:r w:rsidRPr="00A155FA">
        <w:rPr>
          <w:rFonts w:ascii="Times New Roman" w:eastAsia="Times New Roman" w:hAnsi="Times New Roman" w:cs="Times New Roman"/>
          <w:b/>
          <w:bCs/>
          <w:color w:val="222222"/>
        </w:rPr>
        <w:t>Prefrontal-maxilla</w:t>
      </w:r>
      <w:r w:rsidRPr="00A155FA">
        <w:rPr>
          <w:rFonts w:ascii="Times New Roman" w:eastAsia="Times New Roman" w:hAnsi="Times New Roman" w:cs="Times New Roman"/>
          <w:color w:val="222222"/>
        </w:rPr>
        <w:t>. Separated (0), or in contact (1).</w:t>
      </w:r>
    </w:p>
    <w:p w14:paraId="4C8752F8" w14:textId="77777777" w:rsidR="00A97E37" w:rsidRPr="00A155FA" w:rsidRDefault="00A97E37" w:rsidP="00D01A5E">
      <w:pPr>
        <w:ind w:left="540" w:hanging="540"/>
        <w:rPr>
          <w:color w:val="222222"/>
        </w:rPr>
      </w:pPr>
    </w:p>
    <w:p w14:paraId="7E86D858"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(46) </w:t>
      </w:r>
      <w:r w:rsidRPr="00A155FA">
        <w:rPr>
          <w:rFonts w:ascii="Times New Roman" w:eastAsia="Times New Roman" w:hAnsi="Times New Roman" w:cs="Times New Roman"/>
          <w:b/>
          <w:bCs/>
          <w:color w:val="222222"/>
        </w:rPr>
        <w:t>Posterior skull table (length)</w:t>
      </w:r>
      <w:r w:rsidRPr="00A155FA">
        <w:rPr>
          <w:rFonts w:ascii="Times New Roman" w:eastAsia="Times New Roman" w:hAnsi="Times New Roman" w:cs="Times New Roman"/>
          <w:color w:val="222222"/>
        </w:rPr>
        <w:t>. More than 0.6 times the width (0), or less than that (1).</w:t>
      </w:r>
    </w:p>
    <w:p w14:paraId="1626A986" w14:textId="77777777" w:rsidR="00A97E37" w:rsidRPr="00A155FA" w:rsidRDefault="00A97E37" w:rsidP="00D01A5E">
      <w:pPr>
        <w:ind w:left="540" w:hanging="540"/>
        <w:rPr>
          <w:color w:val="222222"/>
        </w:rPr>
      </w:pPr>
    </w:p>
    <w:p w14:paraId="64422F67"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(47) </w:t>
      </w:r>
      <w:r w:rsidRPr="00A155FA">
        <w:rPr>
          <w:rFonts w:ascii="Times New Roman" w:eastAsia="Times New Roman" w:hAnsi="Times New Roman" w:cs="Times New Roman"/>
          <w:b/>
          <w:bCs/>
          <w:color w:val="222222"/>
        </w:rPr>
        <w:t>Postorbital (shape)</w:t>
      </w:r>
      <w:r w:rsidRPr="00A155FA">
        <w:rPr>
          <w:rFonts w:ascii="Times New Roman" w:eastAsia="Times New Roman" w:hAnsi="Times New Roman" w:cs="Times New Roman"/>
          <w:color w:val="222222"/>
        </w:rPr>
        <w:t>. Long triangular, wedged deeply between squamosal and</w:t>
      </w:r>
    </w:p>
    <w:p w14:paraId="5A216552"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supratemporal (0), or short (1).</w:t>
      </w:r>
    </w:p>
    <w:p w14:paraId="4E38F200" w14:textId="77777777" w:rsidR="00A97E37" w:rsidRPr="00A155FA" w:rsidRDefault="00A97E37" w:rsidP="00D01A5E">
      <w:pPr>
        <w:ind w:left="540" w:hanging="540"/>
        <w:rPr>
          <w:color w:val="222222"/>
        </w:rPr>
      </w:pPr>
    </w:p>
    <w:p w14:paraId="79A8C376"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(48) </w:t>
      </w:r>
      <w:r w:rsidRPr="00A155FA">
        <w:rPr>
          <w:rFonts w:ascii="Times New Roman" w:eastAsia="Times New Roman" w:hAnsi="Times New Roman" w:cs="Times New Roman"/>
          <w:b/>
          <w:bCs/>
          <w:color w:val="222222"/>
        </w:rPr>
        <w:t>Postorbital (end)</w:t>
      </w:r>
      <w:r w:rsidRPr="00A155FA">
        <w:rPr>
          <w:rFonts w:ascii="Times New Roman" w:eastAsia="Times New Roman" w:hAnsi="Times New Roman" w:cs="Times New Roman"/>
          <w:color w:val="222222"/>
        </w:rPr>
        <w:t>. Posterior end acutely triangular (0), or with finger-like projection (1).</w:t>
      </w:r>
    </w:p>
    <w:p w14:paraId="5A5F816C" w14:textId="77777777" w:rsidR="00A97E37" w:rsidRPr="00A155FA" w:rsidRDefault="00A97E37" w:rsidP="00D01A5E">
      <w:pPr>
        <w:ind w:left="540" w:hanging="540"/>
        <w:rPr>
          <w:color w:val="222222"/>
        </w:rPr>
      </w:pPr>
    </w:p>
    <w:p w14:paraId="1CF4FA4E"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(49) </w:t>
      </w:r>
      <w:r w:rsidRPr="00A155FA">
        <w:rPr>
          <w:rFonts w:ascii="Times New Roman" w:eastAsia="Times New Roman" w:hAnsi="Times New Roman" w:cs="Times New Roman"/>
          <w:b/>
          <w:bCs/>
          <w:color w:val="222222"/>
        </w:rPr>
        <w:t>Postorbital</w:t>
      </w:r>
      <w:r w:rsidRPr="00A155FA">
        <w:rPr>
          <w:rFonts w:ascii="Times New Roman" w:eastAsia="Times New Roman" w:hAnsi="Times New Roman" w:cs="Times New Roman"/>
          <w:color w:val="222222"/>
        </w:rPr>
        <w:t>. Not wider than orbit (0), or with substantial lateral process projecting into</w:t>
      </w:r>
    </w:p>
    <w:p w14:paraId="7D3355A7"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jugal (1).</w:t>
      </w:r>
    </w:p>
    <w:p w14:paraId="3569E746" w14:textId="77777777" w:rsidR="00A97E37" w:rsidRPr="00A155FA" w:rsidRDefault="00A97E37" w:rsidP="00D01A5E">
      <w:pPr>
        <w:ind w:left="540" w:hanging="540"/>
        <w:rPr>
          <w:color w:val="222222"/>
        </w:rPr>
      </w:pPr>
    </w:p>
    <w:p w14:paraId="3ADA28CB"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(50) </w:t>
      </w:r>
      <w:r w:rsidRPr="00A155FA">
        <w:rPr>
          <w:rFonts w:ascii="Times New Roman" w:eastAsia="Times New Roman" w:hAnsi="Times New Roman" w:cs="Times New Roman"/>
          <w:b/>
          <w:bCs/>
          <w:color w:val="222222"/>
        </w:rPr>
        <w:t>Postorbital, postfrontal</w:t>
      </w:r>
      <w:r w:rsidRPr="00A155FA">
        <w:rPr>
          <w:rFonts w:ascii="Times New Roman" w:eastAsia="Times New Roman" w:hAnsi="Times New Roman" w:cs="Times New Roman"/>
          <w:color w:val="222222"/>
        </w:rPr>
        <w:t>. Shorter than supratemporal and parietal (0), or as long or longer (1).</w:t>
      </w:r>
    </w:p>
    <w:p w14:paraId="5E5BCEB5" w14:textId="77777777" w:rsidR="00A97E37" w:rsidRPr="00A155FA" w:rsidRDefault="00A97E37" w:rsidP="00D01A5E">
      <w:pPr>
        <w:ind w:left="540" w:hanging="540"/>
        <w:rPr>
          <w:color w:val="222222"/>
        </w:rPr>
      </w:pPr>
    </w:p>
    <w:p w14:paraId="0315E33A"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(51) </w:t>
      </w:r>
      <w:r w:rsidRPr="00A155FA">
        <w:rPr>
          <w:rFonts w:ascii="Times New Roman" w:eastAsia="Times New Roman" w:hAnsi="Times New Roman" w:cs="Times New Roman"/>
          <w:b/>
          <w:bCs/>
          <w:color w:val="222222"/>
        </w:rPr>
        <w:t>Otic notch</w:t>
      </w:r>
      <w:r w:rsidRPr="00A155FA">
        <w:rPr>
          <w:rFonts w:ascii="Times New Roman" w:eastAsia="Times New Roman" w:hAnsi="Times New Roman" w:cs="Times New Roman"/>
          <w:color w:val="222222"/>
        </w:rPr>
        <w:t>. Semicircular embayment between squamosal and posterior skull table (0), or straight transverse posterior skull margin without embayment between cheek and table (1).</w:t>
      </w:r>
    </w:p>
    <w:p w14:paraId="79BAEA01" w14:textId="77777777" w:rsidR="00A97E37" w:rsidRPr="00A155FA" w:rsidRDefault="00A97E37" w:rsidP="00D01A5E">
      <w:pPr>
        <w:ind w:left="540" w:hanging="540"/>
        <w:rPr>
          <w:color w:val="222222"/>
        </w:rPr>
      </w:pPr>
    </w:p>
    <w:p w14:paraId="12B02294"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(52) </w:t>
      </w:r>
      <w:r w:rsidRPr="00A155FA">
        <w:rPr>
          <w:rFonts w:ascii="Times New Roman" w:eastAsia="Times New Roman" w:hAnsi="Times New Roman" w:cs="Times New Roman"/>
          <w:b/>
          <w:bCs/>
          <w:color w:val="222222"/>
        </w:rPr>
        <w:t>Otic notch (position)</w:t>
      </w:r>
      <w:r w:rsidRPr="00A155FA">
        <w:rPr>
          <w:rFonts w:ascii="Times New Roman" w:eastAsia="Times New Roman" w:hAnsi="Times New Roman" w:cs="Times New Roman"/>
          <w:color w:val="222222"/>
        </w:rPr>
        <w:t>. Lateral, expanding along entire cheek to form continuous</w:t>
      </w:r>
    </w:p>
    <w:p w14:paraId="0A2B35B3"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unornamented area up to quadrate (0), or slit-like (1), or small and rounded, confined to</w:t>
      </w:r>
    </w:p>
    <w:p w14:paraId="36B7D4C4"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dorsomedial part of squamosal (2).</w:t>
      </w:r>
    </w:p>
    <w:p w14:paraId="456A3AA5" w14:textId="77777777" w:rsidR="00A97E37" w:rsidRPr="00A155FA" w:rsidRDefault="00A97E37" w:rsidP="00D01A5E">
      <w:pPr>
        <w:ind w:left="540" w:hanging="540"/>
        <w:rPr>
          <w:color w:val="222222"/>
        </w:rPr>
      </w:pPr>
    </w:p>
    <w:p w14:paraId="1758A4CF"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(53) </w:t>
      </w:r>
      <w:r w:rsidRPr="00A155FA">
        <w:rPr>
          <w:rFonts w:ascii="Times New Roman" w:eastAsia="Times New Roman" w:hAnsi="Times New Roman" w:cs="Times New Roman"/>
          <w:b/>
          <w:bCs/>
          <w:color w:val="222222"/>
        </w:rPr>
        <w:t>Supratemporal</w:t>
      </w:r>
      <w:r w:rsidRPr="00A155FA">
        <w:rPr>
          <w:rFonts w:ascii="Times New Roman" w:eastAsia="Times New Roman" w:hAnsi="Times New Roman" w:cs="Times New Roman"/>
          <w:color w:val="222222"/>
        </w:rPr>
        <w:t>. Longer than wide (0), or quadrangular, giving a foreshortened posterior skull table (1).</w:t>
      </w:r>
    </w:p>
    <w:p w14:paraId="3EB75D02" w14:textId="77777777" w:rsidR="00A97E37" w:rsidRPr="00A155FA" w:rsidRDefault="00A97E37" w:rsidP="00D01A5E">
      <w:pPr>
        <w:ind w:left="540" w:hanging="540"/>
        <w:rPr>
          <w:color w:val="222222"/>
        </w:rPr>
      </w:pPr>
    </w:p>
    <w:p w14:paraId="1B77FE54"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(54) </w:t>
      </w:r>
      <w:r w:rsidRPr="00A155FA">
        <w:rPr>
          <w:rFonts w:ascii="Times New Roman" w:eastAsia="Times New Roman" w:hAnsi="Times New Roman" w:cs="Times New Roman"/>
          <w:b/>
          <w:bCs/>
          <w:color w:val="222222"/>
        </w:rPr>
        <w:t>Supratemporal (width)</w:t>
      </w:r>
      <w:r w:rsidRPr="00A155FA">
        <w:rPr>
          <w:rFonts w:ascii="Times New Roman" w:eastAsia="Times New Roman" w:hAnsi="Times New Roman" w:cs="Times New Roman"/>
          <w:color w:val="222222"/>
        </w:rPr>
        <w:t>. Rectangular, with straight sagittal lateral margin (0), or</w:t>
      </w:r>
    </w:p>
    <w:p w14:paraId="6564A5DE"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posterolaterally constricted by expanded otic notch (1).</w:t>
      </w:r>
    </w:p>
    <w:p w14:paraId="613C2F2E" w14:textId="77777777" w:rsidR="00A97E37" w:rsidRPr="00A155FA" w:rsidRDefault="00A97E37" w:rsidP="00D01A5E">
      <w:pPr>
        <w:ind w:left="540" w:hanging="540"/>
        <w:rPr>
          <w:color w:val="222222"/>
        </w:rPr>
      </w:pPr>
    </w:p>
    <w:p w14:paraId="5CEAE960"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(55) </w:t>
      </w:r>
      <w:r w:rsidRPr="00A155FA">
        <w:rPr>
          <w:rFonts w:ascii="Times New Roman" w:eastAsia="Times New Roman" w:hAnsi="Times New Roman" w:cs="Times New Roman"/>
          <w:b/>
          <w:bCs/>
          <w:color w:val="222222"/>
        </w:rPr>
        <w:t>Supratympanic flange</w:t>
      </w:r>
      <w:r w:rsidRPr="00A155FA">
        <w:rPr>
          <w:rFonts w:ascii="Times New Roman" w:eastAsia="Times New Roman" w:hAnsi="Times New Roman" w:cs="Times New Roman"/>
          <w:color w:val="222222"/>
        </w:rPr>
        <w:t>. Squamosal continuously ornamented around margin of otic notch (0), or squamosal having dorsally exposed and ornamented area (supratympanic flange) stepping abruptly into steeply aligned, poorly ornamented portion (1).</w:t>
      </w:r>
    </w:p>
    <w:p w14:paraId="3B07F6C5" w14:textId="77777777" w:rsidR="00A97E37" w:rsidRPr="00A155FA" w:rsidRDefault="00A97E37" w:rsidP="00D01A5E">
      <w:pPr>
        <w:ind w:left="540" w:hanging="540"/>
        <w:rPr>
          <w:color w:val="222222"/>
        </w:rPr>
      </w:pPr>
    </w:p>
    <w:p w14:paraId="3B92B6D0"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(56) </w:t>
      </w:r>
      <w:r w:rsidRPr="00A155FA">
        <w:rPr>
          <w:rFonts w:ascii="Times New Roman" w:eastAsia="Times New Roman" w:hAnsi="Times New Roman" w:cs="Times New Roman"/>
          <w:b/>
          <w:bCs/>
          <w:color w:val="222222"/>
        </w:rPr>
        <w:t>Semilunar flange</w:t>
      </w:r>
      <w:r w:rsidRPr="00A155FA">
        <w:rPr>
          <w:rFonts w:ascii="Times New Roman" w:eastAsia="Times New Roman" w:hAnsi="Times New Roman" w:cs="Times New Roman"/>
          <w:color w:val="222222"/>
        </w:rPr>
        <w:t>. Supratemporal without ventral projection into otic notch (0), or</w:t>
      </w:r>
    </w:p>
    <w:p w14:paraId="067C1BD6"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supratemporal forming marked ventral flange participating in medial bordering of otic</w:t>
      </w:r>
    </w:p>
    <w:p w14:paraId="6244A526"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notch (1).</w:t>
      </w:r>
    </w:p>
    <w:p w14:paraId="7E809CC9" w14:textId="77777777" w:rsidR="00A97E37" w:rsidRPr="00A155FA" w:rsidRDefault="00A97E37" w:rsidP="00D01A5E">
      <w:pPr>
        <w:ind w:left="540" w:hanging="540"/>
        <w:rPr>
          <w:color w:val="222222"/>
        </w:rPr>
      </w:pPr>
    </w:p>
    <w:p w14:paraId="270BC022"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(57) </w:t>
      </w:r>
      <w:r w:rsidRPr="00A155FA">
        <w:rPr>
          <w:rFonts w:ascii="Times New Roman" w:eastAsia="Times New Roman" w:hAnsi="Times New Roman" w:cs="Times New Roman"/>
          <w:b/>
          <w:bCs/>
          <w:color w:val="222222"/>
        </w:rPr>
        <w:t>Jugal (ventral process)</w:t>
      </w:r>
      <w:r w:rsidRPr="00A155FA">
        <w:rPr>
          <w:rFonts w:ascii="Times New Roman" w:eastAsia="Times New Roman" w:hAnsi="Times New Roman" w:cs="Times New Roman"/>
          <w:color w:val="222222"/>
        </w:rPr>
        <w:t xml:space="preserve">. No ventral outgrowth (0), or insula </w:t>
      </w:r>
      <w:proofErr w:type="spellStart"/>
      <w:r w:rsidRPr="00A155FA">
        <w:rPr>
          <w:rFonts w:ascii="Times New Roman" w:eastAsia="Times New Roman" w:hAnsi="Times New Roman" w:cs="Times New Roman"/>
          <w:color w:val="222222"/>
        </w:rPr>
        <w:t>jugalis</w:t>
      </w:r>
      <w:proofErr w:type="spellEnd"/>
      <w:r w:rsidRPr="00A155FA">
        <w:rPr>
          <w:rFonts w:ascii="Times New Roman" w:eastAsia="Times New Roman" w:hAnsi="Times New Roman" w:cs="Times New Roman"/>
          <w:color w:val="222222"/>
        </w:rPr>
        <w:t xml:space="preserve"> framing </w:t>
      </w:r>
      <w:proofErr w:type="spellStart"/>
      <w:r w:rsidRPr="00A155FA">
        <w:rPr>
          <w:rFonts w:ascii="Times New Roman" w:eastAsia="Times New Roman" w:hAnsi="Times New Roman" w:cs="Times New Roman"/>
          <w:color w:val="222222"/>
        </w:rPr>
        <w:t>subtemporal</w:t>
      </w:r>
      <w:proofErr w:type="spellEnd"/>
      <w:r w:rsidRPr="00A155FA">
        <w:rPr>
          <w:rFonts w:ascii="Times New Roman" w:eastAsia="Times New Roman" w:hAnsi="Times New Roman" w:cs="Times New Roman"/>
          <w:color w:val="222222"/>
        </w:rPr>
        <w:t xml:space="preserve"> window (1).</w:t>
      </w:r>
    </w:p>
    <w:p w14:paraId="08D6AE99" w14:textId="77777777" w:rsidR="00A97E37" w:rsidRPr="00A155FA" w:rsidRDefault="00A97E37" w:rsidP="00D01A5E">
      <w:pPr>
        <w:ind w:left="540" w:hanging="540"/>
        <w:rPr>
          <w:color w:val="222222"/>
        </w:rPr>
      </w:pPr>
    </w:p>
    <w:p w14:paraId="2EF4D9AE"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(58) </w:t>
      </w:r>
      <w:r w:rsidRPr="00A155FA">
        <w:rPr>
          <w:rFonts w:ascii="Times New Roman" w:eastAsia="Times New Roman" w:hAnsi="Times New Roman" w:cs="Times New Roman"/>
          <w:b/>
          <w:bCs/>
          <w:color w:val="222222"/>
        </w:rPr>
        <w:t>Jugal (anterior extension)</w:t>
      </w:r>
      <w:r w:rsidRPr="00A155FA">
        <w:rPr>
          <w:rFonts w:ascii="Times New Roman" w:eastAsia="Times New Roman" w:hAnsi="Times New Roman" w:cs="Times New Roman"/>
          <w:color w:val="222222"/>
        </w:rPr>
        <w:t>. Jugal ending at or behind level of anterior orbit margin (0), or extending anteriorly (1).</w:t>
      </w:r>
    </w:p>
    <w:p w14:paraId="024FC799" w14:textId="77777777" w:rsidR="00A97E37" w:rsidRPr="00A155FA" w:rsidRDefault="00A97E37" w:rsidP="00D01A5E">
      <w:pPr>
        <w:ind w:left="540" w:hanging="540"/>
        <w:rPr>
          <w:color w:val="222222"/>
        </w:rPr>
      </w:pPr>
    </w:p>
    <w:p w14:paraId="49A8F4D3"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(59) </w:t>
      </w:r>
      <w:r w:rsidRPr="00A155FA">
        <w:rPr>
          <w:rFonts w:ascii="Times New Roman" w:eastAsia="Times New Roman" w:hAnsi="Times New Roman" w:cs="Times New Roman"/>
          <w:b/>
          <w:bCs/>
          <w:color w:val="222222"/>
        </w:rPr>
        <w:t>Jugal-lacrimal</w:t>
      </w:r>
      <w:r w:rsidRPr="00A155FA">
        <w:rPr>
          <w:rFonts w:ascii="Times New Roman" w:eastAsia="Times New Roman" w:hAnsi="Times New Roman" w:cs="Times New Roman"/>
          <w:color w:val="222222"/>
        </w:rPr>
        <w:t>. In contact (0), or separated by orbit or palate bones (1).</w:t>
      </w:r>
    </w:p>
    <w:p w14:paraId="71C51DFD" w14:textId="77777777" w:rsidR="00A97E37" w:rsidRPr="00A155FA" w:rsidRDefault="00A97E37" w:rsidP="00D01A5E">
      <w:pPr>
        <w:ind w:left="540" w:hanging="540"/>
        <w:rPr>
          <w:color w:val="222222"/>
        </w:rPr>
      </w:pPr>
    </w:p>
    <w:p w14:paraId="321C73DD"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(60) </w:t>
      </w:r>
      <w:r w:rsidRPr="00A155FA">
        <w:rPr>
          <w:rFonts w:ascii="Times New Roman" w:eastAsia="Times New Roman" w:hAnsi="Times New Roman" w:cs="Times New Roman"/>
          <w:b/>
          <w:bCs/>
          <w:color w:val="222222"/>
        </w:rPr>
        <w:t>Intertemporal</w:t>
      </w:r>
      <w:r w:rsidRPr="00A155FA">
        <w:rPr>
          <w:rFonts w:ascii="Times New Roman" w:eastAsia="Times New Roman" w:hAnsi="Times New Roman" w:cs="Times New Roman"/>
          <w:color w:val="222222"/>
        </w:rPr>
        <w:t>. Present (0), absent (1).</w:t>
      </w:r>
    </w:p>
    <w:p w14:paraId="0895AFFE" w14:textId="77777777" w:rsidR="00A97E37" w:rsidRPr="00A155FA" w:rsidRDefault="00A97E37" w:rsidP="00D01A5E">
      <w:pPr>
        <w:ind w:left="540" w:hanging="540"/>
        <w:rPr>
          <w:color w:val="222222"/>
        </w:rPr>
      </w:pPr>
    </w:p>
    <w:p w14:paraId="718D5A6B" w14:textId="77777777" w:rsidR="00A97E37" w:rsidRPr="00A155FA" w:rsidRDefault="00A97E37" w:rsidP="00A30351">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(232) </w:t>
      </w:r>
      <w:r w:rsidRPr="00A155FA">
        <w:rPr>
          <w:rFonts w:ascii="Times New Roman" w:eastAsia="Times New Roman" w:hAnsi="Times New Roman" w:cs="Times New Roman"/>
          <w:b/>
          <w:bCs/>
          <w:color w:val="222222"/>
        </w:rPr>
        <w:t>Parietal-postorbital contact</w:t>
      </w:r>
      <w:r w:rsidRPr="00A155FA">
        <w:rPr>
          <w:rFonts w:ascii="Times New Roman" w:eastAsia="Times New Roman" w:hAnsi="Times New Roman" w:cs="Times New Roman"/>
          <w:color w:val="222222"/>
        </w:rPr>
        <w:t>. Absent (0), present (1).</w:t>
      </w:r>
    </w:p>
    <w:p w14:paraId="6B93AE57" w14:textId="77777777" w:rsidR="00A97E37" w:rsidRPr="00A155FA" w:rsidRDefault="00A97E37" w:rsidP="00D01A5E">
      <w:pPr>
        <w:ind w:left="540" w:hanging="540"/>
        <w:rPr>
          <w:color w:val="222222"/>
        </w:rPr>
      </w:pPr>
    </w:p>
    <w:p w14:paraId="1B942729"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(62) </w:t>
      </w:r>
      <w:r w:rsidRPr="00A155FA">
        <w:rPr>
          <w:rFonts w:ascii="Times New Roman" w:eastAsia="Times New Roman" w:hAnsi="Times New Roman" w:cs="Times New Roman"/>
          <w:b/>
          <w:bCs/>
          <w:color w:val="222222"/>
        </w:rPr>
        <w:t>Squamosal-tabular (dorsal)</w:t>
      </w:r>
      <w:r w:rsidRPr="00A155FA">
        <w:rPr>
          <w:rFonts w:ascii="Times New Roman" w:eastAsia="Times New Roman" w:hAnsi="Times New Roman" w:cs="Times New Roman"/>
          <w:color w:val="222222"/>
        </w:rPr>
        <w:t>. Separated by supratemporal (0), or sutured (1).</w:t>
      </w:r>
    </w:p>
    <w:p w14:paraId="1DAF0492" w14:textId="77777777" w:rsidR="00A97E37" w:rsidRPr="00A155FA" w:rsidRDefault="00A97E37" w:rsidP="00D01A5E">
      <w:pPr>
        <w:ind w:left="540" w:hanging="540"/>
        <w:rPr>
          <w:color w:val="222222"/>
        </w:rPr>
      </w:pPr>
    </w:p>
    <w:p w14:paraId="5E4F231D"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(63) </w:t>
      </w:r>
      <w:r w:rsidRPr="00A155FA">
        <w:rPr>
          <w:rFonts w:ascii="Times New Roman" w:eastAsia="Times New Roman" w:hAnsi="Times New Roman" w:cs="Times New Roman"/>
          <w:b/>
          <w:bCs/>
          <w:color w:val="222222"/>
        </w:rPr>
        <w:t>Tabular and squamosal</w:t>
      </w:r>
      <w:r w:rsidRPr="00A155FA">
        <w:rPr>
          <w:rFonts w:ascii="Times New Roman" w:eastAsia="Times New Roman" w:hAnsi="Times New Roman" w:cs="Times New Roman"/>
          <w:color w:val="222222"/>
        </w:rPr>
        <w:t>. Forming either squamosal embayment or straight posterior</w:t>
      </w:r>
    </w:p>
    <w:p w14:paraId="1D02F3B7"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margin (0), or projecting posteriorly, with tabular extended posterolaterally (1).</w:t>
      </w:r>
    </w:p>
    <w:p w14:paraId="154C87B4" w14:textId="77777777" w:rsidR="00A97E37" w:rsidRPr="00A155FA" w:rsidRDefault="00A97E37" w:rsidP="00D01A5E">
      <w:pPr>
        <w:ind w:left="540" w:hanging="540"/>
        <w:rPr>
          <w:color w:val="222222"/>
        </w:rPr>
      </w:pPr>
    </w:p>
    <w:p w14:paraId="33FEBE29"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(64) </w:t>
      </w:r>
      <w:r w:rsidRPr="00A155FA">
        <w:rPr>
          <w:rFonts w:ascii="Times New Roman" w:eastAsia="Times New Roman" w:hAnsi="Times New Roman" w:cs="Times New Roman"/>
          <w:b/>
          <w:bCs/>
          <w:color w:val="222222"/>
        </w:rPr>
        <w:t>Squamosal (falciform crest)</w:t>
      </w:r>
      <w:r w:rsidRPr="00A155FA">
        <w:rPr>
          <w:rFonts w:ascii="Times New Roman" w:eastAsia="Times New Roman" w:hAnsi="Times New Roman" w:cs="Times New Roman"/>
          <w:color w:val="222222"/>
        </w:rPr>
        <w:t>. Posterior rim of squamosal straight (0), or with convex</w:t>
      </w:r>
    </w:p>
    <w:p w14:paraId="4ED20675"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projection, referred to as falciform crest (1).</w:t>
      </w:r>
    </w:p>
    <w:p w14:paraId="6A4E8EFE" w14:textId="77777777" w:rsidR="00A97E37" w:rsidRPr="00A155FA" w:rsidRDefault="00A97E37" w:rsidP="00D01A5E">
      <w:pPr>
        <w:ind w:left="540" w:hanging="540"/>
        <w:rPr>
          <w:color w:val="222222"/>
        </w:rPr>
      </w:pPr>
    </w:p>
    <w:p w14:paraId="62D093F7"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(65) </w:t>
      </w:r>
      <w:r w:rsidRPr="00A155FA">
        <w:rPr>
          <w:rFonts w:ascii="Times New Roman" w:eastAsia="Times New Roman" w:hAnsi="Times New Roman" w:cs="Times New Roman"/>
          <w:b/>
          <w:bCs/>
          <w:color w:val="222222"/>
        </w:rPr>
        <w:t>Tabular (horn)</w:t>
      </w:r>
      <w:r w:rsidRPr="00A155FA">
        <w:rPr>
          <w:rFonts w:ascii="Times New Roman" w:eastAsia="Times New Roman" w:hAnsi="Times New Roman" w:cs="Times New Roman"/>
          <w:color w:val="222222"/>
        </w:rPr>
        <w:t>. Present in some form (0), or entirely absent (1).</w:t>
      </w:r>
    </w:p>
    <w:p w14:paraId="76C967EF" w14:textId="77777777" w:rsidR="00A97E37" w:rsidRPr="00A155FA" w:rsidRDefault="00A97E37" w:rsidP="00D01A5E">
      <w:pPr>
        <w:ind w:left="540" w:hanging="540"/>
        <w:rPr>
          <w:color w:val="222222"/>
        </w:rPr>
      </w:pPr>
    </w:p>
    <w:p w14:paraId="27A529AC"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(66) </w:t>
      </w:r>
      <w:r w:rsidRPr="00A155FA">
        <w:rPr>
          <w:rFonts w:ascii="Times New Roman" w:eastAsia="Times New Roman" w:hAnsi="Times New Roman" w:cs="Times New Roman"/>
          <w:b/>
          <w:bCs/>
          <w:color w:val="222222"/>
        </w:rPr>
        <w:t>Tabular (extension)</w:t>
      </w:r>
      <w:r w:rsidRPr="00A155FA">
        <w:rPr>
          <w:rFonts w:ascii="Times New Roman" w:eastAsia="Times New Roman" w:hAnsi="Times New Roman" w:cs="Times New Roman"/>
          <w:color w:val="222222"/>
        </w:rPr>
        <w:t xml:space="preserve">. Tabular horn pointing posteriorly if present (0), or aligned laterally (1), or sutured with squamosal posterior to </w:t>
      </w:r>
      <w:proofErr w:type="spellStart"/>
      <w:r w:rsidRPr="00A155FA">
        <w:rPr>
          <w:rFonts w:ascii="Times New Roman" w:eastAsia="Times New Roman" w:hAnsi="Times New Roman" w:cs="Times New Roman"/>
          <w:color w:val="222222"/>
        </w:rPr>
        <w:t>otic</w:t>
      </w:r>
      <w:proofErr w:type="spellEnd"/>
      <w:r w:rsidRPr="00A155FA">
        <w:rPr>
          <w:rFonts w:ascii="Times New Roman" w:eastAsia="Times New Roman" w:hAnsi="Times New Roman" w:cs="Times New Roman"/>
          <w:color w:val="222222"/>
        </w:rPr>
        <w:t xml:space="preserve"> notch (</w:t>
      </w:r>
      <w:proofErr w:type="spellStart"/>
      <w:r w:rsidRPr="00A155FA">
        <w:rPr>
          <w:rFonts w:ascii="Times New Roman" w:eastAsia="Times New Roman" w:hAnsi="Times New Roman" w:cs="Times New Roman"/>
          <w:color w:val="222222"/>
        </w:rPr>
        <w:t>cyclotosaur</w:t>
      </w:r>
      <w:proofErr w:type="spellEnd"/>
      <w:r w:rsidRPr="00A155FA">
        <w:rPr>
          <w:rFonts w:ascii="Times New Roman" w:eastAsia="Times New Roman" w:hAnsi="Times New Roman" w:cs="Times New Roman"/>
          <w:color w:val="222222"/>
        </w:rPr>
        <w:t xml:space="preserve"> condition) (2).</w:t>
      </w:r>
    </w:p>
    <w:p w14:paraId="063C6A0E" w14:textId="77777777" w:rsidR="00A97E37" w:rsidRPr="00A155FA" w:rsidRDefault="00A97E37" w:rsidP="00D01A5E">
      <w:pPr>
        <w:ind w:left="540" w:hanging="540"/>
        <w:rPr>
          <w:color w:val="222222"/>
        </w:rPr>
      </w:pPr>
    </w:p>
    <w:p w14:paraId="56BD41E6"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(67) </w:t>
      </w:r>
      <w:r w:rsidRPr="00A155FA">
        <w:rPr>
          <w:rFonts w:ascii="Times New Roman" w:eastAsia="Times New Roman" w:hAnsi="Times New Roman" w:cs="Times New Roman"/>
          <w:b/>
          <w:bCs/>
          <w:color w:val="222222"/>
        </w:rPr>
        <w:t>Tabular (ventral crest)</w:t>
      </w:r>
      <w:r w:rsidRPr="00A155FA">
        <w:rPr>
          <w:rFonts w:ascii="Times New Roman" w:eastAsia="Times New Roman" w:hAnsi="Times New Roman" w:cs="Times New Roman"/>
          <w:color w:val="222222"/>
        </w:rPr>
        <w:t>. Absent (0), or present and shallow (1), or forming a deep ridge that almost doubles the thickness of the tabular in occipital view (2). These character-states were ordered.</w:t>
      </w:r>
    </w:p>
    <w:p w14:paraId="3595F1D7" w14:textId="77777777" w:rsidR="00A97E37" w:rsidRPr="00A155FA" w:rsidRDefault="00A97E37" w:rsidP="00D01A5E">
      <w:pPr>
        <w:ind w:left="540" w:hanging="540"/>
        <w:rPr>
          <w:color w:val="222222"/>
        </w:rPr>
      </w:pPr>
    </w:p>
    <w:p w14:paraId="546BA46A"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(68) </w:t>
      </w:r>
      <w:r w:rsidRPr="00A155FA">
        <w:rPr>
          <w:rFonts w:ascii="Times New Roman" w:eastAsia="Times New Roman" w:hAnsi="Times New Roman" w:cs="Times New Roman"/>
          <w:b/>
          <w:bCs/>
          <w:color w:val="222222"/>
        </w:rPr>
        <w:t>Quadratojugal (medial process)</w:t>
      </w:r>
      <w:r w:rsidRPr="00A155FA">
        <w:rPr>
          <w:rFonts w:ascii="Times New Roman" w:eastAsia="Times New Roman" w:hAnsi="Times New Roman" w:cs="Times New Roman"/>
          <w:color w:val="222222"/>
        </w:rPr>
        <w:t>. Absent (0), or present (1).</w:t>
      </w:r>
    </w:p>
    <w:p w14:paraId="408F5225" w14:textId="77777777" w:rsidR="00A97E37" w:rsidRPr="00A155FA" w:rsidRDefault="00A97E37" w:rsidP="00D01A5E">
      <w:pPr>
        <w:ind w:left="540" w:hanging="540"/>
        <w:rPr>
          <w:color w:val="222222"/>
        </w:rPr>
      </w:pPr>
    </w:p>
    <w:p w14:paraId="554F34E6"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(69) </w:t>
      </w:r>
      <w:r w:rsidRPr="00A155FA">
        <w:rPr>
          <w:rFonts w:ascii="Times New Roman" w:eastAsia="Times New Roman" w:hAnsi="Times New Roman" w:cs="Times New Roman"/>
          <w:b/>
          <w:bCs/>
          <w:color w:val="222222"/>
        </w:rPr>
        <w:t>Quadratojugal-maxilla</w:t>
      </w:r>
      <w:r w:rsidRPr="00A155FA">
        <w:rPr>
          <w:rFonts w:ascii="Times New Roman" w:eastAsia="Times New Roman" w:hAnsi="Times New Roman" w:cs="Times New Roman"/>
          <w:color w:val="222222"/>
        </w:rPr>
        <w:t>. In contact (0), or separated by jugal (1).</w:t>
      </w:r>
    </w:p>
    <w:p w14:paraId="5AAD4521" w14:textId="77777777" w:rsidR="00A97E37" w:rsidRPr="00A155FA" w:rsidRDefault="00A97E37" w:rsidP="00D01A5E">
      <w:pPr>
        <w:ind w:left="540" w:hanging="540"/>
        <w:rPr>
          <w:color w:val="222222"/>
        </w:rPr>
      </w:pPr>
    </w:p>
    <w:p w14:paraId="4441DA34"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(70) </w:t>
      </w:r>
      <w:r w:rsidRPr="00A155FA">
        <w:rPr>
          <w:rFonts w:ascii="Times New Roman" w:eastAsia="Times New Roman" w:hAnsi="Times New Roman" w:cs="Times New Roman"/>
          <w:b/>
          <w:bCs/>
          <w:color w:val="222222"/>
        </w:rPr>
        <w:t>Quadrate (dorsal process)</w:t>
      </w:r>
      <w:r w:rsidRPr="00A155FA">
        <w:rPr>
          <w:rFonts w:ascii="Times New Roman" w:eastAsia="Times New Roman" w:hAnsi="Times New Roman" w:cs="Times New Roman"/>
          <w:color w:val="222222"/>
        </w:rPr>
        <w:t>. Absent (0), or present (1).</w:t>
      </w:r>
    </w:p>
    <w:p w14:paraId="2D5CE737" w14:textId="77777777" w:rsidR="00A97E37" w:rsidRPr="00A155FA" w:rsidRDefault="00A97E37" w:rsidP="00D01A5E">
      <w:pPr>
        <w:ind w:left="540" w:hanging="540"/>
        <w:rPr>
          <w:color w:val="222222"/>
        </w:rPr>
      </w:pPr>
    </w:p>
    <w:p w14:paraId="601EF927" w14:textId="1FBED27D"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(71) </w:t>
      </w:r>
      <w:r w:rsidRPr="00A155FA">
        <w:rPr>
          <w:rFonts w:ascii="Times New Roman" w:eastAsia="Times New Roman" w:hAnsi="Times New Roman" w:cs="Times New Roman"/>
          <w:b/>
          <w:bCs/>
          <w:color w:val="222222"/>
        </w:rPr>
        <w:t>Posterior skull rim</w:t>
      </w:r>
      <w:r w:rsidRPr="00A155FA">
        <w:rPr>
          <w:rFonts w:ascii="Times New Roman" w:eastAsia="Times New Roman" w:hAnsi="Times New Roman" w:cs="Times New Roman"/>
          <w:color w:val="222222"/>
        </w:rPr>
        <w:t>. Quadrate trochlea posterior to the posteriormost extent of the tabular (0), or at one level or anterior (1).</w:t>
      </w:r>
    </w:p>
    <w:p w14:paraId="1F4934A5" w14:textId="77777777" w:rsidR="00A97E37" w:rsidRPr="00A155FA" w:rsidRDefault="00A97E37" w:rsidP="00D01A5E">
      <w:pPr>
        <w:ind w:left="540" w:hanging="540"/>
        <w:rPr>
          <w:color w:val="222222"/>
        </w:rPr>
      </w:pPr>
    </w:p>
    <w:p w14:paraId="567571DC"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(72) </w:t>
      </w:r>
      <w:r w:rsidRPr="00A155FA">
        <w:rPr>
          <w:rFonts w:ascii="Times New Roman" w:eastAsia="Times New Roman" w:hAnsi="Times New Roman" w:cs="Times New Roman"/>
          <w:b/>
          <w:bCs/>
          <w:color w:val="222222"/>
        </w:rPr>
        <w:t>Occipital flange</w:t>
      </w:r>
      <w:r w:rsidRPr="00A155FA">
        <w:rPr>
          <w:rFonts w:ascii="Times New Roman" w:eastAsia="Times New Roman" w:hAnsi="Times New Roman" w:cs="Times New Roman"/>
          <w:color w:val="222222"/>
        </w:rPr>
        <w:t>. Descending flange of occipital portion of postparietals forming a bulge (0), or long smooth blades as long as the dermal portion of the postparietal (1).</w:t>
      </w:r>
    </w:p>
    <w:p w14:paraId="729DEF8B" w14:textId="77777777" w:rsidR="00A97E37" w:rsidRPr="00A155FA" w:rsidRDefault="00A97E37" w:rsidP="00D01A5E">
      <w:pPr>
        <w:ind w:left="540" w:hanging="540"/>
        <w:rPr>
          <w:color w:val="222222"/>
        </w:rPr>
      </w:pPr>
    </w:p>
    <w:p w14:paraId="2FFB938B"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(73) </w:t>
      </w:r>
      <w:r w:rsidRPr="00A155FA">
        <w:rPr>
          <w:rFonts w:ascii="Times New Roman" w:eastAsia="Times New Roman" w:hAnsi="Times New Roman" w:cs="Times New Roman"/>
          <w:b/>
          <w:bCs/>
          <w:color w:val="222222"/>
        </w:rPr>
        <w:t>Postparietal-exoccipital</w:t>
      </w:r>
      <w:r w:rsidRPr="00A155FA">
        <w:rPr>
          <w:rFonts w:ascii="Times New Roman" w:eastAsia="Times New Roman" w:hAnsi="Times New Roman" w:cs="Times New Roman"/>
          <w:color w:val="222222"/>
        </w:rPr>
        <w:t>. No contact (0), or pillar-like dorsal process of exoccipital firmly sutured to ventral side of postparietal and oblique process of exoccipital sutured with ventral ramus of tabular (1).</w:t>
      </w:r>
    </w:p>
    <w:p w14:paraId="615812A3" w14:textId="77777777" w:rsidR="00A97E37" w:rsidRPr="00A155FA" w:rsidRDefault="00A97E37" w:rsidP="00D01A5E">
      <w:pPr>
        <w:ind w:left="540" w:hanging="540"/>
        <w:rPr>
          <w:color w:val="222222"/>
        </w:rPr>
      </w:pPr>
    </w:p>
    <w:p w14:paraId="0ACFDA93"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(74) </w:t>
      </w:r>
      <w:proofErr w:type="spellStart"/>
      <w:r w:rsidRPr="00A155FA">
        <w:rPr>
          <w:rFonts w:ascii="Times New Roman" w:eastAsia="Times New Roman" w:hAnsi="Times New Roman" w:cs="Times New Roman"/>
          <w:b/>
          <w:bCs/>
          <w:color w:val="222222"/>
        </w:rPr>
        <w:t>Postfenestral</w:t>
      </w:r>
      <w:proofErr w:type="spellEnd"/>
      <w:r w:rsidRPr="00A155FA">
        <w:rPr>
          <w:rFonts w:ascii="Times New Roman" w:eastAsia="Times New Roman" w:hAnsi="Times New Roman" w:cs="Times New Roman"/>
          <w:b/>
          <w:bCs/>
          <w:color w:val="222222"/>
        </w:rPr>
        <w:t xml:space="preserve"> window</w:t>
      </w:r>
      <w:r w:rsidRPr="00A155FA">
        <w:rPr>
          <w:rFonts w:ascii="Times New Roman" w:eastAsia="Times New Roman" w:hAnsi="Times New Roman" w:cs="Times New Roman"/>
          <w:color w:val="222222"/>
        </w:rPr>
        <w:t>. Large opening, having at least double the width of the foramen magnum (0), or reduced to a tiny foramen (1).</w:t>
      </w:r>
    </w:p>
    <w:p w14:paraId="6300E755" w14:textId="77777777" w:rsidR="00A97E37" w:rsidRPr="00A155FA" w:rsidRDefault="00A97E37" w:rsidP="00D01A5E">
      <w:pPr>
        <w:ind w:left="540" w:hanging="540"/>
        <w:rPr>
          <w:color w:val="222222"/>
        </w:rPr>
      </w:pPr>
    </w:p>
    <w:p w14:paraId="34B78EFB"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(75) </w:t>
      </w:r>
      <w:r w:rsidRPr="00A155FA">
        <w:rPr>
          <w:rFonts w:ascii="Times New Roman" w:eastAsia="Times New Roman" w:hAnsi="Times New Roman" w:cs="Times New Roman"/>
          <w:b/>
          <w:bCs/>
          <w:color w:val="222222"/>
        </w:rPr>
        <w:t>Quadrate and occipital condyles</w:t>
      </w:r>
      <w:r w:rsidRPr="00A155FA">
        <w:rPr>
          <w:rFonts w:ascii="Times New Roman" w:eastAsia="Times New Roman" w:hAnsi="Times New Roman" w:cs="Times New Roman"/>
          <w:color w:val="222222"/>
        </w:rPr>
        <w:t>. Quadrate condyles posterior to occipital ones (0), or at same level (1), or well anterior (2).</w:t>
      </w:r>
    </w:p>
    <w:p w14:paraId="00F50AA1" w14:textId="77777777" w:rsidR="00A97E37" w:rsidRPr="00A155FA" w:rsidRDefault="00A97E37" w:rsidP="00D01A5E">
      <w:pPr>
        <w:ind w:left="540" w:hanging="540"/>
        <w:rPr>
          <w:color w:val="222222"/>
        </w:rPr>
      </w:pPr>
    </w:p>
    <w:p w14:paraId="53A574FD"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(76) </w:t>
      </w:r>
      <w:r w:rsidRPr="00A155FA">
        <w:rPr>
          <w:rFonts w:ascii="Times New Roman" w:eastAsia="Times New Roman" w:hAnsi="Times New Roman" w:cs="Times New Roman"/>
          <w:b/>
          <w:bCs/>
          <w:color w:val="222222"/>
        </w:rPr>
        <w:t>Epipterygoid</w:t>
      </w:r>
      <w:r w:rsidRPr="00A155FA">
        <w:rPr>
          <w:rFonts w:ascii="Times New Roman" w:eastAsia="Times New Roman" w:hAnsi="Times New Roman" w:cs="Times New Roman"/>
          <w:color w:val="222222"/>
        </w:rPr>
        <w:t>. Simple rod-like ascending process (0), or complicated and robust element with up to six processes (1).</w:t>
      </w:r>
    </w:p>
    <w:p w14:paraId="0D85F817" w14:textId="77777777" w:rsidR="00A97E37" w:rsidRPr="00A155FA" w:rsidRDefault="00A97E37" w:rsidP="00D01A5E">
      <w:pPr>
        <w:ind w:left="540" w:hanging="540"/>
        <w:rPr>
          <w:color w:val="222222"/>
        </w:rPr>
      </w:pPr>
    </w:p>
    <w:p w14:paraId="678B31B1" w14:textId="77777777" w:rsidR="00A97E37" w:rsidRPr="00A155FA" w:rsidRDefault="00A97E37" w:rsidP="005229E5">
      <w:pPr>
        <w:pStyle w:val="ListParagraph"/>
        <w:numPr>
          <w:ilvl w:val="0"/>
          <w:numId w:val="11"/>
        </w:numPr>
        <w:ind w:left="540" w:hanging="540"/>
        <w:rPr>
          <w:rFonts w:ascii="Times New Roman" w:hAnsi="Times New Roman" w:cs="Times New Roman"/>
          <w:color w:val="222222"/>
        </w:rPr>
      </w:pPr>
      <w:r w:rsidRPr="00A155FA">
        <w:rPr>
          <w:rFonts w:ascii="Times New Roman" w:eastAsia="Times New Roman" w:hAnsi="Times New Roman" w:cs="Times New Roman"/>
          <w:color w:val="222222"/>
        </w:rPr>
        <w:t xml:space="preserve">(77) </w:t>
      </w:r>
      <w:r w:rsidRPr="00A155FA">
        <w:rPr>
          <w:rFonts w:ascii="Times New Roman" w:eastAsia="Times New Roman" w:hAnsi="Times New Roman" w:cs="Times New Roman"/>
          <w:b/>
          <w:bCs/>
          <w:color w:val="222222"/>
        </w:rPr>
        <w:t>Dentition (marginal)</w:t>
      </w:r>
      <w:r w:rsidRPr="00A155FA">
        <w:rPr>
          <w:rFonts w:ascii="Times New Roman" w:eastAsia="Times New Roman" w:hAnsi="Times New Roman" w:cs="Times New Roman"/>
          <w:color w:val="222222"/>
        </w:rPr>
        <w:t>. Heterogenous, varying sizes and distances (0), or homogeneous, small teeth, equidistant (1).</w:t>
      </w:r>
    </w:p>
    <w:p w14:paraId="61FE3B00" w14:textId="77777777" w:rsidR="00A97E37" w:rsidRPr="00A155FA" w:rsidRDefault="00A97E37" w:rsidP="00D01A5E">
      <w:pPr>
        <w:rPr>
          <w:color w:val="222222"/>
        </w:rPr>
      </w:pPr>
    </w:p>
    <w:p w14:paraId="712A57D2"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(79) </w:t>
      </w:r>
      <w:r w:rsidRPr="00A155FA">
        <w:rPr>
          <w:rFonts w:ascii="Times New Roman" w:eastAsia="Times New Roman" w:hAnsi="Times New Roman" w:cs="Times New Roman"/>
          <w:b/>
          <w:bCs/>
          <w:color w:val="222222"/>
        </w:rPr>
        <w:t>Dentition (marginal, tooth bases)</w:t>
      </w:r>
      <w:r w:rsidRPr="00A155FA">
        <w:rPr>
          <w:rFonts w:ascii="Times New Roman" w:eastAsia="Times New Roman" w:hAnsi="Times New Roman" w:cs="Times New Roman"/>
          <w:color w:val="222222"/>
        </w:rPr>
        <w:t>. Round or oval (0), or forming transversely broadened ovals (1).</w:t>
      </w:r>
    </w:p>
    <w:p w14:paraId="007817EB" w14:textId="77777777" w:rsidR="00A97E37" w:rsidRPr="00A155FA" w:rsidRDefault="00A97E37" w:rsidP="00D01A5E">
      <w:pPr>
        <w:ind w:left="540" w:hanging="540"/>
        <w:rPr>
          <w:color w:val="222222"/>
        </w:rPr>
      </w:pPr>
    </w:p>
    <w:p w14:paraId="1A3A32F8"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(80) </w:t>
      </w:r>
      <w:r w:rsidRPr="00A155FA">
        <w:rPr>
          <w:rFonts w:ascii="Times New Roman" w:eastAsia="Times New Roman" w:hAnsi="Times New Roman" w:cs="Times New Roman"/>
          <w:b/>
          <w:bCs/>
          <w:color w:val="222222"/>
        </w:rPr>
        <w:t>Palatal tusks (cross-section)</w:t>
      </w:r>
      <w:r w:rsidRPr="00A155FA">
        <w:rPr>
          <w:rFonts w:ascii="Times New Roman" w:eastAsia="Times New Roman" w:hAnsi="Times New Roman" w:cs="Times New Roman"/>
          <w:color w:val="222222"/>
        </w:rPr>
        <w:t>. Round or oval (0), or laterally compressed and keeled at least on one side (1).</w:t>
      </w:r>
    </w:p>
    <w:p w14:paraId="45C20818" w14:textId="77777777" w:rsidR="00A97E37" w:rsidRPr="00A155FA" w:rsidRDefault="00A97E37" w:rsidP="00D01A5E">
      <w:pPr>
        <w:ind w:left="540" w:hanging="540"/>
        <w:rPr>
          <w:color w:val="222222"/>
        </w:rPr>
      </w:pPr>
    </w:p>
    <w:p w14:paraId="605769ED" w14:textId="77777777" w:rsidR="00A97E37" w:rsidRPr="00A155FA" w:rsidRDefault="00A97E37" w:rsidP="00D01A5E">
      <w:pPr>
        <w:ind w:left="540" w:hanging="540"/>
        <w:rPr>
          <w:color w:val="222222"/>
        </w:rPr>
      </w:pPr>
    </w:p>
    <w:p w14:paraId="14879107"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(82) </w:t>
      </w:r>
      <w:proofErr w:type="spellStart"/>
      <w:r w:rsidRPr="00A155FA">
        <w:rPr>
          <w:rFonts w:ascii="Times New Roman" w:eastAsia="Times New Roman" w:hAnsi="Times New Roman" w:cs="Times New Roman"/>
          <w:b/>
          <w:bCs/>
          <w:color w:val="222222"/>
        </w:rPr>
        <w:t>Pedicely</w:t>
      </w:r>
      <w:proofErr w:type="spellEnd"/>
      <w:r w:rsidRPr="00A155FA">
        <w:rPr>
          <w:rFonts w:ascii="Times New Roman" w:eastAsia="Times New Roman" w:hAnsi="Times New Roman" w:cs="Times New Roman"/>
          <w:color w:val="222222"/>
        </w:rPr>
        <w:t xml:space="preserve">. All teeth formed consisting of a single mineralized conus (0), or at least some teeth with two separate mineralization </w:t>
      </w:r>
      <w:proofErr w:type="spellStart"/>
      <w:r w:rsidRPr="00A155FA">
        <w:rPr>
          <w:rFonts w:ascii="Times New Roman" w:eastAsia="Times New Roman" w:hAnsi="Times New Roman" w:cs="Times New Roman"/>
          <w:color w:val="222222"/>
        </w:rPr>
        <w:t>centres</w:t>
      </w:r>
      <w:proofErr w:type="spellEnd"/>
      <w:r w:rsidRPr="00A155FA">
        <w:rPr>
          <w:rFonts w:ascii="Times New Roman" w:eastAsia="Times New Roman" w:hAnsi="Times New Roman" w:cs="Times New Roman"/>
          <w:color w:val="222222"/>
        </w:rPr>
        <w:t xml:space="preserve"> (pedicellate) (1).</w:t>
      </w:r>
    </w:p>
    <w:p w14:paraId="2FD36A8C" w14:textId="77777777" w:rsidR="00A97E37" w:rsidRPr="00A155FA" w:rsidRDefault="00A97E37" w:rsidP="00D01A5E">
      <w:pPr>
        <w:ind w:left="540" w:hanging="540"/>
        <w:rPr>
          <w:color w:val="222222"/>
        </w:rPr>
      </w:pPr>
    </w:p>
    <w:p w14:paraId="5CAB4EC1"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(83) </w:t>
      </w:r>
      <w:proofErr w:type="spellStart"/>
      <w:r w:rsidRPr="00A155FA">
        <w:rPr>
          <w:rFonts w:ascii="Times New Roman" w:eastAsia="Times New Roman" w:hAnsi="Times New Roman" w:cs="Times New Roman"/>
          <w:b/>
          <w:bCs/>
          <w:color w:val="222222"/>
        </w:rPr>
        <w:t>Bicuspidity</w:t>
      </w:r>
      <w:proofErr w:type="spellEnd"/>
      <w:r w:rsidRPr="00A155FA">
        <w:rPr>
          <w:rFonts w:ascii="Times New Roman" w:eastAsia="Times New Roman" w:hAnsi="Times New Roman" w:cs="Times New Roman"/>
          <w:color w:val="222222"/>
        </w:rPr>
        <w:t>. All teeth with single tip (0), or at least some with bicuspid crowns (1).</w:t>
      </w:r>
    </w:p>
    <w:p w14:paraId="32F93069" w14:textId="77777777" w:rsidR="00A97E37" w:rsidRPr="00A155FA" w:rsidRDefault="00A97E37" w:rsidP="00D01A5E">
      <w:pPr>
        <w:ind w:left="540" w:hanging="540"/>
        <w:rPr>
          <w:color w:val="222222"/>
        </w:rPr>
      </w:pPr>
    </w:p>
    <w:p w14:paraId="1CC2EE02"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(84) </w:t>
      </w:r>
      <w:proofErr w:type="spellStart"/>
      <w:r w:rsidRPr="00A155FA">
        <w:rPr>
          <w:rFonts w:ascii="Times New Roman" w:eastAsia="Times New Roman" w:hAnsi="Times New Roman" w:cs="Times New Roman"/>
          <w:b/>
          <w:bCs/>
          <w:color w:val="222222"/>
        </w:rPr>
        <w:t>Labyrinthodonty</w:t>
      </w:r>
      <w:proofErr w:type="spellEnd"/>
      <w:r w:rsidRPr="00A155FA">
        <w:rPr>
          <w:rFonts w:ascii="Times New Roman" w:eastAsia="Times New Roman" w:hAnsi="Times New Roman" w:cs="Times New Roman"/>
          <w:color w:val="222222"/>
        </w:rPr>
        <w:t xml:space="preserve">. Teeth with labyrinth </w:t>
      </w:r>
      <w:proofErr w:type="spellStart"/>
      <w:r w:rsidRPr="00A155FA">
        <w:rPr>
          <w:rFonts w:ascii="Times New Roman" w:eastAsia="Times New Roman" w:hAnsi="Times New Roman" w:cs="Times New Roman"/>
          <w:color w:val="222222"/>
        </w:rPr>
        <w:t>infolding</w:t>
      </w:r>
      <w:proofErr w:type="spellEnd"/>
      <w:r w:rsidRPr="00A155FA">
        <w:rPr>
          <w:rFonts w:ascii="Times New Roman" w:eastAsia="Times New Roman" w:hAnsi="Times New Roman" w:cs="Times New Roman"/>
          <w:color w:val="222222"/>
        </w:rPr>
        <w:t xml:space="preserve"> of dentine and enamel at base (0), or</w:t>
      </w:r>
    </w:p>
    <w:p w14:paraId="7D318F99"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never labyrinthodont (1).</w:t>
      </w:r>
    </w:p>
    <w:p w14:paraId="715EEEB8" w14:textId="77777777" w:rsidR="00A97E37" w:rsidRPr="00A155FA" w:rsidRDefault="00A97E37" w:rsidP="00D01A5E">
      <w:pPr>
        <w:ind w:left="540" w:hanging="540"/>
        <w:rPr>
          <w:color w:val="222222"/>
        </w:rPr>
      </w:pPr>
    </w:p>
    <w:p w14:paraId="61F8F8B6"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(85) </w:t>
      </w:r>
      <w:r w:rsidRPr="00A155FA">
        <w:rPr>
          <w:rFonts w:ascii="Times New Roman" w:eastAsia="Times New Roman" w:hAnsi="Times New Roman" w:cs="Times New Roman"/>
          <w:b/>
          <w:bCs/>
          <w:color w:val="222222"/>
        </w:rPr>
        <w:t>Transverse tooth row (transvomerine)</w:t>
      </w:r>
      <w:r w:rsidRPr="00A155FA">
        <w:rPr>
          <w:rFonts w:ascii="Times New Roman" w:eastAsia="Times New Roman" w:hAnsi="Times New Roman" w:cs="Times New Roman"/>
          <w:color w:val="222222"/>
        </w:rPr>
        <w:t>. Absent (0), present and transverse (1), V-shaped (2).</w:t>
      </w:r>
    </w:p>
    <w:p w14:paraId="276A3F4D" w14:textId="77777777" w:rsidR="00A97E37" w:rsidRPr="00A155FA" w:rsidRDefault="00A97E37" w:rsidP="00D01A5E">
      <w:pPr>
        <w:ind w:left="540" w:hanging="540"/>
        <w:rPr>
          <w:color w:val="222222"/>
        </w:rPr>
      </w:pPr>
    </w:p>
    <w:p w14:paraId="320B3701"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(86) </w:t>
      </w:r>
      <w:r w:rsidRPr="00A155FA">
        <w:rPr>
          <w:rFonts w:ascii="Times New Roman" w:eastAsia="Times New Roman" w:hAnsi="Times New Roman" w:cs="Times New Roman"/>
          <w:b/>
          <w:bCs/>
          <w:color w:val="222222"/>
        </w:rPr>
        <w:t>Additional vomerine fangs</w:t>
      </w:r>
      <w:r w:rsidRPr="00A155FA">
        <w:rPr>
          <w:rFonts w:ascii="Times New Roman" w:eastAsia="Times New Roman" w:hAnsi="Times New Roman" w:cs="Times New Roman"/>
          <w:color w:val="222222"/>
        </w:rPr>
        <w:t xml:space="preserve">. Vomer with a single pair of fangs at the medial margin of </w:t>
      </w:r>
      <w:r w:rsidRPr="00A155FA">
        <w:rPr>
          <w:rFonts w:ascii="Times New Roman" w:hAnsi="Times New Roman" w:cs="Times New Roman"/>
          <w:color w:val="222222"/>
        </w:rPr>
        <w:t>choana (0), or with additional fangs/fang pairs posteromedially (1).</w:t>
      </w:r>
    </w:p>
    <w:p w14:paraId="7349E685" w14:textId="77777777" w:rsidR="00A97E37" w:rsidRPr="00A155FA" w:rsidRDefault="00A97E37" w:rsidP="00D01A5E">
      <w:pPr>
        <w:ind w:left="540" w:hanging="540"/>
        <w:rPr>
          <w:color w:val="222222"/>
        </w:rPr>
      </w:pPr>
    </w:p>
    <w:p w14:paraId="751D6F41"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(87) </w:t>
      </w:r>
      <w:r w:rsidRPr="00A155FA">
        <w:rPr>
          <w:rFonts w:ascii="Times New Roman" w:eastAsia="Times New Roman" w:hAnsi="Times New Roman" w:cs="Times New Roman"/>
          <w:b/>
          <w:bCs/>
          <w:color w:val="222222"/>
        </w:rPr>
        <w:t>Parasphenoid (shagreen)</w:t>
      </w:r>
      <w:r w:rsidRPr="00A155FA">
        <w:rPr>
          <w:rFonts w:ascii="Times New Roman" w:eastAsia="Times New Roman" w:hAnsi="Times New Roman" w:cs="Times New Roman"/>
          <w:color w:val="222222"/>
        </w:rPr>
        <w:t>. Denticle patches restricted to basal plate (0), denticles entirely absent (1); denticles expanded onto cultriform process to at least the mid-length of the process (2).</w:t>
      </w:r>
    </w:p>
    <w:p w14:paraId="05420308" w14:textId="77777777" w:rsidR="00A97E37" w:rsidRPr="00A155FA" w:rsidRDefault="00A97E37" w:rsidP="00D01A5E">
      <w:pPr>
        <w:ind w:left="540" w:hanging="540"/>
        <w:rPr>
          <w:color w:val="222222"/>
        </w:rPr>
      </w:pPr>
    </w:p>
    <w:p w14:paraId="507B0B78"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(88) </w:t>
      </w:r>
      <w:r w:rsidRPr="00A155FA">
        <w:rPr>
          <w:rFonts w:ascii="Times New Roman" w:eastAsia="Times New Roman" w:hAnsi="Times New Roman" w:cs="Times New Roman"/>
          <w:b/>
          <w:bCs/>
          <w:color w:val="222222"/>
        </w:rPr>
        <w:t>Ectopterygoid (fangs)</w:t>
      </w:r>
      <w:r w:rsidRPr="00A155FA">
        <w:rPr>
          <w:rFonts w:ascii="Times New Roman" w:eastAsia="Times New Roman" w:hAnsi="Times New Roman" w:cs="Times New Roman"/>
          <w:color w:val="222222"/>
        </w:rPr>
        <w:t>. Present (0), or absent (1).</w:t>
      </w:r>
    </w:p>
    <w:p w14:paraId="1B73D1F6" w14:textId="77777777" w:rsidR="00A97E37" w:rsidRPr="00A155FA" w:rsidRDefault="00A97E37" w:rsidP="00D01A5E">
      <w:pPr>
        <w:ind w:left="540" w:hanging="540"/>
        <w:rPr>
          <w:color w:val="222222"/>
        </w:rPr>
      </w:pPr>
    </w:p>
    <w:p w14:paraId="454A9C44"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(89) </w:t>
      </w:r>
      <w:r w:rsidRPr="00A155FA">
        <w:rPr>
          <w:rFonts w:ascii="Times New Roman" w:eastAsia="Times New Roman" w:hAnsi="Times New Roman" w:cs="Times New Roman"/>
          <w:b/>
          <w:bCs/>
          <w:color w:val="222222"/>
        </w:rPr>
        <w:t>Interpterygoid vacuities</w:t>
      </w:r>
      <w:r w:rsidRPr="00A155FA">
        <w:rPr>
          <w:rFonts w:ascii="Times New Roman" w:eastAsia="Times New Roman" w:hAnsi="Times New Roman" w:cs="Times New Roman"/>
          <w:color w:val="222222"/>
        </w:rPr>
        <w:t>. Slender and slit-like (0), or rounded, oval openings (1).</w:t>
      </w:r>
    </w:p>
    <w:p w14:paraId="5A59A4A2" w14:textId="77777777" w:rsidR="00A97E37" w:rsidRPr="00A155FA" w:rsidRDefault="00A97E37" w:rsidP="00D01A5E">
      <w:pPr>
        <w:ind w:left="540" w:hanging="540"/>
        <w:rPr>
          <w:color w:val="222222"/>
        </w:rPr>
      </w:pPr>
    </w:p>
    <w:p w14:paraId="3C0DC314"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(90) </w:t>
      </w:r>
      <w:r w:rsidRPr="00A155FA">
        <w:rPr>
          <w:rFonts w:ascii="Times New Roman" w:eastAsia="Times New Roman" w:hAnsi="Times New Roman" w:cs="Times New Roman"/>
          <w:b/>
          <w:bCs/>
          <w:color w:val="222222"/>
        </w:rPr>
        <w:t>Interpterygoid vacuities, pterygoid</w:t>
      </w:r>
      <w:r w:rsidRPr="00A155FA">
        <w:rPr>
          <w:rFonts w:ascii="Times New Roman" w:eastAsia="Times New Roman" w:hAnsi="Times New Roman" w:cs="Times New Roman"/>
          <w:color w:val="222222"/>
        </w:rPr>
        <w:t>. Vacuities rounded bordered by moderately concave pterygoid (0), or laterally greatly extended at mid-level pushing pterygoid to the margin (1).</w:t>
      </w:r>
    </w:p>
    <w:p w14:paraId="7701A324" w14:textId="77777777" w:rsidR="00A97E37" w:rsidRPr="00A155FA" w:rsidRDefault="00A97E37" w:rsidP="00D01A5E">
      <w:pPr>
        <w:ind w:left="540" w:hanging="540"/>
        <w:rPr>
          <w:color w:val="222222"/>
        </w:rPr>
      </w:pPr>
    </w:p>
    <w:p w14:paraId="14DC83DB"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(91) </w:t>
      </w:r>
      <w:r w:rsidRPr="00A155FA">
        <w:rPr>
          <w:rFonts w:ascii="Times New Roman" w:eastAsia="Times New Roman" w:hAnsi="Times New Roman" w:cs="Times New Roman"/>
          <w:b/>
          <w:bCs/>
          <w:color w:val="222222"/>
        </w:rPr>
        <w:t>Anterior palatal opening(s)</w:t>
      </w:r>
      <w:r w:rsidRPr="00A155FA">
        <w:rPr>
          <w:rFonts w:ascii="Times New Roman" w:eastAsia="Times New Roman" w:hAnsi="Times New Roman" w:cs="Times New Roman"/>
          <w:color w:val="222222"/>
        </w:rPr>
        <w:t>. Vomer and premaxilla with continuous suture (0), or</w:t>
      </w:r>
    </w:p>
    <w:p w14:paraId="6ABB3210"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perforated to accommodate symphyseal fangs (1).</w:t>
      </w:r>
    </w:p>
    <w:p w14:paraId="2A7C70EC" w14:textId="77777777" w:rsidR="00A97E37" w:rsidRPr="00A155FA" w:rsidRDefault="00A97E37" w:rsidP="00D01A5E">
      <w:pPr>
        <w:ind w:left="540" w:hanging="540"/>
        <w:rPr>
          <w:color w:val="222222"/>
        </w:rPr>
      </w:pPr>
    </w:p>
    <w:p w14:paraId="0304D0CD"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(92) </w:t>
      </w:r>
      <w:r w:rsidRPr="00A155FA">
        <w:rPr>
          <w:rFonts w:ascii="Times New Roman" w:eastAsia="Times New Roman" w:hAnsi="Times New Roman" w:cs="Times New Roman"/>
          <w:b/>
          <w:bCs/>
          <w:color w:val="222222"/>
        </w:rPr>
        <w:t>Anterior palatal opening(s)</w:t>
      </w:r>
      <w:r w:rsidRPr="00A155FA">
        <w:rPr>
          <w:rFonts w:ascii="Times New Roman" w:eastAsia="Times New Roman" w:hAnsi="Times New Roman" w:cs="Times New Roman"/>
          <w:color w:val="222222"/>
        </w:rPr>
        <w:t>. Unpaired if present (0), or paired (1).</w:t>
      </w:r>
    </w:p>
    <w:p w14:paraId="6ACAEB63" w14:textId="77777777" w:rsidR="00A97E37" w:rsidRPr="00A155FA" w:rsidRDefault="00A97E37" w:rsidP="00D01A5E">
      <w:pPr>
        <w:ind w:left="540" w:hanging="540"/>
        <w:rPr>
          <w:color w:val="222222"/>
        </w:rPr>
      </w:pPr>
    </w:p>
    <w:p w14:paraId="05B52789"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(93) </w:t>
      </w:r>
      <w:r w:rsidRPr="00A155FA">
        <w:rPr>
          <w:rFonts w:ascii="Times New Roman" w:eastAsia="Times New Roman" w:hAnsi="Times New Roman" w:cs="Times New Roman"/>
          <w:b/>
          <w:bCs/>
          <w:color w:val="222222"/>
        </w:rPr>
        <w:t>Vomer</w:t>
      </w:r>
      <w:r w:rsidRPr="00A155FA">
        <w:rPr>
          <w:rFonts w:ascii="Times New Roman" w:eastAsia="Times New Roman" w:hAnsi="Times New Roman" w:cs="Times New Roman"/>
          <w:color w:val="222222"/>
        </w:rPr>
        <w:t>. Narrow and small (0), or large plate, widely separating choanae (1).</w:t>
      </w:r>
    </w:p>
    <w:p w14:paraId="11BA72D6" w14:textId="77777777" w:rsidR="00A97E37" w:rsidRPr="00A155FA" w:rsidRDefault="00A97E37" w:rsidP="00D01A5E">
      <w:pPr>
        <w:ind w:left="540" w:hanging="540"/>
        <w:rPr>
          <w:color w:val="222222"/>
        </w:rPr>
      </w:pPr>
    </w:p>
    <w:p w14:paraId="38D43AD5"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(94) </w:t>
      </w:r>
      <w:r w:rsidRPr="00A155FA">
        <w:rPr>
          <w:rFonts w:ascii="Times New Roman" w:eastAsia="Times New Roman" w:hAnsi="Times New Roman" w:cs="Times New Roman"/>
          <w:b/>
          <w:bCs/>
          <w:color w:val="222222"/>
        </w:rPr>
        <w:t>Vomer (paired anterior depressions)</w:t>
      </w:r>
      <w:r w:rsidRPr="00A155FA">
        <w:rPr>
          <w:rFonts w:ascii="Times New Roman" w:eastAsia="Times New Roman" w:hAnsi="Times New Roman" w:cs="Times New Roman"/>
          <w:color w:val="222222"/>
        </w:rPr>
        <w:t>. Absent (0), or present (1).</w:t>
      </w:r>
    </w:p>
    <w:p w14:paraId="40E1D4F8" w14:textId="77777777" w:rsidR="00A97E37" w:rsidRPr="00A155FA" w:rsidRDefault="00A97E37" w:rsidP="00D01A5E">
      <w:pPr>
        <w:ind w:left="540" w:hanging="540"/>
        <w:rPr>
          <w:color w:val="222222"/>
        </w:rPr>
      </w:pPr>
    </w:p>
    <w:p w14:paraId="32B414E6"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(95) </w:t>
      </w:r>
      <w:r w:rsidRPr="00A155FA">
        <w:rPr>
          <w:rFonts w:ascii="Times New Roman" w:eastAsia="Times New Roman" w:hAnsi="Times New Roman" w:cs="Times New Roman"/>
          <w:b/>
          <w:bCs/>
          <w:color w:val="222222"/>
        </w:rPr>
        <w:t>Anterior palatal depression</w:t>
      </w:r>
      <w:r w:rsidRPr="00A155FA">
        <w:rPr>
          <w:rFonts w:ascii="Times New Roman" w:eastAsia="Times New Roman" w:hAnsi="Times New Roman" w:cs="Times New Roman"/>
          <w:color w:val="222222"/>
        </w:rPr>
        <w:t>. Posterior rim round if present (0), or straight transverse (1).</w:t>
      </w:r>
    </w:p>
    <w:p w14:paraId="4192771F" w14:textId="77777777" w:rsidR="00A97E37" w:rsidRPr="00A155FA" w:rsidRDefault="00A97E37" w:rsidP="00D01A5E">
      <w:pPr>
        <w:ind w:left="540" w:hanging="540"/>
        <w:rPr>
          <w:color w:val="222222"/>
        </w:rPr>
      </w:pPr>
    </w:p>
    <w:p w14:paraId="2AF0C99D"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(96) </w:t>
      </w:r>
      <w:r w:rsidRPr="00A155FA">
        <w:rPr>
          <w:rFonts w:ascii="Times New Roman" w:eastAsia="Times New Roman" w:hAnsi="Times New Roman" w:cs="Times New Roman"/>
          <w:b/>
          <w:bCs/>
          <w:color w:val="222222"/>
        </w:rPr>
        <w:t>Vomerine ridges</w:t>
      </w:r>
      <w:r w:rsidRPr="00A155FA">
        <w:rPr>
          <w:rFonts w:ascii="Times New Roman" w:eastAsia="Times New Roman" w:hAnsi="Times New Roman" w:cs="Times New Roman"/>
          <w:color w:val="222222"/>
        </w:rPr>
        <w:t>. Absent (0), or present, radiating from vomerine tusks anteriorly (1).</w:t>
      </w:r>
    </w:p>
    <w:p w14:paraId="72734E58" w14:textId="77777777" w:rsidR="00A97E37" w:rsidRPr="00A155FA" w:rsidRDefault="00A97E37" w:rsidP="00D01A5E">
      <w:pPr>
        <w:ind w:left="540" w:hanging="540"/>
        <w:rPr>
          <w:color w:val="222222"/>
        </w:rPr>
      </w:pPr>
    </w:p>
    <w:p w14:paraId="4C917CA8"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(97) </w:t>
      </w:r>
      <w:r w:rsidRPr="00A155FA">
        <w:rPr>
          <w:rFonts w:ascii="Times New Roman" w:eastAsia="Times New Roman" w:hAnsi="Times New Roman" w:cs="Times New Roman"/>
          <w:b/>
          <w:bCs/>
          <w:color w:val="222222"/>
        </w:rPr>
        <w:t>Vomerine pit and fontanelle</w:t>
      </w:r>
      <w:r w:rsidRPr="00A155FA">
        <w:rPr>
          <w:rFonts w:ascii="Times New Roman" w:eastAsia="Times New Roman" w:hAnsi="Times New Roman" w:cs="Times New Roman"/>
          <w:color w:val="222222"/>
        </w:rPr>
        <w:t>. Absent (0), or pit present (posterior to mandible) (1), or</w:t>
      </w:r>
    </w:p>
    <w:p w14:paraId="04680816"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fenestra within such pit (2).</w:t>
      </w:r>
    </w:p>
    <w:p w14:paraId="260AD94F" w14:textId="77777777" w:rsidR="00A97E37" w:rsidRPr="00A155FA" w:rsidRDefault="00A97E37" w:rsidP="00D01A5E">
      <w:pPr>
        <w:ind w:left="540" w:hanging="540"/>
        <w:rPr>
          <w:color w:val="222222"/>
        </w:rPr>
      </w:pPr>
    </w:p>
    <w:p w14:paraId="093F70B6"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(98) </w:t>
      </w:r>
      <w:r w:rsidRPr="00A155FA">
        <w:rPr>
          <w:rFonts w:ascii="Times New Roman" w:eastAsia="Times New Roman" w:hAnsi="Times New Roman" w:cs="Times New Roman"/>
          <w:b/>
          <w:bCs/>
          <w:color w:val="222222"/>
        </w:rPr>
        <w:t>Vomerine septum</w:t>
      </w:r>
      <w:r w:rsidRPr="00A155FA">
        <w:rPr>
          <w:rFonts w:ascii="Times New Roman" w:eastAsia="Times New Roman" w:hAnsi="Times New Roman" w:cs="Times New Roman"/>
          <w:color w:val="222222"/>
        </w:rPr>
        <w:t>. Absent (0), or present (1).</w:t>
      </w:r>
    </w:p>
    <w:p w14:paraId="61D3B4C1" w14:textId="77777777" w:rsidR="00A97E37" w:rsidRPr="00A155FA" w:rsidRDefault="00A97E37" w:rsidP="00D01A5E">
      <w:pPr>
        <w:ind w:left="540" w:hanging="540"/>
        <w:rPr>
          <w:color w:val="222222"/>
        </w:rPr>
      </w:pPr>
    </w:p>
    <w:p w14:paraId="11CA4AA0"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(99) </w:t>
      </w:r>
      <w:r w:rsidRPr="00A155FA">
        <w:rPr>
          <w:rFonts w:ascii="Times New Roman" w:eastAsia="Times New Roman" w:hAnsi="Times New Roman" w:cs="Times New Roman"/>
          <w:b/>
          <w:bCs/>
          <w:color w:val="222222"/>
        </w:rPr>
        <w:t>Choana (lateral)</w:t>
      </w:r>
      <w:r w:rsidRPr="00A155FA">
        <w:rPr>
          <w:rFonts w:ascii="Times New Roman" w:eastAsia="Times New Roman" w:hAnsi="Times New Roman" w:cs="Times New Roman"/>
          <w:color w:val="222222"/>
        </w:rPr>
        <w:t>. Anterolaterally expanded with triangular outline (0), or oval (1).</w:t>
      </w:r>
    </w:p>
    <w:p w14:paraId="189D8EEE" w14:textId="77777777" w:rsidR="00A97E37" w:rsidRPr="00A155FA" w:rsidRDefault="00A97E37" w:rsidP="00D01A5E">
      <w:pPr>
        <w:ind w:left="540" w:hanging="540"/>
        <w:rPr>
          <w:color w:val="222222"/>
        </w:rPr>
      </w:pPr>
    </w:p>
    <w:p w14:paraId="6F80F9C7"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(100) </w:t>
      </w:r>
      <w:r w:rsidRPr="00A155FA">
        <w:rPr>
          <w:rFonts w:ascii="Times New Roman" w:eastAsia="Times New Roman" w:hAnsi="Times New Roman" w:cs="Times New Roman"/>
          <w:b/>
          <w:bCs/>
          <w:color w:val="222222"/>
        </w:rPr>
        <w:t>Choana (medial)</w:t>
      </w:r>
      <w:r w:rsidRPr="00A155FA">
        <w:rPr>
          <w:rFonts w:ascii="Times New Roman" w:eastAsia="Times New Roman" w:hAnsi="Times New Roman" w:cs="Times New Roman"/>
          <w:color w:val="222222"/>
        </w:rPr>
        <w:t>. Medial margin straight or gently convex (0), or anteromedially</w:t>
      </w:r>
    </w:p>
    <w:p w14:paraId="41FB45C6"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expanded giving choana a reniform outline (1).</w:t>
      </w:r>
    </w:p>
    <w:p w14:paraId="5FB087C8" w14:textId="77777777" w:rsidR="00A97E37" w:rsidRPr="00A155FA" w:rsidRDefault="00A97E37" w:rsidP="00D01A5E">
      <w:pPr>
        <w:ind w:left="540" w:hanging="540"/>
        <w:rPr>
          <w:color w:val="222222"/>
        </w:rPr>
      </w:pPr>
    </w:p>
    <w:p w14:paraId="1255EF1B"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(101) </w:t>
      </w:r>
      <w:r w:rsidRPr="00A155FA">
        <w:rPr>
          <w:rFonts w:ascii="Times New Roman" w:eastAsia="Times New Roman" w:hAnsi="Times New Roman" w:cs="Times New Roman"/>
          <w:b/>
          <w:bCs/>
          <w:color w:val="222222"/>
        </w:rPr>
        <w:t>Choana (width)</w:t>
      </w:r>
      <w:r w:rsidRPr="00A155FA">
        <w:rPr>
          <w:rFonts w:ascii="Times New Roman" w:eastAsia="Times New Roman" w:hAnsi="Times New Roman" w:cs="Times New Roman"/>
          <w:color w:val="222222"/>
        </w:rPr>
        <w:t>. Elongated oval to slit-like (0), or wide round (1).</w:t>
      </w:r>
    </w:p>
    <w:p w14:paraId="05C2A46C" w14:textId="77777777" w:rsidR="00A97E37" w:rsidRPr="00A155FA" w:rsidRDefault="00A97E37" w:rsidP="00D01A5E">
      <w:pPr>
        <w:ind w:left="540" w:hanging="540"/>
        <w:rPr>
          <w:color w:val="222222"/>
        </w:rPr>
      </w:pPr>
    </w:p>
    <w:p w14:paraId="172A6CE6"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(102) </w:t>
      </w:r>
      <w:r w:rsidRPr="00A155FA">
        <w:rPr>
          <w:rFonts w:ascii="Times New Roman" w:eastAsia="Times New Roman" w:hAnsi="Times New Roman" w:cs="Times New Roman"/>
          <w:b/>
          <w:bCs/>
          <w:color w:val="222222"/>
        </w:rPr>
        <w:t>Vomer-pterygoid</w:t>
      </w:r>
      <w:r w:rsidRPr="00A155FA">
        <w:rPr>
          <w:rFonts w:ascii="Times New Roman" w:eastAsia="Times New Roman" w:hAnsi="Times New Roman" w:cs="Times New Roman"/>
          <w:color w:val="222222"/>
        </w:rPr>
        <w:t>. Sutured (0), or separated by palatine (1).</w:t>
      </w:r>
    </w:p>
    <w:p w14:paraId="51A066BB" w14:textId="77777777" w:rsidR="00A97E37" w:rsidRPr="00A155FA" w:rsidRDefault="00A97E37" w:rsidP="00D01A5E">
      <w:pPr>
        <w:ind w:left="540" w:hanging="540"/>
        <w:rPr>
          <w:color w:val="222222"/>
        </w:rPr>
      </w:pPr>
    </w:p>
    <w:p w14:paraId="1191F019"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(103) </w:t>
      </w:r>
      <w:r w:rsidRPr="00A155FA">
        <w:rPr>
          <w:rFonts w:ascii="Times New Roman" w:eastAsia="Times New Roman" w:hAnsi="Times New Roman" w:cs="Times New Roman"/>
          <w:b/>
          <w:bCs/>
          <w:color w:val="222222"/>
        </w:rPr>
        <w:t>Vomer (anterior part)</w:t>
      </w:r>
      <w:r w:rsidRPr="00A155FA">
        <w:rPr>
          <w:rFonts w:ascii="Times New Roman" w:eastAsia="Times New Roman" w:hAnsi="Times New Roman" w:cs="Times New Roman"/>
          <w:color w:val="222222"/>
        </w:rPr>
        <w:t>. Anterior portion shorter than behind anterior level of choana (0), or as long or longer (1).</w:t>
      </w:r>
    </w:p>
    <w:p w14:paraId="26B4B298" w14:textId="77777777" w:rsidR="00A97E37" w:rsidRPr="00A155FA" w:rsidRDefault="00A97E37" w:rsidP="00D01A5E">
      <w:pPr>
        <w:ind w:left="540" w:hanging="540"/>
        <w:rPr>
          <w:color w:val="222222"/>
        </w:rPr>
      </w:pPr>
    </w:p>
    <w:p w14:paraId="7D343DF1"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(104) </w:t>
      </w:r>
      <w:r w:rsidRPr="00A155FA">
        <w:rPr>
          <w:rFonts w:ascii="Times New Roman" w:eastAsia="Times New Roman" w:hAnsi="Times New Roman" w:cs="Times New Roman"/>
          <w:b/>
          <w:bCs/>
          <w:color w:val="222222"/>
        </w:rPr>
        <w:t>Vomer (extension)</w:t>
      </w:r>
      <w:r w:rsidRPr="00A155FA">
        <w:rPr>
          <w:rFonts w:ascii="Times New Roman" w:eastAsia="Times New Roman" w:hAnsi="Times New Roman" w:cs="Times New Roman"/>
          <w:color w:val="222222"/>
        </w:rPr>
        <w:t>. Vomer contacts pterygoid medial to choana (0), or expanding</w:t>
      </w:r>
    </w:p>
    <w:p w14:paraId="583946C0"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posteriorly (1).</w:t>
      </w:r>
    </w:p>
    <w:p w14:paraId="285C2BDD" w14:textId="77777777" w:rsidR="00A97E37" w:rsidRPr="00A155FA" w:rsidRDefault="00A97E37" w:rsidP="00D01A5E">
      <w:pPr>
        <w:ind w:left="540" w:hanging="540"/>
        <w:rPr>
          <w:color w:val="222222"/>
        </w:rPr>
      </w:pPr>
    </w:p>
    <w:p w14:paraId="730B7747"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(105) </w:t>
      </w:r>
      <w:r w:rsidRPr="00A155FA">
        <w:rPr>
          <w:rFonts w:ascii="Times New Roman" w:eastAsia="Times New Roman" w:hAnsi="Times New Roman" w:cs="Times New Roman"/>
          <w:b/>
          <w:bCs/>
          <w:color w:val="222222"/>
        </w:rPr>
        <w:t>Basipterygoid ramus</w:t>
      </w:r>
      <w:r w:rsidRPr="00A155FA">
        <w:rPr>
          <w:rFonts w:ascii="Times New Roman" w:eastAsia="Times New Roman" w:hAnsi="Times New Roman" w:cs="Times New Roman"/>
          <w:color w:val="222222"/>
        </w:rPr>
        <w:t>. Pterygoid with short, posteromedially curved basipterygoid</w:t>
      </w:r>
    </w:p>
    <w:p w14:paraId="19EBCF43"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process, constricting palatal vacuities posterolaterally (0), or with transversely extended</w:t>
      </w:r>
    </w:p>
    <w:p w14:paraId="067B098C"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process producing posteriorly wider vacuities (1).</w:t>
      </w:r>
    </w:p>
    <w:p w14:paraId="3929E8EC" w14:textId="77777777" w:rsidR="00A97E37" w:rsidRPr="00A155FA" w:rsidRDefault="00A97E37" w:rsidP="00D01A5E">
      <w:pPr>
        <w:ind w:left="540" w:hanging="540"/>
        <w:rPr>
          <w:color w:val="222222"/>
        </w:rPr>
      </w:pPr>
    </w:p>
    <w:p w14:paraId="17D96DE5"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(106) </w:t>
      </w:r>
      <w:r w:rsidRPr="00A155FA">
        <w:rPr>
          <w:rFonts w:ascii="Times New Roman" w:eastAsia="Times New Roman" w:hAnsi="Times New Roman" w:cs="Times New Roman"/>
          <w:b/>
          <w:bCs/>
          <w:color w:val="222222"/>
        </w:rPr>
        <w:t>Basicranium (contact)</w:t>
      </w:r>
      <w:r w:rsidRPr="00A155FA">
        <w:rPr>
          <w:rFonts w:ascii="Times New Roman" w:eastAsia="Times New Roman" w:hAnsi="Times New Roman" w:cs="Times New Roman"/>
          <w:color w:val="222222"/>
        </w:rPr>
        <w:t>. Joint between basal plate and pterygoid (0), or sutural contact (1).</w:t>
      </w:r>
    </w:p>
    <w:p w14:paraId="0B599A99" w14:textId="77777777" w:rsidR="00A97E37" w:rsidRPr="00A155FA" w:rsidRDefault="00A97E37" w:rsidP="00D01A5E">
      <w:pPr>
        <w:ind w:left="540" w:hanging="540"/>
        <w:rPr>
          <w:color w:val="222222"/>
        </w:rPr>
      </w:pPr>
    </w:p>
    <w:p w14:paraId="078CA019"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(107) </w:t>
      </w:r>
      <w:r w:rsidRPr="00A155FA">
        <w:rPr>
          <w:rFonts w:ascii="Times New Roman" w:eastAsia="Times New Roman" w:hAnsi="Times New Roman" w:cs="Times New Roman"/>
          <w:b/>
          <w:bCs/>
          <w:color w:val="222222"/>
        </w:rPr>
        <w:t>Basicranium, suture</w:t>
      </w:r>
      <w:r w:rsidRPr="00A155FA">
        <w:rPr>
          <w:rFonts w:ascii="Times New Roman" w:eastAsia="Times New Roman" w:hAnsi="Times New Roman" w:cs="Times New Roman"/>
          <w:color w:val="222222"/>
        </w:rPr>
        <w:t>. Suture (if present) much shorter than basal plate, reaching at best 40% its length (0), or suture almost as long as basal plate (1).</w:t>
      </w:r>
    </w:p>
    <w:p w14:paraId="38E6A19E" w14:textId="77777777" w:rsidR="00A97E37" w:rsidRPr="00A155FA" w:rsidRDefault="00A97E37" w:rsidP="00D01A5E">
      <w:pPr>
        <w:ind w:left="540" w:hanging="540"/>
        <w:rPr>
          <w:color w:val="222222"/>
        </w:rPr>
      </w:pPr>
    </w:p>
    <w:p w14:paraId="02D30FA1"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(108) </w:t>
      </w:r>
      <w:r w:rsidRPr="00A155FA">
        <w:rPr>
          <w:rFonts w:ascii="Times New Roman" w:eastAsia="Times New Roman" w:hAnsi="Times New Roman" w:cs="Times New Roman"/>
          <w:b/>
          <w:bCs/>
          <w:color w:val="222222"/>
        </w:rPr>
        <w:t>Parasphenoid</w:t>
      </w:r>
      <w:r w:rsidRPr="00A155FA">
        <w:rPr>
          <w:rFonts w:ascii="Times New Roman" w:eastAsia="Times New Roman" w:hAnsi="Times New Roman" w:cs="Times New Roman"/>
          <w:color w:val="222222"/>
        </w:rPr>
        <w:t>. Suturing with exoccipitals (0), or underplating exoccipitals (1).</w:t>
      </w:r>
    </w:p>
    <w:p w14:paraId="760B562C" w14:textId="77777777" w:rsidR="00A97E37" w:rsidRPr="00A155FA" w:rsidRDefault="00A97E37" w:rsidP="00D01A5E">
      <w:pPr>
        <w:ind w:left="540" w:hanging="540"/>
        <w:rPr>
          <w:color w:val="222222"/>
        </w:rPr>
      </w:pPr>
    </w:p>
    <w:p w14:paraId="2BF5C927"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(109) </w:t>
      </w:r>
      <w:r w:rsidRPr="00A155FA">
        <w:rPr>
          <w:rFonts w:ascii="Times New Roman" w:eastAsia="Times New Roman" w:hAnsi="Times New Roman" w:cs="Times New Roman"/>
          <w:b/>
          <w:bCs/>
          <w:color w:val="222222"/>
        </w:rPr>
        <w:t>Basicranium (carotids)</w:t>
      </w:r>
      <w:r w:rsidRPr="00A155FA">
        <w:rPr>
          <w:rFonts w:ascii="Times New Roman" w:eastAsia="Times New Roman" w:hAnsi="Times New Roman" w:cs="Times New Roman"/>
          <w:color w:val="222222"/>
        </w:rPr>
        <w:t>. Internal carotids entered basicranium ventrally near base of cultriform process (0), or at posterolateral corner of bone (1).</w:t>
      </w:r>
    </w:p>
    <w:p w14:paraId="0F32AE9E" w14:textId="77777777" w:rsidR="00A97E37" w:rsidRPr="00A155FA" w:rsidRDefault="00A97E37" w:rsidP="00D01A5E">
      <w:pPr>
        <w:ind w:left="540" w:hanging="540"/>
        <w:rPr>
          <w:color w:val="222222"/>
        </w:rPr>
      </w:pPr>
    </w:p>
    <w:p w14:paraId="2661A7E3"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(110) </w:t>
      </w:r>
      <w:r w:rsidRPr="00A155FA">
        <w:rPr>
          <w:rFonts w:ascii="Times New Roman" w:eastAsia="Times New Roman" w:hAnsi="Times New Roman" w:cs="Times New Roman"/>
          <w:b/>
          <w:bCs/>
          <w:color w:val="222222"/>
        </w:rPr>
        <w:t>Parasphenoid plate</w:t>
      </w:r>
      <w:r w:rsidRPr="00A155FA">
        <w:rPr>
          <w:rFonts w:ascii="Times New Roman" w:eastAsia="Times New Roman" w:hAnsi="Times New Roman" w:cs="Times New Roman"/>
          <w:color w:val="222222"/>
        </w:rPr>
        <w:t>. Basal plate sagittally rectangular (0), or quadrangular to wider than long (1), or much abbreviated, transversely rectangular (2).</w:t>
      </w:r>
    </w:p>
    <w:p w14:paraId="0B7263B2" w14:textId="77777777" w:rsidR="00A97E37" w:rsidRPr="00A155FA" w:rsidRDefault="00A97E37" w:rsidP="00D01A5E">
      <w:pPr>
        <w:ind w:left="540" w:hanging="540"/>
        <w:rPr>
          <w:color w:val="222222"/>
        </w:rPr>
      </w:pPr>
    </w:p>
    <w:p w14:paraId="3E6747EE"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(111) </w:t>
      </w:r>
      <w:r w:rsidRPr="00A155FA">
        <w:rPr>
          <w:rFonts w:ascii="Times New Roman" w:eastAsia="Times New Roman" w:hAnsi="Times New Roman" w:cs="Times New Roman"/>
          <w:b/>
          <w:bCs/>
          <w:color w:val="222222"/>
        </w:rPr>
        <w:t>Parasphenoid plate (size)</w:t>
      </w:r>
      <w:r w:rsidRPr="00A155FA">
        <w:rPr>
          <w:rFonts w:ascii="Times New Roman" w:eastAsia="Times New Roman" w:hAnsi="Times New Roman" w:cs="Times New Roman"/>
          <w:color w:val="222222"/>
        </w:rPr>
        <w:t>. Basal plate at level posterior to basicranial joint substantially narrower than parietals (0), or as wide or wider (1).</w:t>
      </w:r>
    </w:p>
    <w:p w14:paraId="1B3F4C01" w14:textId="77777777" w:rsidR="00A97E37" w:rsidRPr="00A155FA" w:rsidRDefault="00A97E37" w:rsidP="00D01A5E">
      <w:pPr>
        <w:ind w:left="540" w:hanging="540"/>
        <w:rPr>
          <w:color w:val="222222"/>
        </w:rPr>
      </w:pPr>
    </w:p>
    <w:p w14:paraId="66539455" w14:textId="113EF37F"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(112) </w:t>
      </w:r>
      <w:r w:rsidRPr="00A155FA">
        <w:rPr>
          <w:rFonts w:ascii="Times New Roman" w:eastAsia="Times New Roman" w:hAnsi="Times New Roman" w:cs="Times New Roman"/>
          <w:b/>
          <w:bCs/>
          <w:color w:val="222222"/>
        </w:rPr>
        <w:t>Cultriform process (width)</w:t>
      </w:r>
      <w:r w:rsidRPr="00A155FA">
        <w:rPr>
          <w:rFonts w:ascii="Times New Roman" w:eastAsia="Times New Roman" w:hAnsi="Times New Roman" w:cs="Times New Roman"/>
          <w:color w:val="222222"/>
        </w:rPr>
        <w:t>. Base not wider than rest, clearly set off from basal plate (0), merging continuously into plate (1), or flaring anteriorly (2).</w:t>
      </w:r>
    </w:p>
    <w:p w14:paraId="2F6E7625" w14:textId="77777777" w:rsidR="00A97E37" w:rsidRPr="00A155FA" w:rsidRDefault="00A97E37" w:rsidP="00D01A5E">
      <w:pPr>
        <w:ind w:left="540" w:hanging="540"/>
        <w:rPr>
          <w:color w:val="222222"/>
        </w:rPr>
      </w:pPr>
    </w:p>
    <w:p w14:paraId="3BB7272F"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(113) </w:t>
      </w:r>
      <w:r w:rsidRPr="00A155FA">
        <w:rPr>
          <w:rFonts w:ascii="Times New Roman" w:eastAsia="Times New Roman" w:hAnsi="Times New Roman" w:cs="Times New Roman"/>
          <w:b/>
          <w:bCs/>
          <w:color w:val="222222"/>
        </w:rPr>
        <w:t>Cultriform process (structure)</w:t>
      </w:r>
      <w:r w:rsidRPr="00A155FA">
        <w:rPr>
          <w:rFonts w:ascii="Times New Roman" w:eastAsia="Times New Roman" w:hAnsi="Times New Roman" w:cs="Times New Roman"/>
          <w:color w:val="222222"/>
        </w:rPr>
        <w:t>. Ventrally flat (0), or with ridge emplaced on broader base (1), or knife-edged and keel-shaped (2).</w:t>
      </w:r>
    </w:p>
    <w:p w14:paraId="7C670352" w14:textId="77777777" w:rsidR="00A97E37" w:rsidRPr="00A155FA" w:rsidRDefault="00A97E37" w:rsidP="00D01A5E">
      <w:pPr>
        <w:ind w:left="540" w:hanging="540"/>
        <w:rPr>
          <w:color w:val="222222"/>
        </w:rPr>
      </w:pPr>
    </w:p>
    <w:p w14:paraId="16F76B69"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(114) </w:t>
      </w:r>
      <w:r w:rsidRPr="00A155FA">
        <w:rPr>
          <w:rFonts w:ascii="Times New Roman" w:eastAsia="Times New Roman" w:hAnsi="Times New Roman" w:cs="Times New Roman"/>
          <w:b/>
          <w:bCs/>
          <w:color w:val="222222"/>
        </w:rPr>
        <w:t>Cultriform process (outline)</w:t>
      </w:r>
      <w:r w:rsidRPr="00A155FA">
        <w:rPr>
          <w:rFonts w:ascii="Times New Roman" w:eastAsia="Times New Roman" w:hAnsi="Times New Roman" w:cs="Times New Roman"/>
          <w:color w:val="222222"/>
        </w:rPr>
        <w:t>. Of similar width throughout (0), or posteriorly expanding abruptly to about twice the width (1).</w:t>
      </w:r>
    </w:p>
    <w:p w14:paraId="2CE0501F" w14:textId="77777777" w:rsidR="00A97E37" w:rsidRPr="00A155FA" w:rsidRDefault="00A97E37" w:rsidP="00D01A5E">
      <w:pPr>
        <w:rPr>
          <w:color w:val="222222"/>
        </w:rPr>
      </w:pPr>
    </w:p>
    <w:p w14:paraId="346E78D9"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(116) </w:t>
      </w:r>
      <w:r w:rsidRPr="00A155FA">
        <w:rPr>
          <w:rFonts w:ascii="Times New Roman" w:eastAsia="Times New Roman" w:hAnsi="Times New Roman" w:cs="Times New Roman"/>
          <w:b/>
          <w:bCs/>
          <w:color w:val="222222"/>
        </w:rPr>
        <w:t>Parasphenoid (posterolateral process)</w:t>
      </w:r>
      <w:r w:rsidRPr="00A155FA">
        <w:rPr>
          <w:rFonts w:ascii="Times New Roman" w:eastAsia="Times New Roman" w:hAnsi="Times New Roman" w:cs="Times New Roman"/>
          <w:color w:val="222222"/>
        </w:rPr>
        <w:t>. Posterolateral margin straight (0), or with lateral wing (1).</w:t>
      </w:r>
    </w:p>
    <w:p w14:paraId="0D1EF088" w14:textId="77777777" w:rsidR="00A97E37" w:rsidRPr="00A155FA" w:rsidRDefault="00A97E37" w:rsidP="00D01A5E">
      <w:pPr>
        <w:ind w:left="540" w:hanging="540"/>
        <w:rPr>
          <w:color w:val="222222"/>
        </w:rPr>
      </w:pPr>
    </w:p>
    <w:p w14:paraId="76FE40C2"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(117) </w:t>
      </w:r>
      <w:r w:rsidRPr="00A155FA">
        <w:rPr>
          <w:rFonts w:ascii="Times New Roman" w:eastAsia="Times New Roman" w:hAnsi="Times New Roman" w:cs="Times New Roman"/>
          <w:b/>
          <w:bCs/>
          <w:color w:val="222222"/>
        </w:rPr>
        <w:t>Pterygoid (ventral ornament)</w:t>
      </w:r>
      <w:r w:rsidRPr="00A155FA">
        <w:rPr>
          <w:rFonts w:ascii="Times New Roman" w:eastAsia="Times New Roman" w:hAnsi="Times New Roman" w:cs="Times New Roman"/>
          <w:color w:val="222222"/>
        </w:rPr>
        <w:t>. Palatine ramus of pterygoid smooth (0), or ornamented with reticulate ridges (1).</w:t>
      </w:r>
    </w:p>
    <w:p w14:paraId="13074AE4" w14:textId="77777777" w:rsidR="00A97E37" w:rsidRPr="00A155FA" w:rsidRDefault="00A97E37" w:rsidP="00D01A5E">
      <w:pPr>
        <w:ind w:left="540" w:hanging="540"/>
        <w:rPr>
          <w:color w:val="222222"/>
        </w:rPr>
      </w:pPr>
    </w:p>
    <w:p w14:paraId="19D0BC69"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(118) </w:t>
      </w:r>
      <w:r w:rsidRPr="00A155FA">
        <w:rPr>
          <w:rFonts w:ascii="Times New Roman" w:eastAsia="Times New Roman" w:hAnsi="Times New Roman" w:cs="Times New Roman"/>
          <w:b/>
          <w:bCs/>
          <w:color w:val="222222"/>
        </w:rPr>
        <w:t>Pterygoid, exoccipital</w:t>
      </w:r>
      <w:r w:rsidRPr="00A155FA">
        <w:rPr>
          <w:rFonts w:ascii="Times New Roman" w:eastAsia="Times New Roman" w:hAnsi="Times New Roman" w:cs="Times New Roman"/>
          <w:color w:val="222222"/>
        </w:rPr>
        <w:t>. No contact (0), or sutured lateral to parasphenoid (1).</w:t>
      </w:r>
    </w:p>
    <w:p w14:paraId="77D8C8BB" w14:textId="77777777" w:rsidR="00A97E37" w:rsidRPr="00A155FA" w:rsidRDefault="00A97E37" w:rsidP="00D01A5E">
      <w:pPr>
        <w:ind w:left="540" w:hanging="540"/>
        <w:rPr>
          <w:color w:val="222222"/>
        </w:rPr>
      </w:pPr>
    </w:p>
    <w:p w14:paraId="52999DCD"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(119) </w:t>
      </w:r>
      <w:r w:rsidRPr="00A155FA">
        <w:rPr>
          <w:rFonts w:ascii="Times New Roman" w:eastAsia="Times New Roman" w:hAnsi="Times New Roman" w:cs="Times New Roman"/>
          <w:b/>
          <w:bCs/>
          <w:color w:val="222222"/>
        </w:rPr>
        <w:t>Pterygoid, basioccipital</w:t>
      </w:r>
      <w:r w:rsidRPr="00A155FA">
        <w:rPr>
          <w:rFonts w:ascii="Times New Roman" w:eastAsia="Times New Roman" w:hAnsi="Times New Roman" w:cs="Times New Roman"/>
          <w:color w:val="222222"/>
        </w:rPr>
        <w:t>. No contact (0), or sutured lateral to parasphenoid (1).</w:t>
      </w:r>
    </w:p>
    <w:p w14:paraId="6A47A2A7" w14:textId="77777777" w:rsidR="00A97E37" w:rsidRPr="00A155FA" w:rsidRDefault="00A97E37" w:rsidP="00D01A5E">
      <w:pPr>
        <w:ind w:left="540" w:hanging="540"/>
        <w:rPr>
          <w:color w:val="222222"/>
        </w:rPr>
      </w:pPr>
    </w:p>
    <w:p w14:paraId="5937D10F"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(120) </w:t>
      </w:r>
      <w:r w:rsidRPr="00A155FA">
        <w:rPr>
          <w:rFonts w:ascii="Times New Roman" w:eastAsia="Times New Roman" w:hAnsi="Times New Roman" w:cs="Times New Roman"/>
          <w:b/>
          <w:bCs/>
          <w:color w:val="222222"/>
        </w:rPr>
        <w:t>Pterygoid, squamosal</w:t>
      </w:r>
      <w:r w:rsidRPr="00A155FA">
        <w:rPr>
          <w:rFonts w:ascii="Times New Roman" w:eastAsia="Times New Roman" w:hAnsi="Times New Roman" w:cs="Times New Roman"/>
          <w:color w:val="222222"/>
        </w:rPr>
        <w:t>. Entirely sutured (0), or with open fissure (1).</w:t>
      </w:r>
    </w:p>
    <w:p w14:paraId="4D5C17F9" w14:textId="77777777" w:rsidR="00A97E37" w:rsidRPr="00A155FA" w:rsidRDefault="00A97E37" w:rsidP="00D01A5E">
      <w:pPr>
        <w:ind w:left="540" w:hanging="540"/>
        <w:rPr>
          <w:color w:val="222222"/>
        </w:rPr>
      </w:pPr>
    </w:p>
    <w:p w14:paraId="61107808"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(121) </w:t>
      </w:r>
      <w:r w:rsidRPr="00A155FA">
        <w:rPr>
          <w:rFonts w:ascii="Times New Roman" w:eastAsia="Times New Roman" w:hAnsi="Times New Roman" w:cs="Times New Roman"/>
          <w:b/>
          <w:bCs/>
          <w:color w:val="222222"/>
        </w:rPr>
        <w:t>Pterygoid (flange)</w:t>
      </w:r>
      <w:r w:rsidRPr="00A155FA">
        <w:rPr>
          <w:rFonts w:ascii="Times New Roman" w:eastAsia="Times New Roman" w:hAnsi="Times New Roman" w:cs="Times New Roman"/>
          <w:color w:val="222222"/>
        </w:rPr>
        <w:t>. Palatine ramus of pterygoid merging continuously into basipterygoid ramus (0), or broadening abruptly to form transverse flange (1).</w:t>
      </w:r>
    </w:p>
    <w:p w14:paraId="4FD9BD2C" w14:textId="77777777" w:rsidR="00A97E37" w:rsidRPr="00A155FA" w:rsidRDefault="00A97E37" w:rsidP="00D01A5E">
      <w:pPr>
        <w:ind w:left="540" w:hanging="540"/>
        <w:rPr>
          <w:color w:val="222222"/>
        </w:rPr>
      </w:pPr>
    </w:p>
    <w:p w14:paraId="6F3B1AE5"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(122) </w:t>
      </w:r>
      <w:r w:rsidRPr="00A155FA">
        <w:rPr>
          <w:rFonts w:ascii="Times New Roman" w:eastAsia="Times New Roman" w:hAnsi="Times New Roman" w:cs="Times New Roman"/>
          <w:b/>
          <w:bCs/>
          <w:color w:val="222222"/>
        </w:rPr>
        <w:t>Pterygoid width</w:t>
      </w:r>
      <w:r w:rsidRPr="00A155FA">
        <w:rPr>
          <w:rFonts w:ascii="Times New Roman" w:eastAsia="Times New Roman" w:hAnsi="Times New Roman" w:cs="Times New Roman"/>
          <w:color w:val="222222"/>
        </w:rPr>
        <w:t>. Palatine and quadrate regions forming slender rami (0), or broad shelves (1).</w:t>
      </w:r>
    </w:p>
    <w:p w14:paraId="4983C232" w14:textId="77777777" w:rsidR="00A97E37" w:rsidRPr="00A155FA" w:rsidRDefault="00A97E37" w:rsidP="00D01A5E">
      <w:pPr>
        <w:ind w:left="540" w:hanging="540"/>
        <w:rPr>
          <w:color w:val="222222"/>
        </w:rPr>
      </w:pPr>
    </w:p>
    <w:p w14:paraId="5EBDCD81"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(123) </w:t>
      </w:r>
      <w:r w:rsidRPr="00A155FA">
        <w:rPr>
          <w:rFonts w:ascii="Times New Roman" w:eastAsia="Times New Roman" w:hAnsi="Times New Roman" w:cs="Times New Roman"/>
          <w:b/>
          <w:bCs/>
          <w:color w:val="222222"/>
        </w:rPr>
        <w:t>Pterygoid, ectopterygoid</w:t>
      </w:r>
      <w:r w:rsidRPr="00A155FA">
        <w:rPr>
          <w:rFonts w:ascii="Times New Roman" w:eastAsia="Times New Roman" w:hAnsi="Times New Roman" w:cs="Times New Roman"/>
          <w:color w:val="222222"/>
        </w:rPr>
        <w:t>. Palatine ramus exclusively formed by pterygoid (0), or with posteromedial projection of ectopterygoid.</w:t>
      </w:r>
    </w:p>
    <w:p w14:paraId="3281C9CC" w14:textId="77777777" w:rsidR="00A97E37" w:rsidRPr="00A155FA" w:rsidRDefault="00A97E37" w:rsidP="00D01A5E">
      <w:pPr>
        <w:ind w:left="540" w:hanging="540"/>
        <w:rPr>
          <w:color w:val="222222"/>
        </w:rPr>
      </w:pPr>
    </w:p>
    <w:p w14:paraId="38275B38"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(124) </w:t>
      </w:r>
      <w:r w:rsidRPr="00A155FA">
        <w:rPr>
          <w:rFonts w:ascii="Times New Roman" w:eastAsia="Times New Roman" w:hAnsi="Times New Roman" w:cs="Times New Roman"/>
          <w:b/>
          <w:bCs/>
          <w:color w:val="222222"/>
        </w:rPr>
        <w:t>Pterygoid-palatine-ectopterygoid</w:t>
      </w:r>
      <w:r w:rsidRPr="00A155FA">
        <w:rPr>
          <w:rFonts w:ascii="Times New Roman" w:eastAsia="Times New Roman" w:hAnsi="Times New Roman" w:cs="Times New Roman"/>
          <w:color w:val="222222"/>
        </w:rPr>
        <w:t>. Pterygoid contacting both ectopterygoid and palatine (0), or pterygoid only in contact with ectopterygoid (1).</w:t>
      </w:r>
    </w:p>
    <w:p w14:paraId="58E35174" w14:textId="77777777" w:rsidR="00A97E37" w:rsidRPr="00A155FA" w:rsidRDefault="00A97E37" w:rsidP="00D01A5E">
      <w:pPr>
        <w:ind w:left="540" w:hanging="540"/>
        <w:rPr>
          <w:color w:val="222222"/>
        </w:rPr>
      </w:pPr>
    </w:p>
    <w:p w14:paraId="23B8AE60"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(125) </w:t>
      </w:r>
      <w:r w:rsidRPr="00A155FA">
        <w:rPr>
          <w:rFonts w:ascii="Times New Roman" w:eastAsia="Times New Roman" w:hAnsi="Times New Roman" w:cs="Times New Roman"/>
          <w:b/>
          <w:bCs/>
          <w:color w:val="222222"/>
        </w:rPr>
        <w:t>Palatine, ectopterygoid</w:t>
      </w:r>
      <w:r w:rsidRPr="00A155FA">
        <w:rPr>
          <w:rFonts w:ascii="Times New Roman" w:eastAsia="Times New Roman" w:hAnsi="Times New Roman" w:cs="Times New Roman"/>
          <w:color w:val="222222"/>
        </w:rPr>
        <w:t>. With straight suture (0), or palatine with posterior process along medial edge of ectopterygoid (1).</w:t>
      </w:r>
    </w:p>
    <w:p w14:paraId="7F066D8A" w14:textId="77777777" w:rsidR="00A97E37" w:rsidRPr="00A155FA" w:rsidRDefault="00A97E37" w:rsidP="00D01A5E">
      <w:pPr>
        <w:ind w:left="540" w:hanging="540"/>
        <w:rPr>
          <w:color w:val="222222"/>
        </w:rPr>
      </w:pPr>
    </w:p>
    <w:p w14:paraId="34A55114"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(126) </w:t>
      </w:r>
      <w:r w:rsidRPr="00A155FA">
        <w:rPr>
          <w:rFonts w:ascii="Times New Roman" w:eastAsia="Times New Roman" w:hAnsi="Times New Roman" w:cs="Times New Roman"/>
          <w:b/>
          <w:bCs/>
          <w:color w:val="222222"/>
        </w:rPr>
        <w:t>Palatine, vomer</w:t>
      </w:r>
      <w:r w:rsidRPr="00A155FA">
        <w:rPr>
          <w:rFonts w:ascii="Times New Roman" w:eastAsia="Times New Roman" w:hAnsi="Times New Roman" w:cs="Times New Roman"/>
          <w:color w:val="222222"/>
        </w:rPr>
        <w:t>. Suture aligned posterolaterally (0), or with medial wing framing the interpterygoid vacuity anteriorly (1).</w:t>
      </w:r>
    </w:p>
    <w:p w14:paraId="45242F2D" w14:textId="77777777" w:rsidR="00A97E37" w:rsidRPr="00A155FA" w:rsidRDefault="00A97E37" w:rsidP="00D01A5E">
      <w:pPr>
        <w:ind w:left="540" w:hanging="540"/>
        <w:rPr>
          <w:color w:val="222222"/>
        </w:rPr>
      </w:pPr>
    </w:p>
    <w:p w14:paraId="1832B30F"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(127) </w:t>
      </w:r>
      <w:r w:rsidRPr="00A155FA">
        <w:rPr>
          <w:rFonts w:ascii="Times New Roman" w:eastAsia="Times New Roman" w:hAnsi="Times New Roman" w:cs="Times New Roman"/>
          <w:b/>
          <w:bCs/>
          <w:color w:val="222222"/>
        </w:rPr>
        <w:t>Palatine (laterally exposed palatine, LEP)</w:t>
      </w:r>
      <w:r w:rsidRPr="00A155FA">
        <w:rPr>
          <w:rFonts w:ascii="Times New Roman" w:eastAsia="Times New Roman" w:hAnsi="Times New Roman" w:cs="Times New Roman"/>
          <w:color w:val="222222"/>
        </w:rPr>
        <w:t>. Absent (0), or present (1).</w:t>
      </w:r>
    </w:p>
    <w:p w14:paraId="6C0BF487" w14:textId="77777777" w:rsidR="00A97E37" w:rsidRPr="00A155FA" w:rsidRDefault="00A97E37" w:rsidP="00D01A5E">
      <w:pPr>
        <w:ind w:left="540" w:hanging="540"/>
        <w:rPr>
          <w:color w:val="222222"/>
        </w:rPr>
      </w:pPr>
    </w:p>
    <w:p w14:paraId="21B0D415"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(128) </w:t>
      </w:r>
      <w:r w:rsidRPr="00A155FA">
        <w:rPr>
          <w:rFonts w:ascii="Times New Roman" w:eastAsia="Times New Roman" w:hAnsi="Times New Roman" w:cs="Times New Roman"/>
          <w:b/>
          <w:bCs/>
          <w:color w:val="222222"/>
        </w:rPr>
        <w:t>Palatine, ectopterygoid (ontogeny)</w:t>
      </w:r>
      <w:r w:rsidRPr="00A155FA">
        <w:rPr>
          <w:rFonts w:ascii="Times New Roman" w:eastAsia="Times New Roman" w:hAnsi="Times New Roman" w:cs="Times New Roman"/>
          <w:color w:val="222222"/>
        </w:rPr>
        <w:t>. Maintain their width (0), or become proportionally wider (1).</w:t>
      </w:r>
    </w:p>
    <w:p w14:paraId="17C4F8FB" w14:textId="77777777" w:rsidR="00A97E37" w:rsidRPr="00A155FA" w:rsidRDefault="00A97E37" w:rsidP="00D01A5E">
      <w:pPr>
        <w:ind w:left="540" w:hanging="540"/>
        <w:rPr>
          <w:color w:val="222222"/>
        </w:rPr>
      </w:pPr>
    </w:p>
    <w:p w14:paraId="7A90765E"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(129) </w:t>
      </w:r>
      <w:r w:rsidRPr="00A155FA">
        <w:rPr>
          <w:rFonts w:ascii="Times New Roman" w:eastAsia="Times New Roman" w:hAnsi="Times New Roman" w:cs="Times New Roman"/>
          <w:b/>
          <w:bCs/>
          <w:color w:val="222222"/>
        </w:rPr>
        <w:t>Palatine, ectopterygoid (width)</w:t>
      </w:r>
      <w:r w:rsidRPr="00A155FA">
        <w:rPr>
          <w:rFonts w:ascii="Times New Roman" w:eastAsia="Times New Roman" w:hAnsi="Times New Roman" w:cs="Times New Roman"/>
          <w:color w:val="222222"/>
        </w:rPr>
        <w:t>. Much wider than maxilla (0), or as narrow (1).</w:t>
      </w:r>
    </w:p>
    <w:p w14:paraId="1319F567" w14:textId="77777777" w:rsidR="00A97E37" w:rsidRPr="00A155FA" w:rsidRDefault="00A97E37" w:rsidP="00D01A5E">
      <w:pPr>
        <w:ind w:left="540" w:hanging="540"/>
        <w:rPr>
          <w:color w:val="222222"/>
        </w:rPr>
      </w:pPr>
    </w:p>
    <w:p w14:paraId="65E830A1"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(130) </w:t>
      </w:r>
      <w:r w:rsidRPr="00A155FA">
        <w:rPr>
          <w:rFonts w:ascii="Times New Roman" w:eastAsia="Times New Roman" w:hAnsi="Times New Roman" w:cs="Times New Roman"/>
          <w:b/>
          <w:bCs/>
          <w:color w:val="222222"/>
        </w:rPr>
        <w:t>Palatine, ectopterygoid (continuous tooth row)</w:t>
      </w:r>
      <w:r w:rsidRPr="00A155FA">
        <w:rPr>
          <w:rFonts w:ascii="Times New Roman" w:eastAsia="Times New Roman" w:hAnsi="Times New Roman" w:cs="Times New Roman"/>
          <w:color w:val="222222"/>
        </w:rPr>
        <w:t>. Absent (0), or present (1).</w:t>
      </w:r>
    </w:p>
    <w:p w14:paraId="179E83E1" w14:textId="77777777" w:rsidR="00A97E37" w:rsidRPr="00A155FA" w:rsidRDefault="00A97E37" w:rsidP="00D01A5E">
      <w:pPr>
        <w:ind w:left="540" w:hanging="540"/>
        <w:rPr>
          <w:color w:val="222222"/>
        </w:rPr>
      </w:pPr>
    </w:p>
    <w:p w14:paraId="37361E17"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(131) </w:t>
      </w:r>
      <w:r w:rsidRPr="00A155FA">
        <w:rPr>
          <w:rFonts w:ascii="Times New Roman" w:eastAsia="Times New Roman" w:hAnsi="Times New Roman" w:cs="Times New Roman"/>
          <w:b/>
          <w:bCs/>
          <w:color w:val="222222"/>
        </w:rPr>
        <w:t>Ectopterygoid (length)</w:t>
      </w:r>
      <w:r w:rsidRPr="00A155FA">
        <w:rPr>
          <w:rFonts w:ascii="Times New Roman" w:eastAsia="Times New Roman" w:hAnsi="Times New Roman" w:cs="Times New Roman"/>
          <w:color w:val="222222"/>
        </w:rPr>
        <w:t>. As long or longer than palatine (0), or markedly shorter (1).</w:t>
      </w:r>
    </w:p>
    <w:p w14:paraId="322D198B" w14:textId="77777777" w:rsidR="00A97E37" w:rsidRPr="00A155FA" w:rsidRDefault="00A97E37" w:rsidP="00D01A5E">
      <w:pPr>
        <w:ind w:left="540" w:hanging="540"/>
        <w:rPr>
          <w:color w:val="222222"/>
        </w:rPr>
      </w:pPr>
    </w:p>
    <w:p w14:paraId="0739C463"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(132) </w:t>
      </w:r>
      <w:r w:rsidRPr="00A155FA">
        <w:rPr>
          <w:rFonts w:ascii="Times New Roman" w:eastAsia="Times New Roman" w:hAnsi="Times New Roman" w:cs="Times New Roman"/>
          <w:b/>
          <w:bCs/>
          <w:color w:val="222222"/>
        </w:rPr>
        <w:t>Ectopterygoid (laterally exposed ectopterygoid, LEE)</w:t>
      </w:r>
      <w:r w:rsidRPr="00A155FA">
        <w:rPr>
          <w:rFonts w:ascii="Times New Roman" w:eastAsia="Times New Roman" w:hAnsi="Times New Roman" w:cs="Times New Roman"/>
          <w:color w:val="222222"/>
        </w:rPr>
        <w:t>. Absent (0), or present (1).</w:t>
      </w:r>
    </w:p>
    <w:p w14:paraId="4E2FCA1A" w14:textId="77777777" w:rsidR="00A97E37" w:rsidRPr="00A155FA" w:rsidRDefault="00A97E37" w:rsidP="00D01A5E">
      <w:pPr>
        <w:ind w:left="540" w:hanging="540"/>
        <w:rPr>
          <w:color w:val="222222"/>
        </w:rPr>
      </w:pPr>
    </w:p>
    <w:p w14:paraId="1A6933DF"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(133) </w:t>
      </w:r>
      <w:r w:rsidRPr="00A155FA">
        <w:rPr>
          <w:rFonts w:ascii="Times New Roman" w:eastAsia="Times New Roman" w:hAnsi="Times New Roman" w:cs="Times New Roman"/>
          <w:b/>
          <w:bCs/>
          <w:color w:val="222222"/>
        </w:rPr>
        <w:t>Ectopterygoid (Y-shaped)</w:t>
      </w:r>
      <w:r w:rsidRPr="00A155FA">
        <w:rPr>
          <w:rFonts w:ascii="Times New Roman" w:eastAsia="Times New Roman" w:hAnsi="Times New Roman" w:cs="Times New Roman"/>
          <w:color w:val="222222"/>
        </w:rPr>
        <w:t>. Ectopterygoid with continuous maxillary suture (0), or Y-shaped, with posterior half separated from maxilla by a gap (1).</w:t>
      </w:r>
    </w:p>
    <w:p w14:paraId="50F79F1E" w14:textId="77777777" w:rsidR="00A97E37" w:rsidRPr="00A155FA" w:rsidRDefault="00A97E37" w:rsidP="00D01A5E">
      <w:pPr>
        <w:ind w:left="540" w:hanging="540"/>
        <w:rPr>
          <w:color w:val="222222"/>
        </w:rPr>
      </w:pPr>
    </w:p>
    <w:p w14:paraId="46A02913"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(134) </w:t>
      </w:r>
      <w:r w:rsidRPr="00A155FA">
        <w:rPr>
          <w:rFonts w:ascii="Times New Roman" w:eastAsia="Times New Roman" w:hAnsi="Times New Roman" w:cs="Times New Roman"/>
          <w:b/>
          <w:bCs/>
          <w:color w:val="222222"/>
        </w:rPr>
        <w:t>Palate structure</w:t>
      </w:r>
      <w:r w:rsidRPr="00A155FA">
        <w:rPr>
          <w:rFonts w:ascii="Times New Roman" w:eastAsia="Times New Roman" w:hAnsi="Times New Roman" w:cs="Times New Roman"/>
          <w:color w:val="222222"/>
        </w:rPr>
        <w:t>. In occipital view, pterygoids either sloping continuously ventrolaterally or flat horizontal (0), or vertically curved ventrally at right angle with basicranium (1).</w:t>
      </w:r>
    </w:p>
    <w:p w14:paraId="09549C51" w14:textId="77777777" w:rsidR="00A97E37" w:rsidRPr="00A155FA" w:rsidRDefault="00A97E37" w:rsidP="00D01A5E">
      <w:pPr>
        <w:ind w:left="540" w:hanging="540"/>
        <w:rPr>
          <w:color w:val="222222"/>
        </w:rPr>
      </w:pPr>
    </w:p>
    <w:p w14:paraId="0DFD7DCF"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(135) </w:t>
      </w:r>
      <w:r w:rsidRPr="00A155FA">
        <w:rPr>
          <w:rFonts w:ascii="Times New Roman" w:eastAsia="Times New Roman" w:hAnsi="Times New Roman" w:cs="Times New Roman"/>
          <w:b/>
          <w:bCs/>
          <w:color w:val="222222"/>
        </w:rPr>
        <w:t>Quadrate trochlea</w:t>
      </w:r>
      <w:r w:rsidRPr="00A155FA">
        <w:rPr>
          <w:rFonts w:ascii="Times New Roman" w:eastAsia="Times New Roman" w:hAnsi="Times New Roman" w:cs="Times New Roman"/>
          <w:color w:val="222222"/>
        </w:rPr>
        <w:t>. Medial bulge only slightly larger than lateral one (0), or being at least two times longer and twice as wide (1).</w:t>
      </w:r>
    </w:p>
    <w:p w14:paraId="50D03262" w14:textId="77777777" w:rsidR="00A97E37" w:rsidRPr="00A155FA" w:rsidRDefault="00A97E37" w:rsidP="00D01A5E">
      <w:pPr>
        <w:ind w:left="540" w:hanging="540"/>
        <w:rPr>
          <w:color w:val="222222"/>
        </w:rPr>
      </w:pPr>
    </w:p>
    <w:p w14:paraId="5E29BEAE"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(136) </w:t>
      </w:r>
      <w:r w:rsidRPr="00A155FA">
        <w:rPr>
          <w:rFonts w:ascii="Times New Roman" w:eastAsia="Times New Roman" w:hAnsi="Times New Roman" w:cs="Times New Roman"/>
          <w:b/>
          <w:bCs/>
          <w:color w:val="222222"/>
        </w:rPr>
        <w:t>Occipital condyle</w:t>
      </w:r>
      <w:r w:rsidRPr="00A155FA">
        <w:rPr>
          <w:rFonts w:ascii="Times New Roman" w:eastAsia="Times New Roman" w:hAnsi="Times New Roman" w:cs="Times New Roman"/>
          <w:color w:val="222222"/>
        </w:rPr>
        <w:t>. Trilobed, with basioccipital forming ventral part of facet (0), or</w:t>
      </w:r>
    </w:p>
    <w:p w14:paraId="0284F454"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bilobed exoccipital condyle with reduced basioccipital contribution (1).</w:t>
      </w:r>
    </w:p>
    <w:p w14:paraId="419DE932" w14:textId="77777777" w:rsidR="00A97E37" w:rsidRPr="00A155FA" w:rsidRDefault="00A97E37" w:rsidP="00D01A5E">
      <w:pPr>
        <w:ind w:left="540" w:hanging="540"/>
        <w:rPr>
          <w:color w:val="222222"/>
        </w:rPr>
      </w:pPr>
    </w:p>
    <w:p w14:paraId="62080339"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(137) </w:t>
      </w:r>
      <w:r w:rsidRPr="00A155FA">
        <w:rPr>
          <w:rFonts w:ascii="Times New Roman" w:eastAsia="Times New Roman" w:hAnsi="Times New Roman" w:cs="Times New Roman"/>
          <w:b/>
          <w:bCs/>
          <w:color w:val="222222"/>
        </w:rPr>
        <w:t>Exoccipital condyles</w:t>
      </w:r>
      <w:r w:rsidRPr="00A155FA">
        <w:rPr>
          <w:rFonts w:ascii="Times New Roman" w:eastAsia="Times New Roman" w:hAnsi="Times New Roman" w:cs="Times New Roman"/>
          <w:color w:val="222222"/>
        </w:rPr>
        <w:t>. Short and broad base, projecting only with their posterior half behind the rim of the skull table (0), or almost the complete element posterior to level of occipital flange (1).</w:t>
      </w:r>
    </w:p>
    <w:p w14:paraId="68708D4D" w14:textId="77777777" w:rsidR="00A97E37" w:rsidRPr="00A155FA" w:rsidRDefault="00A97E37" w:rsidP="00D01A5E">
      <w:pPr>
        <w:ind w:left="540" w:hanging="540"/>
        <w:rPr>
          <w:color w:val="222222"/>
        </w:rPr>
      </w:pPr>
    </w:p>
    <w:p w14:paraId="40E9BCE2"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(138) </w:t>
      </w:r>
      <w:r w:rsidRPr="00A155FA">
        <w:rPr>
          <w:rFonts w:ascii="Times New Roman" w:eastAsia="Times New Roman" w:hAnsi="Times New Roman" w:cs="Times New Roman"/>
          <w:b/>
          <w:bCs/>
          <w:color w:val="222222"/>
        </w:rPr>
        <w:t>Basioccipital (length)</w:t>
      </w:r>
      <w:r w:rsidRPr="00A155FA">
        <w:rPr>
          <w:rFonts w:ascii="Times New Roman" w:eastAsia="Times New Roman" w:hAnsi="Times New Roman" w:cs="Times New Roman"/>
          <w:color w:val="222222"/>
        </w:rPr>
        <w:t>. Forming a long element posterior to parasphenoid plate (0), or foreshortened to a narrow posterior rim of the palatal bone (1).</w:t>
      </w:r>
    </w:p>
    <w:p w14:paraId="61FFF1E2" w14:textId="77777777" w:rsidR="00A97E37" w:rsidRPr="00A155FA" w:rsidRDefault="00A97E37" w:rsidP="00D01A5E">
      <w:pPr>
        <w:ind w:left="540" w:hanging="540"/>
        <w:rPr>
          <w:color w:val="222222"/>
        </w:rPr>
      </w:pPr>
    </w:p>
    <w:p w14:paraId="32EF4564"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(139) </w:t>
      </w:r>
      <w:r w:rsidRPr="00A155FA">
        <w:rPr>
          <w:rFonts w:ascii="Times New Roman" w:eastAsia="Times New Roman" w:hAnsi="Times New Roman" w:cs="Times New Roman"/>
          <w:b/>
          <w:bCs/>
          <w:color w:val="222222"/>
        </w:rPr>
        <w:t>Dentigerous palatal ossicles</w:t>
      </w:r>
      <w:r w:rsidRPr="00A155FA">
        <w:rPr>
          <w:rFonts w:ascii="Times New Roman" w:eastAsia="Times New Roman" w:hAnsi="Times New Roman" w:cs="Times New Roman"/>
          <w:color w:val="222222"/>
        </w:rPr>
        <w:t xml:space="preserve">. Absent (0), or present within interpterygoid vacuities (1). </w:t>
      </w:r>
    </w:p>
    <w:p w14:paraId="2045E273" w14:textId="77777777" w:rsidR="00A97E37" w:rsidRPr="00A155FA" w:rsidRDefault="00A97E37" w:rsidP="00D01A5E">
      <w:pPr>
        <w:ind w:left="540" w:hanging="540"/>
        <w:rPr>
          <w:color w:val="222222"/>
        </w:rPr>
      </w:pPr>
    </w:p>
    <w:p w14:paraId="340D1671"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(140) </w:t>
      </w:r>
      <w:r w:rsidRPr="00A155FA">
        <w:rPr>
          <w:rFonts w:ascii="Times New Roman" w:eastAsia="Times New Roman" w:hAnsi="Times New Roman" w:cs="Times New Roman"/>
          <w:b/>
          <w:bCs/>
          <w:color w:val="222222"/>
        </w:rPr>
        <w:t>Postglenoid area</w:t>
      </w:r>
      <w:r w:rsidRPr="00A155FA">
        <w:rPr>
          <w:rFonts w:ascii="Times New Roman" w:eastAsia="Times New Roman" w:hAnsi="Times New Roman" w:cs="Times New Roman"/>
          <w:color w:val="222222"/>
        </w:rPr>
        <w:t>. Absent or present as very faint outgrowth (0), or longer than glenoid facet (1).</w:t>
      </w:r>
    </w:p>
    <w:p w14:paraId="7522BD85" w14:textId="77777777" w:rsidR="00A97E37" w:rsidRPr="00A155FA" w:rsidRDefault="00A97E37" w:rsidP="00D01A5E">
      <w:pPr>
        <w:ind w:left="540" w:hanging="540"/>
        <w:rPr>
          <w:color w:val="222222"/>
        </w:rPr>
      </w:pPr>
    </w:p>
    <w:p w14:paraId="50CD9AAA"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(141) </w:t>
      </w:r>
      <w:r w:rsidRPr="00A155FA">
        <w:rPr>
          <w:rFonts w:ascii="Times New Roman" w:eastAsia="Times New Roman" w:hAnsi="Times New Roman" w:cs="Times New Roman"/>
          <w:b/>
          <w:bCs/>
          <w:color w:val="222222"/>
        </w:rPr>
        <w:t>Postglenoid area (types)</w:t>
      </w:r>
      <w:r w:rsidRPr="00A155FA">
        <w:rPr>
          <w:rFonts w:ascii="Times New Roman" w:eastAsia="Times New Roman" w:hAnsi="Times New Roman" w:cs="Times New Roman"/>
          <w:color w:val="222222"/>
        </w:rPr>
        <w:t>. Type 1 (0), or type 2 (1).</w:t>
      </w:r>
    </w:p>
    <w:p w14:paraId="7AB355A1" w14:textId="77777777" w:rsidR="00A97E37" w:rsidRPr="00A155FA" w:rsidRDefault="00A97E37" w:rsidP="00D01A5E">
      <w:pPr>
        <w:ind w:left="540" w:hanging="540"/>
        <w:rPr>
          <w:color w:val="222222"/>
        </w:rPr>
      </w:pPr>
    </w:p>
    <w:p w14:paraId="4CE8F494"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(142) </w:t>
      </w:r>
      <w:r w:rsidRPr="00A155FA">
        <w:rPr>
          <w:rFonts w:ascii="Times New Roman" w:eastAsia="Times New Roman" w:hAnsi="Times New Roman" w:cs="Times New Roman"/>
          <w:b/>
          <w:bCs/>
          <w:color w:val="222222"/>
        </w:rPr>
        <w:t>Postglenoid area (dorsal)</w:t>
      </w:r>
      <w:r w:rsidRPr="00A155FA">
        <w:rPr>
          <w:rFonts w:ascii="Times New Roman" w:eastAsia="Times New Roman" w:hAnsi="Times New Roman" w:cs="Times New Roman"/>
          <w:color w:val="222222"/>
        </w:rPr>
        <w:t>. Plain (0), or with elongated groove (1).</w:t>
      </w:r>
    </w:p>
    <w:p w14:paraId="1FFBAB9B" w14:textId="77777777" w:rsidR="00A97E37" w:rsidRPr="00A155FA" w:rsidRDefault="00A97E37" w:rsidP="00D01A5E">
      <w:pPr>
        <w:ind w:left="540" w:hanging="540"/>
        <w:rPr>
          <w:color w:val="222222"/>
        </w:rPr>
      </w:pPr>
    </w:p>
    <w:p w14:paraId="14F32AFC"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(143) </w:t>
      </w:r>
      <w:r w:rsidRPr="00A155FA">
        <w:rPr>
          <w:rFonts w:ascii="Times New Roman" w:eastAsia="Times New Roman" w:hAnsi="Times New Roman" w:cs="Times New Roman"/>
          <w:b/>
          <w:bCs/>
          <w:color w:val="222222"/>
        </w:rPr>
        <w:t>Hamate process</w:t>
      </w:r>
      <w:r w:rsidRPr="00A155FA">
        <w:rPr>
          <w:rFonts w:ascii="Times New Roman" w:eastAsia="Times New Roman" w:hAnsi="Times New Roman" w:cs="Times New Roman"/>
          <w:color w:val="222222"/>
        </w:rPr>
        <w:t>. Absent (0), or present but lower than postglenoid portion is long (1), or as high as retroarticular process (2).</w:t>
      </w:r>
    </w:p>
    <w:p w14:paraId="4FC4B893" w14:textId="77777777" w:rsidR="00A97E37" w:rsidRPr="00A155FA" w:rsidRDefault="00A97E37" w:rsidP="00D01A5E">
      <w:pPr>
        <w:ind w:left="540" w:hanging="540"/>
        <w:rPr>
          <w:color w:val="222222"/>
        </w:rPr>
      </w:pPr>
    </w:p>
    <w:p w14:paraId="48E9ADA1"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(144) </w:t>
      </w:r>
      <w:r w:rsidRPr="00A155FA">
        <w:rPr>
          <w:rFonts w:ascii="Times New Roman" w:eastAsia="Times New Roman" w:hAnsi="Times New Roman" w:cs="Times New Roman"/>
          <w:b/>
          <w:bCs/>
          <w:color w:val="222222"/>
        </w:rPr>
        <w:t>Preglenoid process</w:t>
      </w:r>
      <w:r w:rsidRPr="00A155FA">
        <w:rPr>
          <w:rFonts w:ascii="Times New Roman" w:eastAsia="Times New Roman" w:hAnsi="Times New Roman" w:cs="Times New Roman"/>
          <w:color w:val="222222"/>
        </w:rPr>
        <w:t>. Labial side of surangular with straight dorsal margin anterior to glenoid (0), or forming dorsal projection well above the level of the glenoid articulation (1).</w:t>
      </w:r>
    </w:p>
    <w:p w14:paraId="47B6C53E" w14:textId="77777777" w:rsidR="00A97E37" w:rsidRPr="00A155FA" w:rsidRDefault="00A97E37" w:rsidP="00D01A5E">
      <w:pPr>
        <w:ind w:left="540" w:hanging="540"/>
        <w:rPr>
          <w:color w:val="222222"/>
        </w:rPr>
      </w:pPr>
    </w:p>
    <w:p w14:paraId="49B9A780"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(145) </w:t>
      </w:r>
      <w:r w:rsidRPr="00A155FA">
        <w:rPr>
          <w:rFonts w:ascii="Times New Roman" w:eastAsia="Times New Roman" w:hAnsi="Times New Roman" w:cs="Times New Roman"/>
          <w:b/>
          <w:bCs/>
          <w:color w:val="222222"/>
        </w:rPr>
        <w:t>Meckelian window</w:t>
      </w:r>
      <w:r w:rsidRPr="00A155FA">
        <w:rPr>
          <w:rFonts w:ascii="Times New Roman" w:eastAsia="Times New Roman" w:hAnsi="Times New Roman" w:cs="Times New Roman"/>
          <w:color w:val="222222"/>
        </w:rPr>
        <w:t>. Small round or oval opening (0), or elongate window shorter than the adductor fossa (1), or as long or longer than adductor fossa (2).</w:t>
      </w:r>
    </w:p>
    <w:p w14:paraId="725BBA61" w14:textId="77777777" w:rsidR="00A97E37" w:rsidRPr="00A155FA" w:rsidRDefault="00A97E37" w:rsidP="00D01A5E">
      <w:pPr>
        <w:ind w:left="540" w:hanging="540"/>
        <w:rPr>
          <w:color w:val="222222"/>
        </w:rPr>
      </w:pPr>
    </w:p>
    <w:p w14:paraId="440A161F" w14:textId="1E9E2055"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(146) </w:t>
      </w:r>
      <w:r w:rsidRPr="00A155FA">
        <w:rPr>
          <w:rFonts w:ascii="Times New Roman" w:eastAsia="Times New Roman" w:hAnsi="Times New Roman" w:cs="Times New Roman"/>
          <w:b/>
          <w:bCs/>
          <w:color w:val="222222"/>
        </w:rPr>
        <w:t>Symphyseal teeth</w:t>
      </w:r>
      <w:r w:rsidRPr="00A155FA">
        <w:rPr>
          <w:rFonts w:ascii="Times New Roman" w:eastAsia="Times New Roman" w:hAnsi="Times New Roman" w:cs="Times New Roman"/>
          <w:color w:val="222222"/>
        </w:rPr>
        <w:t>. No accessory teeth posterior to symphyseal tusks (0), a transverse row of such teeth (1), or a row aligned parallel to the labial tooth row (2).</w:t>
      </w:r>
    </w:p>
    <w:p w14:paraId="51FF78E7" w14:textId="77777777" w:rsidR="00A97E37" w:rsidRPr="00A155FA" w:rsidRDefault="00A97E37" w:rsidP="00D01A5E">
      <w:pPr>
        <w:ind w:left="540" w:hanging="540"/>
        <w:rPr>
          <w:color w:val="222222"/>
        </w:rPr>
      </w:pPr>
    </w:p>
    <w:p w14:paraId="50CE275C"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(147) </w:t>
      </w:r>
      <w:r w:rsidRPr="00A155FA">
        <w:rPr>
          <w:rFonts w:ascii="Times New Roman" w:eastAsia="Times New Roman" w:hAnsi="Times New Roman" w:cs="Times New Roman"/>
          <w:b/>
          <w:bCs/>
          <w:color w:val="222222"/>
        </w:rPr>
        <w:t>Posterior coronoid dentition</w:t>
      </w:r>
      <w:r w:rsidRPr="00A155FA">
        <w:rPr>
          <w:rFonts w:ascii="Times New Roman" w:eastAsia="Times New Roman" w:hAnsi="Times New Roman" w:cs="Times New Roman"/>
          <w:color w:val="222222"/>
        </w:rPr>
        <w:t>. Present (0), or absent (1).</w:t>
      </w:r>
    </w:p>
    <w:p w14:paraId="0FC8CE6A" w14:textId="77777777" w:rsidR="00A97E37" w:rsidRPr="00A155FA" w:rsidRDefault="00A97E37" w:rsidP="00D01A5E">
      <w:pPr>
        <w:ind w:left="540" w:hanging="540"/>
        <w:rPr>
          <w:color w:val="222222"/>
        </w:rPr>
      </w:pPr>
    </w:p>
    <w:p w14:paraId="25A371C1"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(148) </w:t>
      </w:r>
      <w:r w:rsidRPr="00A155FA">
        <w:rPr>
          <w:rFonts w:ascii="Times New Roman" w:eastAsia="Times New Roman" w:hAnsi="Times New Roman" w:cs="Times New Roman"/>
          <w:b/>
          <w:bCs/>
          <w:color w:val="222222"/>
        </w:rPr>
        <w:t>Anterior, middle coronoid dentition</w:t>
      </w:r>
      <w:r w:rsidRPr="00A155FA">
        <w:rPr>
          <w:rFonts w:ascii="Times New Roman" w:eastAsia="Times New Roman" w:hAnsi="Times New Roman" w:cs="Times New Roman"/>
          <w:color w:val="222222"/>
        </w:rPr>
        <w:t>. Present (0), or absent (1).</w:t>
      </w:r>
    </w:p>
    <w:p w14:paraId="0A4FCA44" w14:textId="77777777" w:rsidR="00A97E37" w:rsidRPr="00A155FA" w:rsidRDefault="00A97E37" w:rsidP="00D01A5E">
      <w:pPr>
        <w:ind w:left="540" w:hanging="540"/>
        <w:rPr>
          <w:color w:val="222222"/>
        </w:rPr>
      </w:pPr>
    </w:p>
    <w:p w14:paraId="320F3B51"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(149) </w:t>
      </w:r>
      <w:r w:rsidRPr="00A155FA">
        <w:rPr>
          <w:rFonts w:ascii="Times New Roman" w:eastAsia="Times New Roman" w:hAnsi="Times New Roman" w:cs="Times New Roman"/>
          <w:b/>
          <w:bCs/>
          <w:color w:val="222222"/>
        </w:rPr>
        <w:t>Mandibular osteoderms</w:t>
      </w:r>
      <w:r w:rsidRPr="00A155FA">
        <w:rPr>
          <w:rFonts w:ascii="Times New Roman" w:eastAsia="Times New Roman" w:hAnsi="Times New Roman" w:cs="Times New Roman"/>
          <w:color w:val="222222"/>
        </w:rPr>
        <w:t>. Throat region naked (0), or covered with a mosaic of ventral osteoderms between mandible and dermal pectoral girdle (1).</w:t>
      </w:r>
    </w:p>
    <w:p w14:paraId="0D635723" w14:textId="77777777" w:rsidR="00A97E37" w:rsidRPr="00A155FA" w:rsidRDefault="00A97E37" w:rsidP="00D01A5E">
      <w:pPr>
        <w:ind w:left="540" w:hanging="540"/>
        <w:rPr>
          <w:color w:val="222222"/>
        </w:rPr>
      </w:pPr>
    </w:p>
    <w:p w14:paraId="3712A2D9"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(150) </w:t>
      </w:r>
      <w:r w:rsidRPr="00A155FA">
        <w:rPr>
          <w:rFonts w:ascii="Times New Roman" w:eastAsia="Times New Roman" w:hAnsi="Times New Roman" w:cs="Times New Roman"/>
          <w:b/>
          <w:bCs/>
          <w:color w:val="222222"/>
        </w:rPr>
        <w:t>Stapes (quadrate process)</w:t>
      </w:r>
      <w:r w:rsidRPr="00A155FA">
        <w:rPr>
          <w:rFonts w:ascii="Times New Roman" w:eastAsia="Times New Roman" w:hAnsi="Times New Roman" w:cs="Times New Roman"/>
          <w:color w:val="222222"/>
        </w:rPr>
        <w:t>. Absent (0), or present (1).</w:t>
      </w:r>
    </w:p>
    <w:p w14:paraId="60FE1D19" w14:textId="77777777" w:rsidR="00A97E37" w:rsidRPr="00A155FA" w:rsidRDefault="00A97E37" w:rsidP="00D01A5E">
      <w:pPr>
        <w:ind w:left="540" w:hanging="540"/>
        <w:rPr>
          <w:color w:val="222222"/>
        </w:rPr>
      </w:pPr>
    </w:p>
    <w:p w14:paraId="0FAF1FC0"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(151) </w:t>
      </w:r>
      <w:r w:rsidRPr="00A155FA">
        <w:rPr>
          <w:rFonts w:ascii="Times New Roman" w:eastAsia="Times New Roman" w:hAnsi="Times New Roman" w:cs="Times New Roman"/>
          <w:b/>
          <w:bCs/>
          <w:color w:val="222222"/>
        </w:rPr>
        <w:t>Stapes (ventral process)</w:t>
      </w:r>
      <w:r w:rsidRPr="00A155FA">
        <w:rPr>
          <w:rFonts w:ascii="Times New Roman" w:eastAsia="Times New Roman" w:hAnsi="Times New Roman" w:cs="Times New Roman"/>
          <w:color w:val="222222"/>
        </w:rPr>
        <w:t>. Absent (0), or present, giving the proximal region two heads (1).</w:t>
      </w:r>
    </w:p>
    <w:p w14:paraId="4C61D028" w14:textId="77777777" w:rsidR="00A97E37" w:rsidRPr="00A155FA" w:rsidRDefault="00A97E37" w:rsidP="00D01A5E">
      <w:pPr>
        <w:ind w:left="540" w:hanging="540"/>
        <w:rPr>
          <w:color w:val="222222"/>
        </w:rPr>
      </w:pPr>
    </w:p>
    <w:p w14:paraId="5F7B6C57"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(152) </w:t>
      </w:r>
      <w:r w:rsidRPr="00A155FA">
        <w:rPr>
          <w:rFonts w:ascii="Times New Roman" w:eastAsia="Times New Roman" w:hAnsi="Times New Roman" w:cs="Times New Roman"/>
          <w:b/>
          <w:bCs/>
          <w:color w:val="222222"/>
        </w:rPr>
        <w:t>Stapes (shape)</w:t>
      </w:r>
      <w:r w:rsidRPr="00A155FA">
        <w:rPr>
          <w:rFonts w:ascii="Times New Roman" w:eastAsia="Times New Roman" w:hAnsi="Times New Roman" w:cs="Times New Roman"/>
          <w:color w:val="222222"/>
        </w:rPr>
        <w:t>. Robust, tetrahedral bone (0), or rod-like element with elongated stylus (1), or blade-like (2).</w:t>
      </w:r>
    </w:p>
    <w:p w14:paraId="1CF82F55" w14:textId="77777777" w:rsidR="00A97E37" w:rsidRPr="00A155FA" w:rsidRDefault="00A97E37" w:rsidP="00D01A5E">
      <w:pPr>
        <w:ind w:left="540" w:hanging="540"/>
        <w:rPr>
          <w:color w:val="222222"/>
        </w:rPr>
      </w:pPr>
    </w:p>
    <w:p w14:paraId="783C8EAA"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(153) </w:t>
      </w:r>
      <w:r w:rsidRPr="00A155FA">
        <w:rPr>
          <w:rFonts w:ascii="Times New Roman" w:eastAsia="Times New Roman" w:hAnsi="Times New Roman" w:cs="Times New Roman"/>
          <w:b/>
          <w:bCs/>
          <w:color w:val="222222"/>
        </w:rPr>
        <w:t>Stapes (curvature)</w:t>
      </w:r>
      <w:r w:rsidRPr="00A155FA">
        <w:rPr>
          <w:rFonts w:ascii="Times New Roman" w:eastAsia="Times New Roman" w:hAnsi="Times New Roman" w:cs="Times New Roman"/>
          <w:color w:val="222222"/>
        </w:rPr>
        <w:t xml:space="preserve">. Stapes with pronounced </w:t>
      </w:r>
      <w:proofErr w:type="spellStart"/>
      <w:r w:rsidRPr="00A155FA">
        <w:rPr>
          <w:rFonts w:ascii="Times New Roman" w:eastAsia="Times New Roman" w:hAnsi="Times New Roman" w:cs="Times New Roman"/>
          <w:color w:val="222222"/>
        </w:rPr>
        <w:t>dorsodistal</w:t>
      </w:r>
      <w:proofErr w:type="spellEnd"/>
      <w:r w:rsidRPr="00A155FA">
        <w:rPr>
          <w:rFonts w:ascii="Times New Roman" w:eastAsia="Times New Roman" w:hAnsi="Times New Roman" w:cs="Times New Roman"/>
          <w:color w:val="222222"/>
        </w:rPr>
        <w:t xml:space="preserve"> curvature (0), or without such curvature (1).</w:t>
      </w:r>
    </w:p>
    <w:p w14:paraId="463A1834" w14:textId="77777777" w:rsidR="00A97E37" w:rsidRPr="00A155FA" w:rsidRDefault="00A97E37" w:rsidP="00D01A5E">
      <w:pPr>
        <w:ind w:left="540" w:hanging="540"/>
        <w:rPr>
          <w:color w:val="222222"/>
        </w:rPr>
      </w:pPr>
    </w:p>
    <w:p w14:paraId="3DBF53E3"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(154) </w:t>
      </w:r>
      <w:proofErr w:type="spellStart"/>
      <w:r w:rsidRPr="00A155FA">
        <w:rPr>
          <w:rFonts w:ascii="Times New Roman" w:eastAsia="Times New Roman" w:hAnsi="Times New Roman" w:cs="Times New Roman"/>
          <w:b/>
          <w:bCs/>
          <w:color w:val="222222"/>
        </w:rPr>
        <w:t>Ceratobranchials</w:t>
      </w:r>
      <w:proofErr w:type="spellEnd"/>
      <w:r w:rsidRPr="00A155FA">
        <w:rPr>
          <w:rFonts w:ascii="Times New Roman" w:eastAsia="Times New Roman" w:hAnsi="Times New Roman" w:cs="Times New Roman"/>
          <w:color w:val="222222"/>
        </w:rPr>
        <w:t>. Bony elements absent (0), present in adults (1).</w:t>
      </w:r>
    </w:p>
    <w:p w14:paraId="700212DD" w14:textId="77777777" w:rsidR="00A97E37" w:rsidRPr="00A155FA" w:rsidRDefault="00A97E37" w:rsidP="00D01A5E">
      <w:pPr>
        <w:ind w:left="540" w:hanging="540"/>
        <w:rPr>
          <w:color w:val="222222"/>
        </w:rPr>
      </w:pPr>
    </w:p>
    <w:p w14:paraId="1A9A9B9A"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(155) </w:t>
      </w:r>
      <w:r w:rsidRPr="00A155FA">
        <w:rPr>
          <w:rFonts w:ascii="Times New Roman" w:eastAsia="Times New Roman" w:hAnsi="Times New Roman" w:cs="Times New Roman"/>
          <w:b/>
          <w:bCs/>
          <w:color w:val="222222"/>
        </w:rPr>
        <w:t>Basibranchial</w:t>
      </w:r>
      <w:r w:rsidRPr="00A155FA">
        <w:rPr>
          <w:rFonts w:ascii="Times New Roman" w:eastAsia="Times New Roman" w:hAnsi="Times New Roman" w:cs="Times New Roman"/>
          <w:color w:val="222222"/>
        </w:rPr>
        <w:t>. Bony element absent (0), present in adults (1).</w:t>
      </w:r>
    </w:p>
    <w:p w14:paraId="38502B67" w14:textId="77777777" w:rsidR="00A97E37" w:rsidRPr="00A155FA" w:rsidRDefault="00A97E37" w:rsidP="00D01A5E">
      <w:pPr>
        <w:ind w:left="540" w:hanging="540"/>
        <w:rPr>
          <w:color w:val="222222"/>
        </w:rPr>
      </w:pPr>
    </w:p>
    <w:p w14:paraId="769DDAB1"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(156) </w:t>
      </w:r>
      <w:r w:rsidRPr="00A155FA">
        <w:rPr>
          <w:rFonts w:ascii="Times New Roman" w:eastAsia="Times New Roman" w:hAnsi="Times New Roman" w:cs="Times New Roman"/>
          <w:b/>
          <w:bCs/>
          <w:color w:val="222222"/>
        </w:rPr>
        <w:t>Hypobranchial elements</w:t>
      </w:r>
      <w:r w:rsidRPr="00A155FA">
        <w:rPr>
          <w:rFonts w:ascii="Times New Roman" w:eastAsia="Times New Roman" w:hAnsi="Times New Roman" w:cs="Times New Roman"/>
          <w:color w:val="222222"/>
        </w:rPr>
        <w:t>. Bony elements absent (0), present in adults (1).</w:t>
      </w:r>
    </w:p>
    <w:p w14:paraId="20DBB50F" w14:textId="77777777" w:rsidR="00A97E37" w:rsidRPr="00A155FA" w:rsidRDefault="00A97E37" w:rsidP="00D01A5E">
      <w:pPr>
        <w:ind w:left="540" w:hanging="540"/>
        <w:rPr>
          <w:color w:val="222222"/>
        </w:rPr>
      </w:pPr>
    </w:p>
    <w:p w14:paraId="27BDC490"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(157) </w:t>
      </w:r>
      <w:r w:rsidRPr="00A155FA">
        <w:rPr>
          <w:rFonts w:ascii="Times New Roman" w:eastAsia="Times New Roman" w:hAnsi="Times New Roman" w:cs="Times New Roman"/>
          <w:b/>
          <w:bCs/>
          <w:color w:val="222222"/>
        </w:rPr>
        <w:t>Branchial denticles</w:t>
      </w:r>
      <w:r w:rsidRPr="00A155FA">
        <w:rPr>
          <w:rFonts w:ascii="Times New Roman" w:eastAsia="Times New Roman" w:hAnsi="Times New Roman" w:cs="Times New Roman"/>
          <w:color w:val="222222"/>
        </w:rPr>
        <w:t>. Conical and attached to small ossicles in groups of 2–10 (0), or free and with brush-like end (1).</w:t>
      </w:r>
    </w:p>
    <w:p w14:paraId="362A800F" w14:textId="77777777" w:rsidR="00A97E37" w:rsidRPr="00A155FA" w:rsidRDefault="00A97E37" w:rsidP="00D01A5E">
      <w:pPr>
        <w:ind w:left="540" w:hanging="540"/>
        <w:rPr>
          <w:color w:val="222222"/>
        </w:rPr>
      </w:pPr>
    </w:p>
    <w:p w14:paraId="177F9EB0" w14:textId="45786A42"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(158) </w:t>
      </w:r>
      <w:r w:rsidRPr="00A155FA">
        <w:rPr>
          <w:rFonts w:ascii="Times New Roman" w:eastAsia="Times New Roman" w:hAnsi="Times New Roman" w:cs="Times New Roman"/>
          <w:b/>
          <w:bCs/>
          <w:color w:val="222222"/>
        </w:rPr>
        <w:t>Presacral count</w:t>
      </w:r>
      <w:r w:rsidRPr="00A155FA">
        <w:rPr>
          <w:rFonts w:ascii="Times New Roman" w:eastAsia="Times New Roman" w:hAnsi="Times New Roman" w:cs="Times New Roman"/>
          <w:color w:val="222222"/>
        </w:rPr>
        <w:t>. More than 28 positions (0), 23-28 (1), 19–22 (2), or less than 19 (3).</w:t>
      </w:r>
    </w:p>
    <w:p w14:paraId="15F7743F" w14:textId="77777777" w:rsidR="00A97E37" w:rsidRPr="00A155FA" w:rsidRDefault="00A97E37" w:rsidP="00D01A5E">
      <w:pPr>
        <w:ind w:left="540" w:hanging="540"/>
        <w:rPr>
          <w:color w:val="222222"/>
        </w:rPr>
      </w:pPr>
    </w:p>
    <w:p w14:paraId="5133521A"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(159) </w:t>
      </w:r>
      <w:r w:rsidRPr="00A155FA">
        <w:rPr>
          <w:rFonts w:ascii="Times New Roman" w:eastAsia="Times New Roman" w:hAnsi="Times New Roman" w:cs="Times New Roman"/>
          <w:b/>
          <w:bCs/>
          <w:color w:val="222222"/>
        </w:rPr>
        <w:t>Caudal count</w:t>
      </w:r>
      <w:r w:rsidRPr="00A155FA">
        <w:rPr>
          <w:rFonts w:ascii="Times New Roman" w:eastAsia="Times New Roman" w:hAnsi="Times New Roman" w:cs="Times New Roman"/>
          <w:color w:val="222222"/>
        </w:rPr>
        <w:t>. Similar to presacral count or higher (0), or much lower (1).</w:t>
      </w:r>
    </w:p>
    <w:p w14:paraId="38E198A5" w14:textId="77777777" w:rsidR="00A97E37" w:rsidRPr="00A155FA" w:rsidRDefault="00A97E37" w:rsidP="00D01A5E">
      <w:pPr>
        <w:ind w:left="540" w:hanging="540"/>
        <w:rPr>
          <w:color w:val="222222"/>
        </w:rPr>
      </w:pPr>
    </w:p>
    <w:p w14:paraId="41A9CCAE"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(160) </w:t>
      </w:r>
      <w:r w:rsidRPr="00A155FA">
        <w:rPr>
          <w:rFonts w:ascii="Times New Roman" w:eastAsia="Times New Roman" w:hAnsi="Times New Roman" w:cs="Times New Roman"/>
          <w:b/>
          <w:bCs/>
          <w:color w:val="222222"/>
        </w:rPr>
        <w:t>Transverse process (orientation)</w:t>
      </w:r>
      <w:r w:rsidRPr="00A155FA">
        <w:rPr>
          <w:rFonts w:ascii="Times New Roman" w:eastAsia="Times New Roman" w:hAnsi="Times New Roman" w:cs="Times New Roman"/>
          <w:color w:val="222222"/>
        </w:rPr>
        <w:t>. Short, directed posteriorly (0), or distally extended with diapophysis pointing laterally (1).</w:t>
      </w:r>
    </w:p>
    <w:p w14:paraId="2A1E07C7" w14:textId="77777777" w:rsidR="00A97E37" w:rsidRPr="00A155FA" w:rsidRDefault="00A97E37" w:rsidP="00D01A5E">
      <w:pPr>
        <w:ind w:left="540" w:hanging="540"/>
        <w:rPr>
          <w:color w:val="222222"/>
        </w:rPr>
      </w:pPr>
    </w:p>
    <w:p w14:paraId="5D1D2B97"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(161) </w:t>
      </w:r>
      <w:r w:rsidRPr="00A155FA">
        <w:rPr>
          <w:rFonts w:ascii="Times New Roman" w:eastAsia="Times New Roman" w:hAnsi="Times New Roman" w:cs="Times New Roman"/>
          <w:b/>
          <w:bCs/>
          <w:color w:val="222222"/>
        </w:rPr>
        <w:t>Transverse process (length)</w:t>
      </w:r>
      <w:r w:rsidRPr="00A155FA">
        <w:rPr>
          <w:rFonts w:ascii="Times New Roman" w:eastAsia="Times New Roman" w:hAnsi="Times New Roman" w:cs="Times New Roman"/>
          <w:color w:val="222222"/>
        </w:rPr>
        <w:t>. Shorter than dorsal spine is high (0), or markedly longer (1).</w:t>
      </w:r>
    </w:p>
    <w:p w14:paraId="431E38F1" w14:textId="77777777" w:rsidR="00A97E37" w:rsidRPr="00A155FA" w:rsidRDefault="00A97E37" w:rsidP="00D01A5E">
      <w:pPr>
        <w:ind w:left="540" w:hanging="540"/>
        <w:rPr>
          <w:color w:val="222222"/>
        </w:rPr>
      </w:pPr>
    </w:p>
    <w:p w14:paraId="797B3D67"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(162) </w:t>
      </w:r>
      <w:r w:rsidRPr="00A155FA">
        <w:rPr>
          <w:rFonts w:ascii="Times New Roman" w:eastAsia="Times New Roman" w:hAnsi="Times New Roman" w:cs="Times New Roman"/>
          <w:b/>
          <w:bCs/>
          <w:color w:val="222222"/>
        </w:rPr>
        <w:t>Neural spine (height)</w:t>
      </w:r>
      <w:r w:rsidRPr="00A155FA">
        <w:rPr>
          <w:rFonts w:ascii="Times New Roman" w:eastAsia="Times New Roman" w:hAnsi="Times New Roman" w:cs="Times New Roman"/>
          <w:color w:val="222222"/>
        </w:rPr>
        <w:t>. As high as distance between zygapophyses (0), or higher (1).</w:t>
      </w:r>
    </w:p>
    <w:p w14:paraId="07EFA00B" w14:textId="77777777" w:rsidR="00A97E37" w:rsidRPr="00A155FA" w:rsidRDefault="00A97E37" w:rsidP="00D01A5E">
      <w:pPr>
        <w:ind w:left="540" w:hanging="540"/>
        <w:rPr>
          <w:color w:val="222222"/>
        </w:rPr>
      </w:pPr>
    </w:p>
    <w:p w14:paraId="0EDB70C9"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(163) </w:t>
      </w:r>
      <w:r w:rsidRPr="00A155FA">
        <w:rPr>
          <w:rFonts w:ascii="Times New Roman" w:eastAsia="Times New Roman" w:hAnsi="Times New Roman" w:cs="Times New Roman"/>
          <w:b/>
          <w:bCs/>
          <w:color w:val="222222"/>
        </w:rPr>
        <w:t>Intercentrum (shape)</w:t>
      </w:r>
      <w:r w:rsidRPr="00A155FA">
        <w:rPr>
          <w:rFonts w:ascii="Times New Roman" w:eastAsia="Times New Roman" w:hAnsi="Times New Roman" w:cs="Times New Roman"/>
          <w:color w:val="222222"/>
        </w:rPr>
        <w:t>. Presacral intercentra form simple wedges (0); or dorsally closed discs (1); or dorsally closed and elongated cylinders (2).</w:t>
      </w:r>
    </w:p>
    <w:p w14:paraId="138277A2" w14:textId="77777777" w:rsidR="00A97E37" w:rsidRPr="00A155FA" w:rsidRDefault="00A97E37" w:rsidP="00D01A5E">
      <w:pPr>
        <w:ind w:left="540" w:hanging="540"/>
        <w:rPr>
          <w:color w:val="222222"/>
        </w:rPr>
      </w:pPr>
    </w:p>
    <w:p w14:paraId="0F344690"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(164) </w:t>
      </w:r>
      <w:r w:rsidRPr="00A155FA">
        <w:rPr>
          <w:rFonts w:ascii="Times New Roman" w:eastAsia="Times New Roman" w:hAnsi="Times New Roman" w:cs="Times New Roman"/>
          <w:b/>
          <w:bCs/>
          <w:color w:val="222222"/>
        </w:rPr>
        <w:t>Intercentrum (width)</w:t>
      </w:r>
      <w:r w:rsidRPr="00A155FA">
        <w:rPr>
          <w:rFonts w:ascii="Times New Roman" w:eastAsia="Times New Roman" w:hAnsi="Times New Roman" w:cs="Times New Roman"/>
          <w:color w:val="222222"/>
        </w:rPr>
        <w:t>. Chordal canal wider than intercentrum high (0), narrower (1).</w:t>
      </w:r>
    </w:p>
    <w:p w14:paraId="6383CB71" w14:textId="77777777" w:rsidR="00A97E37" w:rsidRPr="00A155FA" w:rsidRDefault="00A97E37" w:rsidP="00D01A5E">
      <w:pPr>
        <w:ind w:left="540" w:hanging="540"/>
        <w:rPr>
          <w:color w:val="222222"/>
        </w:rPr>
      </w:pPr>
    </w:p>
    <w:p w14:paraId="522092AE"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(165) </w:t>
      </w:r>
      <w:r w:rsidRPr="00A155FA">
        <w:rPr>
          <w:rFonts w:ascii="Times New Roman" w:eastAsia="Times New Roman" w:hAnsi="Times New Roman" w:cs="Times New Roman"/>
          <w:b/>
          <w:bCs/>
          <w:color w:val="222222"/>
        </w:rPr>
        <w:t>Intercentrum (ventral surface)</w:t>
      </w:r>
      <w:r w:rsidRPr="00A155FA">
        <w:rPr>
          <w:rFonts w:ascii="Times New Roman" w:eastAsia="Times New Roman" w:hAnsi="Times New Roman" w:cs="Times New Roman"/>
          <w:color w:val="222222"/>
        </w:rPr>
        <w:t>. Ventral surface shorter than wide in ventral view, giving transversely rectangular outline (0), or as long as wide, quadrangular (1).</w:t>
      </w:r>
    </w:p>
    <w:p w14:paraId="46A7F4E1" w14:textId="77777777" w:rsidR="00A97E37" w:rsidRPr="00A155FA" w:rsidRDefault="00A97E37" w:rsidP="00D01A5E">
      <w:pPr>
        <w:ind w:left="540" w:hanging="540"/>
        <w:rPr>
          <w:color w:val="222222"/>
        </w:rPr>
      </w:pPr>
    </w:p>
    <w:p w14:paraId="346A2325"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(166) </w:t>
      </w:r>
      <w:r w:rsidRPr="00A155FA">
        <w:rPr>
          <w:rFonts w:ascii="Times New Roman" w:eastAsia="Times New Roman" w:hAnsi="Times New Roman" w:cs="Times New Roman"/>
          <w:b/>
          <w:bCs/>
          <w:color w:val="222222"/>
        </w:rPr>
        <w:t>Intercentrum anterior surface</w:t>
      </w:r>
      <w:r w:rsidRPr="00A155FA">
        <w:rPr>
          <w:rFonts w:ascii="Times New Roman" w:eastAsia="Times New Roman" w:hAnsi="Times New Roman" w:cs="Times New Roman"/>
          <w:color w:val="222222"/>
        </w:rPr>
        <w:t>. Always concave (0), or convex at least in some presacral centra (1).</w:t>
      </w:r>
    </w:p>
    <w:p w14:paraId="66D32040" w14:textId="77777777" w:rsidR="00A97E37" w:rsidRPr="00A155FA" w:rsidRDefault="00A97E37" w:rsidP="00D01A5E">
      <w:pPr>
        <w:ind w:left="540" w:hanging="540"/>
        <w:rPr>
          <w:color w:val="222222"/>
        </w:rPr>
      </w:pPr>
    </w:p>
    <w:p w14:paraId="4C8920F9"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(167) </w:t>
      </w:r>
      <w:r w:rsidRPr="00A155FA">
        <w:rPr>
          <w:rFonts w:ascii="Times New Roman" w:eastAsia="Times New Roman" w:hAnsi="Times New Roman" w:cs="Times New Roman"/>
          <w:b/>
          <w:bCs/>
          <w:color w:val="222222"/>
        </w:rPr>
        <w:t>Parapophysis</w:t>
      </w:r>
      <w:r w:rsidRPr="00A155FA">
        <w:rPr>
          <w:rFonts w:ascii="Times New Roman" w:eastAsia="Times New Roman" w:hAnsi="Times New Roman" w:cs="Times New Roman"/>
          <w:color w:val="222222"/>
        </w:rPr>
        <w:t>. Segmental (0), or intersegmental (1).</w:t>
      </w:r>
    </w:p>
    <w:p w14:paraId="43C2D59C" w14:textId="77777777" w:rsidR="00A97E37" w:rsidRPr="00A155FA" w:rsidRDefault="00A97E37" w:rsidP="00D01A5E">
      <w:pPr>
        <w:ind w:left="540" w:hanging="540"/>
        <w:rPr>
          <w:color w:val="222222"/>
        </w:rPr>
      </w:pPr>
    </w:p>
    <w:p w14:paraId="2489A3C1"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(168) </w:t>
      </w:r>
      <w:r w:rsidRPr="00A155FA">
        <w:rPr>
          <w:rFonts w:ascii="Times New Roman" w:eastAsia="Times New Roman" w:hAnsi="Times New Roman" w:cs="Times New Roman"/>
          <w:b/>
          <w:bCs/>
          <w:color w:val="222222"/>
        </w:rPr>
        <w:t>Pleurocentrum (presence)</w:t>
      </w:r>
      <w:r w:rsidRPr="00A155FA">
        <w:rPr>
          <w:rFonts w:ascii="Times New Roman" w:eastAsia="Times New Roman" w:hAnsi="Times New Roman" w:cs="Times New Roman"/>
          <w:color w:val="222222"/>
        </w:rPr>
        <w:t>. Ossified (0), unossified (1).</w:t>
      </w:r>
    </w:p>
    <w:p w14:paraId="4F5BF409" w14:textId="77777777" w:rsidR="00A97E37" w:rsidRPr="00A155FA" w:rsidRDefault="00A97E37" w:rsidP="00D01A5E">
      <w:pPr>
        <w:ind w:left="540" w:hanging="540"/>
        <w:rPr>
          <w:color w:val="222222"/>
        </w:rPr>
      </w:pPr>
    </w:p>
    <w:p w14:paraId="15ADDDB5"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(169) </w:t>
      </w:r>
      <w:r w:rsidRPr="00A155FA">
        <w:rPr>
          <w:rFonts w:ascii="Times New Roman" w:eastAsia="Times New Roman" w:hAnsi="Times New Roman" w:cs="Times New Roman"/>
          <w:b/>
          <w:bCs/>
          <w:color w:val="222222"/>
        </w:rPr>
        <w:t>Pleurocentrum (lateral surface)</w:t>
      </w:r>
      <w:r w:rsidRPr="00A155FA">
        <w:rPr>
          <w:rFonts w:ascii="Times New Roman" w:eastAsia="Times New Roman" w:hAnsi="Times New Roman" w:cs="Times New Roman"/>
          <w:color w:val="222222"/>
        </w:rPr>
        <w:t>. As large as that of intercentrum (0), or smaller (1).</w:t>
      </w:r>
    </w:p>
    <w:p w14:paraId="4A1F1376" w14:textId="77777777" w:rsidR="00A97E37" w:rsidRPr="00A155FA" w:rsidRDefault="00A97E37" w:rsidP="00D01A5E">
      <w:pPr>
        <w:ind w:left="540" w:hanging="540"/>
        <w:rPr>
          <w:color w:val="222222"/>
        </w:rPr>
      </w:pPr>
    </w:p>
    <w:p w14:paraId="253A843D" w14:textId="5869E32A"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(170) </w:t>
      </w:r>
      <w:r w:rsidRPr="00A155FA">
        <w:rPr>
          <w:rFonts w:ascii="Times New Roman" w:eastAsia="Times New Roman" w:hAnsi="Times New Roman" w:cs="Times New Roman"/>
          <w:b/>
          <w:bCs/>
          <w:color w:val="222222"/>
        </w:rPr>
        <w:t>Pleurocentrum (ventral extension)</w:t>
      </w:r>
      <w:r w:rsidRPr="00A155FA">
        <w:rPr>
          <w:rFonts w:ascii="Times New Roman" w:eastAsia="Times New Roman" w:hAnsi="Times New Roman" w:cs="Times New Roman"/>
          <w:color w:val="222222"/>
        </w:rPr>
        <w:t xml:space="preserve">. Wedged between successive intercentra and not reaching ventral margin of intercentra (0), or pleurocentra ventrally expanded to near each other (1), ventrally fused to form a single cylindrical element (2), or fused to intercentrum to give </w:t>
      </w:r>
      <w:proofErr w:type="spellStart"/>
      <w:r w:rsidRPr="00A155FA">
        <w:rPr>
          <w:rFonts w:ascii="Times New Roman" w:eastAsia="Times New Roman" w:hAnsi="Times New Roman" w:cs="Times New Roman"/>
          <w:color w:val="222222"/>
        </w:rPr>
        <w:t>holospondylus</w:t>
      </w:r>
      <w:proofErr w:type="spellEnd"/>
      <w:r w:rsidRPr="00A155FA">
        <w:rPr>
          <w:rFonts w:ascii="Times New Roman" w:eastAsia="Times New Roman" w:hAnsi="Times New Roman" w:cs="Times New Roman"/>
          <w:color w:val="222222"/>
        </w:rPr>
        <w:t xml:space="preserve"> condition (3).</w:t>
      </w:r>
    </w:p>
    <w:p w14:paraId="50EFE0FD" w14:textId="77777777" w:rsidR="00A97E37" w:rsidRPr="00A155FA" w:rsidRDefault="00A97E37" w:rsidP="00D01A5E">
      <w:pPr>
        <w:ind w:left="540" w:hanging="540"/>
        <w:rPr>
          <w:color w:val="222222"/>
        </w:rPr>
      </w:pPr>
    </w:p>
    <w:p w14:paraId="1D973908" w14:textId="51BB654F"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(171) </w:t>
      </w:r>
      <w:r w:rsidRPr="00A155FA">
        <w:rPr>
          <w:rFonts w:ascii="Times New Roman" w:eastAsia="Times New Roman" w:hAnsi="Times New Roman" w:cs="Times New Roman"/>
          <w:b/>
          <w:bCs/>
          <w:color w:val="222222"/>
        </w:rPr>
        <w:t>Ribs (curvature)</w:t>
      </w:r>
      <w:r w:rsidRPr="00A155FA">
        <w:rPr>
          <w:rFonts w:ascii="Times New Roman" w:eastAsia="Times New Roman" w:hAnsi="Times New Roman" w:cs="Times New Roman"/>
          <w:color w:val="222222"/>
        </w:rPr>
        <w:t>. Thoracic ribs curved distoventrally (0), or without distal curvature (1).</w:t>
      </w:r>
    </w:p>
    <w:p w14:paraId="4D73A9B1" w14:textId="77777777" w:rsidR="00A97E37" w:rsidRPr="00A155FA" w:rsidRDefault="00A97E37" w:rsidP="00D01A5E">
      <w:pPr>
        <w:ind w:left="540" w:hanging="540"/>
        <w:rPr>
          <w:color w:val="222222"/>
        </w:rPr>
      </w:pPr>
    </w:p>
    <w:p w14:paraId="6941D792" w14:textId="358862CA"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(172) </w:t>
      </w:r>
      <w:r w:rsidRPr="00A155FA">
        <w:rPr>
          <w:rFonts w:ascii="Times New Roman" w:eastAsia="Times New Roman" w:hAnsi="Times New Roman" w:cs="Times New Roman"/>
          <w:b/>
          <w:bCs/>
          <w:color w:val="222222"/>
        </w:rPr>
        <w:t>Ribs (ventral extension)</w:t>
      </w:r>
      <w:r w:rsidRPr="00A155FA">
        <w:rPr>
          <w:rFonts w:ascii="Times New Roman" w:eastAsia="Times New Roman" w:hAnsi="Times New Roman" w:cs="Times New Roman"/>
          <w:color w:val="222222"/>
        </w:rPr>
        <w:t>. Rib heads (tuberculum and capitulum) confluent (0), clearly set off and widely separated in mid-trunk region (1), or uncertain ‘lepospondyl’ condition (2).</w:t>
      </w:r>
    </w:p>
    <w:p w14:paraId="1DF7E7F0" w14:textId="77777777" w:rsidR="00A97E37" w:rsidRPr="00A155FA" w:rsidRDefault="00A97E37" w:rsidP="00D01A5E">
      <w:pPr>
        <w:ind w:left="540" w:hanging="540"/>
        <w:rPr>
          <w:color w:val="222222"/>
        </w:rPr>
      </w:pPr>
    </w:p>
    <w:p w14:paraId="4A89AB3E"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(173) </w:t>
      </w:r>
      <w:r w:rsidRPr="00A155FA">
        <w:rPr>
          <w:rFonts w:ascii="Times New Roman" w:eastAsia="Times New Roman" w:hAnsi="Times New Roman" w:cs="Times New Roman"/>
          <w:b/>
          <w:bCs/>
          <w:color w:val="222222"/>
        </w:rPr>
        <w:t>Ribs (uncinate blades)</w:t>
      </w:r>
      <w:r w:rsidRPr="00A155FA">
        <w:rPr>
          <w:rFonts w:ascii="Times New Roman" w:eastAsia="Times New Roman" w:hAnsi="Times New Roman" w:cs="Times New Roman"/>
          <w:color w:val="222222"/>
        </w:rPr>
        <w:t>. If present, small and spine-like (0), or extensive and blade-like (1).</w:t>
      </w:r>
    </w:p>
    <w:p w14:paraId="1E7B4730" w14:textId="77777777" w:rsidR="00A97E37" w:rsidRPr="00A155FA" w:rsidRDefault="00A97E37" w:rsidP="00D01A5E">
      <w:pPr>
        <w:ind w:left="540" w:hanging="540"/>
        <w:rPr>
          <w:color w:val="222222"/>
        </w:rPr>
      </w:pPr>
    </w:p>
    <w:p w14:paraId="7A66B1DC"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(174) </w:t>
      </w:r>
      <w:r w:rsidRPr="00A155FA">
        <w:rPr>
          <w:rFonts w:ascii="Times New Roman" w:eastAsia="Times New Roman" w:hAnsi="Times New Roman" w:cs="Times New Roman"/>
          <w:b/>
          <w:bCs/>
          <w:color w:val="222222"/>
        </w:rPr>
        <w:t>Ribs (uncinate spines)</w:t>
      </w:r>
      <w:r w:rsidRPr="00A155FA">
        <w:rPr>
          <w:rFonts w:ascii="Times New Roman" w:eastAsia="Times New Roman" w:hAnsi="Times New Roman" w:cs="Times New Roman"/>
          <w:color w:val="222222"/>
        </w:rPr>
        <w:t>. Short (0), or elongated, as long as shaft (1).</w:t>
      </w:r>
    </w:p>
    <w:p w14:paraId="50C23251" w14:textId="77777777" w:rsidR="00A97E37" w:rsidRPr="00A155FA" w:rsidRDefault="00A97E37" w:rsidP="00D01A5E">
      <w:pPr>
        <w:ind w:left="540" w:hanging="540"/>
        <w:rPr>
          <w:color w:val="222222"/>
        </w:rPr>
      </w:pPr>
    </w:p>
    <w:p w14:paraId="45112EC2"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(175) </w:t>
      </w:r>
      <w:r w:rsidRPr="00A155FA">
        <w:rPr>
          <w:rFonts w:ascii="Times New Roman" w:eastAsia="Times New Roman" w:hAnsi="Times New Roman" w:cs="Times New Roman"/>
          <w:b/>
          <w:bCs/>
          <w:color w:val="222222"/>
        </w:rPr>
        <w:t>Cleithrum</w:t>
      </w:r>
      <w:r w:rsidRPr="00A155FA">
        <w:rPr>
          <w:rFonts w:ascii="Times New Roman" w:eastAsia="Times New Roman" w:hAnsi="Times New Roman" w:cs="Times New Roman"/>
          <w:color w:val="222222"/>
        </w:rPr>
        <w:t>. With broadened dorsal head region (0), or a simple rod (1).</w:t>
      </w:r>
    </w:p>
    <w:p w14:paraId="3F3BA071" w14:textId="77777777" w:rsidR="00A97E37" w:rsidRPr="00A155FA" w:rsidRDefault="00A97E37" w:rsidP="00D01A5E">
      <w:pPr>
        <w:ind w:left="540" w:hanging="540"/>
        <w:rPr>
          <w:color w:val="222222"/>
        </w:rPr>
      </w:pPr>
    </w:p>
    <w:p w14:paraId="6D86F254"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(176) </w:t>
      </w:r>
      <w:r w:rsidRPr="00A155FA">
        <w:rPr>
          <w:rFonts w:ascii="Times New Roman" w:eastAsia="Times New Roman" w:hAnsi="Times New Roman" w:cs="Times New Roman"/>
          <w:b/>
          <w:bCs/>
          <w:color w:val="222222"/>
        </w:rPr>
        <w:t>Cleithrum</w:t>
      </w:r>
      <w:r w:rsidRPr="00A155FA">
        <w:rPr>
          <w:rFonts w:ascii="Times New Roman" w:eastAsia="Times New Roman" w:hAnsi="Times New Roman" w:cs="Times New Roman"/>
          <w:color w:val="222222"/>
        </w:rPr>
        <w:t>. Head with slightly convex or straight anterior rim (0), or with pronounced anterior projection (1).</w:t>
      </w:r>
    </w:p>
    <w:p w14:paraId="6D0B7434" w14:textId="77777777" w:rsidR="00A97E37" w:rsidRPr="00A155FA" w:rsidRDefault="00A97E37" w:rsidP="00D01A5E">
      <w:pPr>
        <w:ind w:left="540" w:hanging="540"/>
        <w:rPr>
          <w:color w:val="222222"/>
        </w:rPr>
      </w:pPr>
    </w:p>
    <w:p w14:paraId="6B75DA1C"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(177) </w:t>
      </w:r>
      <w:r w:rsidRPr="00A155FA">
        <w:rPr>
          <w:rFonts w:ascii="Times New Roman" w:eastAsia="Times New Roman" w:hAnsi="Times New Roman" w:cs="Times New Roman"/>
          <w:b/>
          <w:bCs/>
          <w:color w:val="222222"/>
        </w:rPr>
        <w:t>Cleithrum</w:t>
      </w:r>
      <w:r w:rsidRPr="00A155FA">
        <w:rPr>
          <w:rFonts w:ascii="Times New Roman" w:eastAsia="Times New Roman" w:hAnsi="Times New Roman" w:cs="Times New Roman"/>
          <w:color w:val="222222"/>
        </w:rPr>
        <w:t>. Dorsal head region confined to anterior rim of scapula (0), or posteriorly extended to cover dorsal rim of scapula (1).</w:t>
      </w:r>
    </w:p>
    <w:p w14:paraId="233D61AE" w14:textId="77777777" w:rsidR="00A97E37" w:rsidRPr="00A155FA" w:rsidRDefault="00A97E37" w:rsidP="00D01A5E">
      <w:pPr>
        <w:ind w:left="540" w:hanging="540"/>
        <w:rPr>
          <w:color w:val="222222"/>
        </w:rPr>
      </w:pPr>
    </w:p>
    <w:p w14:paraId="04D90D48"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(178) </w:t>
      </w:r>
      <w:r w:rsidRPr="00A155FA">
        <w:rPr>
          <w:rFonts w:ascii="Times New Roman" w:eastAsia="Times New Roman" w:hAnsi="Times New Roman" w:cs="Times New Roman"/>
          <w:b/>
          <w:bCs/>
          <w:color w:val="222222"/>
        </w:rPr>
        <w:t>Clavicle (ventral blade)</w:t>
      </w:r>
      <w:r w:rsidRPr="00A155FA">
        <w:rPr>
          <w:rFonts w:ascii="Times New Roman" w:eastAsia="Times New Roman" w:hAnsi="Times New Roman" w:cs="Times New Roman"/>
          <w:color w:val="222222"/>
        </w:rPr>
        <w:t>. Wide, triangular, overlapping interclavicle broadly (0), or slender, with minor overlap (0).</w:t>
      </w:r>
    </w:p>
    <w:p w14:paraId="15DF380F" w14:textId="77777777" w:rsidR="00A97E37" w:rsidRPr="00A155FA" w:rsidRDefault="00A97E37" w:rsidP="00D01A5E">
      <w:pPr>
        <w:ind w:left="540" w:hanging="540"/>
        <w:rPr>
          <w:color w:val="222222"/>
        </w:rPr>
      </w:pPr>
    </w:p>
    <w:p w14:paraId="2F765411"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(179) </w:t>
      </w:r>
      <w:r w:rsidRPr="00A155FA">
        <w:rPr>
          <w:rFonts w:ascii="Times New Roman" w:eastAsia="Times New Roman" w:hAnsi="Times New Roman" w:cs="Times New Roman"/>
          <w:b/>
          <w:bCs/>
          <w:color w:val="222222"/>
        </w:rPr>
        <w:t>Interclavicle (length)</w:t>
      </w:r>
      <w:r w:rsidRPr="00A155FA">
        <w:rPr>
          <w:rFonts w:ascii="Times New Roman" w:eastAsia="Times New Roman" w:hAnsi="Times New Roman" w:cs="Times New Roman"/>
          <w:color w:val="222222"/>
        </w:rPr>
        <w:t>. Shorter than posterior skull (0), or substantially longer (1).</w:t>
      </w:r>
    </w:p>
    <w:p w14:paraId="6983E7FD" w14:textId="77777777" w:rsidR="00A97E37" w:rsidRPr="00A155FA" w:rsidRDefault="00A97E37" w:rsidP="00D01A5E">
      <w:pPr>
        <w:ind w:left="540" w:hanging="540"/>
        <w:rPr>
          <w:color w:val="222222"/>
        </w:rPr>
      </w:pPr>
    </w:p>
    <w:p w14:paraId="0467D09F"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(180) </w:t>
      </w:r>
      <w:r w:rsidRPr="00A155FA">
        <w:rPr>
          <w:rFonts w:ascii="Times New Roman" w:eastAsia="Times New Roman" w:hAnsi="Times New Roman" w:cs="Times New Roman"/>
          <w:b/>
          <w:bCs/>
          <w:color w:val="222222"/>
        </w:rPr>
        <w:t>Interclavicle (ontogeny)</w:t>
      </w:r>
      <w:r w:rsidRPr="00A155FA">
        <w:rPr>
          <w:rFonts w:ascii="Times New Roman" w:eastAsia="Times New Roman" w:hAnsi="Times New Roman" w:cs="Times New Roman"/>
          <w:color w:val="222222"/>
        </w:rPr>
        <w:t>. Without major proportional change in ontogeny (0), or</w:t>
      </w:r>
    </w:p>
    <w:p w14:paraId="1DBB12F8" w14:textId="77777777" w:rsidR="00A97E37" w:rsidRPr="00A155FA" w:rsidRDefault="00A97E37" w:rsidP="00D01A5E">
      <w:pPr>
        <w:pStyle w:val="ListParagraph"/>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decreasing proportionally relative to skull length (1).</w:t>
      </w:r>
    </w:p>
    <w:p w14:paraId="2CD37834" w14:textId="77777777" w:rsidR="00A97E37" w:rsidRPr="00A155FA" w:rsidRDefault="00A97E37" w:rsidP="00D01A5E">
      <w:pPr>
        <w:ind w:left="540" w:hanging="540"/>
        <w:rPr>
          <w:color w:val="222222"/>
        </w:rPr>
      </w:pPr>
    </w:p>
    <w:p w14:paraId="47B74100"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(181) </w:t>
      </w:r>
      <w:r w:rsidRPr="00A155FA">
        <w:rPr>
          <w:rFonts w:ascii="Times New Roman" w:eastAsia="Times New Roman" w:hAnsi="Times New Roman" w:cs="Times New Roman"/>
          <w:b/>
          <w:bCs/>
          <w:color w:val="222222"/>
        </w:rPr>
        <w:t>Interclavicle (central ornamented area)</w:t>
      </w:r>
      <w:r w:rsidRPr="00A155FA">
        <w:rPr>
          <w:rFonts w:ascii="Times New Roman" w:eastAsia="Times New Roman" w:hAnsi="Times New Roman" w:cs="Times New Roman"/>
          <w:color w:val="222222"/>
        </w:rPr>
        <w:t>. Rhomboidal (0), or pentagonal and posteriorly widest (1).</w:t>
      </w:r>
    </w:p>
    <w:p w14:paraId="5C457C3C" w14:textId="77777777" w:rsidR="00A97E37" w:rsidRPr="00A155FA" w:rsidRDefault="00A97E37" w:rsidP="00D01A5E">
      <w:pPr>
        <w:ind w:left="540" w:hanging="540"/>
        <w:rPr>
          <w:color w:val="222222"/>
        </w:rPr>
      </w:pPr>
    </w:p>
    <w:p w14:paraId="70BBDE77"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(182) </w:t>
      </w:r>
      <w:r w:rsidRPr="00A155FA">
        <w:rPr>
          <w:rFonts w:ascii="Times New Roman" w:eastAsia="Times New Roman" w:hAnsi="Times New Roman" w:cs="Times New Roman"/>
          <w:b/>
          <w:bCs/>
          <w:color w:val="222222"/>
        </w:rPr>
        <w:t>Interclavicle (proportions)</w:t>
      </w:r>
      <w:r w:rsidRPr="00A155FA">
        <w:rPr>
          <w:rFonts w:ascii="Times New Roman" w:eastAsia="Times New Roman" w:hAnsi="Times New Roman" w:cs="Times New Roman"/>
          <w:color w:val="222222"/>
        </w:rPr>
        <w:t>. As long as wide (0), or 1.3 times as long as wide (1), or more than twice as long as wide (2).</w:t>
      </w:r>
    </w:p>
    <w:p w14:paraId="72525ECF" w14:textId="77777777" w:rsidR="00A97E37" w:rsidRPr="00A155FA" w:rsidRDefault="00A97E37" w:rsidP="00D01A5E">
      <w:pPr>
        <w:ind w:left="540" w:hanging="540"/>
        <w:rPr>
          <w:color w:val="222222"/>
        </w:rPr>
      </w:pPr>
    </w:p>
    <w:p w14:paraId="5D0C1479"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(183) </w:t>
      </w:r>
      <w:r w:rsidRPr="00A155FA">
        <w:rPr>
          <w:rFonts w:ascii="Times New Roman" w:eastAsia="Times New Roman" w:hAnsi="Times New Roman" w:cs="Times New Roman"/>
          <w:b/>
          <w:bCs/>
          <w:color w:val="222222"/>
        </w:rPr>
        <w:t>Interclavicle (posterior margin)</w:t>
      </w:r>
      <w:r w:rsidRPr="00A155FA">
        <w:rPr>
          <w:rFonts w:ascii="Times New Roman" w:eastAsia="Times New Roman" w:hAnsi="Times New Roman" w:cs="Times New Roman"/>
          <w:color w:val="222222"/>
        </w:rPr>
        <w:t>. With posterior process (0), or transversely straight (1).</w:t>
      </w:r>
    </w:p>
    <w:p w14:paraId="337A47BD" w14:textId="77777777" w:rsidR="00A97E37" w:rsidRPr="00A155FA" w:rsidRDefault="00A97E37" w:rsidP="00D01A5E">
      <w:pPr>
        <w:ind w:left="540" w:hanging="540"/>
        <w:rPr>
          <w:color w:val="222222"/>
        </w:rPr>
      </w:pPr>
    </w:p>
    <w:p w14:paraId="751EF912"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(184) </w:t>
      </w:r>
      <w:r w:rsidRPr="00A155FA">
        <w:rPr>
          <w:rFonts w:ascii="Times New Roman" w:eastAsia="Times New Roman" w:hAnsi="Times New Roman" w:cs="Times New Roman"/>
          <w:b/>
          <w:bCs/>
          <w:color w:val="222222"/>
        </w:rPr>
        <w:t>Interclavicle (anterior margin)</w:t>
      </w:r>
      <w:r w:rsidRPr="00A155FA">
        <w:rPr>
          <w:rFonts w:ascii="Times New Roman" w:eastAsia="Times New Roman" w:hAnsi="Times New Roman" w:cs="Times New Roman"/>
          <w:color w:val="222222"/>
        </w:rPr>
        <w:t>. Serrated (0), or smooth (1).</w:t>
      </w:r>
    </w:p>
    <w:p w14:paraId="40461875" w14:textId="77777777" w:rsidR="00A97E37" w:rsidRPr="00A155FA" w:rsidRDefault="00A97E37" w:rsidP="00D01A5E">
      <w:pPr>
        <w:ind w:left="540" w:hanging="540"/>
        <w:rPr>
          <w:color w:val="222222"/>
        </w:rPr>
      </w:pPr>
    </w:p>
    <w:p w14:paraId="5C251027"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(185) </w:t>
      </w:r>
      <w:r w:rsidRPr="00A155FA">
        <w:rPr>
          <w:rFonts w:ascii="Times New Roman" w:eastAsia="Times New Roman" w:hAnsi="Times New Roman" w:cs="Times New Roman"/>
          <w:b/>
          <w:bCs/>
          <w:color w:val="222222"/>
        </w:rPr>
        <w:t>Interclavicle (anterior stylus)</w:t>
      </w:r>
      <w:r w:rsidRPr="00A155FA">
        <w:rPr>
          <w:rFonts w:ascii="Times New Roman" w:eastAsia="Times New Roman" w:hAnsi="Times New Roman" w:cs="Times New Roman"/>
          <w:color w:val="222222"/>
        </w:rPr>
        <w:t xml:space="preserve">. Anterior portion of interclavicle variably shaped but not longer than posterior one, as measured by the </w:t>
      </w:r>
      <w:proofErr w:type="spellStart"/>
      <w:r w:rsidRPr="00A155FA">
        <w:rPr>
          <w:rFonts w:ascii="Times New Roman" w:eastAsia="Times New Roman" w:hAnsi="Times New Roman" w:cs="Times New Roman"/>
          <w:color w:val="222222"/>
        </w:rPr>
        <w:t>centre</w:t>
      </w:r>
      <w:proofErr w:type="spellEnd"/>
      <w:r w:rsidRPr="00A155FA">
        <w:rPr>
          <w:rFonts w:ascii="Times New Roman" w:eastAsia="Times New Roman" w:hAnsi="Times New Roman" w:cs="Times New Roman"/>
          <w:color w:val="222222"/>
        </w:rPr>
        <w:t xml:space="preserve"> of ornamentation (0), or</w:t>
      </w:r>
    </w:p>
    <w:p w14:paraId="14E9853B"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substantially longer than posterior one (1).</w:t>
      </w:r>
    </w:p>
    <w:p w14:paraId="5DA8F2D6" w14:textId="77777777" w:rsidR="00A97E37" w:rsidRPr="00A155FA" w:rsidRDefault="00A97E37" w:rsidP="00D01A5E">
      <w:pPr>
        <w:ind w:left="540" w:hanging="540"/>
        <w:rPr>
          <w:color w:val="222222"/>
        </w:rPr>
      </w:pPr>
    </w:p>
    <w:p w14:paraId="3578E3BE"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(186) </w:t>
      </w:r>
      <w:r w:rsidRPr="00A155FA">
        <w:rPr>
          <w:rFonts w:ascii="Times New Roman" w:eastAsia="Times New Roman" w:hAnsi="Times New Roman" w:cs="Times New Roman"/>
          <w:b/>
          <w:bCs/>
          <w:color w:val="222222"/>
        </w:rPr>
        <w:t>Interclavicle (posterior stylus)</w:t>
      </w:r>
      <w:r w:rsidRPr="00A155FA">
        <w:rPr>
          <w:rFonts w:ascii="Times New Roman" w:eastAsia="Times New Roman" w:hAnsi="Times New Roman" w:cs="Times New Roman"/>
          <w:color w:val="222222"/>
        </w:rPr>
        <w:t>. Posterior end rounded or blunt (0), or with elongated stylus or parasternal process (1).</w:t>
      </w:r>
    </w:p>
    <w:p w14:paraId="79C5CE5B" w14:textId="77777777" w:rsidR="00A97E37" w:rsidRPr="00A155FA" w:rsidRDefault="00A97E37" w:rsidP="00D01A5E">
      <w:pPr>
        <w:ind w:left="540" w:hanging="540"/>
        <w:rPr>
          <w:color w:val="222222"/>
        </w:rPr>
      </w:pPr>
    </w:p>
    <w:p w14:paraId="348A6D33"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(187) </w:t>
      </w:r>
      <w:r w:rsidRPr="00A155FA">
        <w:rPr>
          <w:rFonts w:ascii="Times New Roman" w:eastAsia="Times New Roman" w:hAnsi="Times New Roman" w:cs="Times New Roman"/>
          <w:b/>
          <w:bCs/>
          <w:color w:val="222222"/>
        </w:rPr>
        <w:t>Interclavicle, clavicles</w:t>
      </w:r>
      <w:r w:rsidRPr="00A155FA">
        <w:rPr>
          <w:rFonts w:ascii="Times New Roman" w:eastAsia="Times New Roman" w:hAnsi="Times New Roman" w:cs="Times New Roman"/>
          <w:color w:val="222222"/>
        </w:rPr>
        <w:t>. Clavicles broadly separated by interclavicle ventrally (0), or leaving only narrow strip of interclavicle in between (1), or in contact and excluding</w:t>
      </w:r>
    </w:p>
    <w:p w14:paraId="3D8C05FC"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anterior part of interclavicle from ventral exposure (2).</w:t>
      </w:r>
    </w:p>
    <w:p w14:paraId="3FCE60D3" w14:textId="77777777" w:rsidR="00A97E37" w:rsidRPr="00A155FA" w:rsidRDefault="00A97E37" w:rsidP="00D01A5E">
      <w:pPr>
        <w:ind w:left="540" w:hanging="540"/>
        <w:rPr>
          <w:color w:val="222222"/>
        </w:rPr>
      </w:pPr>
    </w:p>
    <w:p w14:paraId="6B65550B"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(188) </w:t>
      </w:r>
      <w:r w:rsidRPr="00A155FA">
        <w:rPr>
          <w:rFonts w:ascii="Times New Roman" w:eastAsia="Times New Roman" w:hAnsi="Times New Roman" w:cs="Times New Roman"/>
          <w:b/>
          <w:bCs/>
          <w:color w:val="222222"/>
        </w:rPr>
        <w:t>Scapula (glenoid facet)</w:t>
      </w:r>
      <w:r w:rsidRPr="00A155FA">
        <w:rPr>
          <w:rFonts w:ascii="Times New Roman" w:eastAsia="Times New Roman" w:hAnsi="Times New Roman" w:cs="Times New Roman"/>
          <w:color w:val="222222"/>
        </w:rPr>
        <w:t>. Ossified (0), or unossified in adults (1).</w:t>
      </w:r>
    </w:p>
    <w:p w14:paraId="297C7165" w14:textId="77777777" w:rsidR="00A97E37" w:rsidRPr="00A155FA" w:rsidRDefault="00A97E37" w:rsidP="00D01A5E">
      <w:pPr>
        <w:ind w:left="540" w:hanging="540"/>
        <w:rPr>
          <w:color w:val="222222"/>
        </w:rPr>
      </w:pPr>
    </w:p>
    <w:p w14:paraId="261706D6"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(189) </w:t>
      </w:r>
      <w:r w:rsidRPr="00A155FA">
        <w:rPr>
          <w:rFonts w:ascii="Times New Roman" w:eastAsia="Times New Roman" w:hAnsi="Times New Roman" w:cs="Times New Roman"/>
          <w:b/>
          <w:bCs/>
          <w:color w:val="222222"/>
        </w:rPr>
        <w:t>Scapula (height)</w:t>
      </w:r>
      <w:r w:rsidRPr="00A155FA">
        <w:rPr>
          <w:rFonts w:ascii="Times New Roman" w:eastAsia="Times New Roman" w:hAnsi="Times New Roman" w:cs="Times New Roman"/>
          <w:color w:val="222222"/>
        </w:rPr>
        <w:t>. Maximally two times longer (higher) than wide (0), or dorsally extended and fully ossified, three times higher than wide (1).</w:t>
      </w:r>
    </w:p>
    <w:p w14:paraId="5C6DFCBB" w14:textId="77777777" w:rsidR="00A97E37" w:rsidRPr="00A155FA" w:rsidRDefault="00A97E37" w:rsidP="00D01A5E">
      <w:pPr>
        <w:ind w:left="540" w:hanging="540"/>
        <w:rPr>
          <w:color w:val="222222"/>
        </w:rPr>
      </w:pPr>
    </w:p>
    <w:p w14:paraId="02858C98"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(190) </w:t>
      </w:r>
      <w:r w:rsidRPr="00A155FA">
        <w:rPr>
          <w:rFonts w:ascii="Times New Roman" w:eastAsia="Times New Roman" w:hAnsi="Times New Roman" w:cs="Times New Roman"/>
          <w:b/>
          <w:bCs/>
          <w:color w:val="222222"/>
        </w:rPr>
        <w:t>Humerus (ontogeny)</w:t>
      </w:r>
      <w:r w:rsidRPr="00A155FA">
        <w:rPr>
          <w:rFonts w:ascii="Times New Roman" w:eastAsia="Times New Roman" w:hAnsi="Times New Roman" w:cs="Times New Roman"/>
          <w:color w:val="222222"/>
        </w:rPr>
        <w:t>. Short cylinder in larvae, elongates at slow rate (0), or with substantial shaft in larvae (1), or very long rod from small stages on (2).</w:t>
      </w:r>
    </w:p>
    <w:p w14:paraId="586F63F5" w14:textId="77777777" w:rsidR="00A97E37" w:rsidRPr="00A155FA" w:rsidRDefault="00A97E37" w:rsidP="00D01A5E">
      <w:pPr>
        <w:ind w:left="540" w:hanging="540"/>
        <w:rPr>
          <w:color w:val="222222"/>
        </w:rPr>
      </w:pPr>
    </w:p>
    <w:p w14:paraId="445A8573"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(191) </w:t>
      </w:r>
      <w:r w:rsidRPr="00A155FA">
        <w:rPr>
          <w:rFonts w:ascii="Times New Roman" w:eastAsia="Times New Roman" w:hAnsi="Times New Roman" w:cs="Times New Roman"/>
          <w:b/>
          <w:bCs/>
          <w:color w:val="222222"/>
        </w:rPr>
        <w:t>Humerus (adult shaft)</w:t>
      </w:r>
      <w:r w:rsidRPr="00A155FA">
        <w:rPr>
          <w:rFonts w:ascii="Times New Roman" w:eastAsia="Times New Roman" w:hAnsi="Times New Roman" w:cs="Times New Roman"/>
          <w:color w:val="222222"/>
        </w:rPr>
        <w:t>. No shaft proper, humerus blade-like in cross-section (0), or with short shaft oval in cross-section (1), or shaft elongate and slender, comprising more than 50% of the humerus with rounded cross-section (2).</w:t>
      </w:r>
    </w:p>
    <w:p w14:paraId="5FBE5648" w14:textId="77777777" w:rsidR="00A97E37" w:rsidRPr="00A155FA" w:rsidRDefault="00A97E37" w:rsidP="00D01A5E">
      <w:pPr>
        <w:ind w:left="540" w:hanging="540"/>
        <w:rPr>
          <w:color w:val="222222"/>
        </w:rPr>
      </w:pPr>
    </w:p>
    <w:p w14:paraId="2400E944"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(192) </w:t>
      </w:r>
      <w:r w:rsidRPr="00A155FA">
        <w:rPr>
          <w:rFonts w:ascii="Times New Roman" w:eastAsia="Times New Roman" w:hAnsi="Times New Roman" w:cs="Times New Roman"/>
          <w:b/>
          <w:bCs/>
          <w:color w:val="222222"/>
        </w:rPr>
        <w:t>Humerus (entepicondylar foramen)</w:t>
      </w:r>
      <w:r w:rsidRPr="00A155FA">
        <w:rPr>
          <w:rFonts w:ascii="Times New Roman" w:eastAsia="Times New Roman" w:hAnsi="Times New Roman" w:cs="Times New Roman"/>
          <w:color w:val="222222"/>
        </w:rPr>
        <w:t>. Present (0), or absent (1).</w:t>
      </w:r>
    </w:p>
    <w:p w14:paraId="520198C3" w14:textId="77777777" w:rsidR="00A97E37" w:rsidRPr="00A155FA" w:rsidRDefault="00A97E37" w:rsidP="00D01A5E">
      <w:pPr>
        <w:ind w:left="540" w:hanging="540"/>
        <w:rPr>
          <w:color w:val="222222"/>
        </w:rPr>
      </w:pPr>
    </w:p>
    <w:p w14:paraId="224E607C"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(193) </w:t>
      </w:r>
      <w:r w:rsidRPr="00A155FA">
        <w:rPr>
          <w:rFonts w:ascii="Times New Roman" w:eastAsia="Times New Roman" w:hAnsi="Times New Roman" w:cs="Times New Roman"/>
          <w:b/>
          <w:bCs/>
          <w:color w:val="222222"/>
        </w:rPr>
        <w:t>Humerus (supinator)</w:t>
      </w:r>
      <w:r w:rsidRPr="00A155FA">
        <w:rPr>
          <w:rFonts w:ascii="Times New Roman" w:eastAsia="Times New Roman" w:hAnsi="Times New Roman" w:cs="Times New Roman"/>
          <w:color w:val="222222"/>
        </w:rPr>
        <w:t>. Present (0), or absent (1).</w:t>
      </w:r>
    </w:p>
    <w:p w14:paraId="33D84140" w14:textId="77777777" w:rsidR="00A97E37" w:rsidRPr="00A155FA" w:rsidRDefault="00A97E37" w:rsidP="00D01A5E">
      <w:pPr>
        <w:ind w:left="540" w:hanging="540"/>
        <w:rPr>
          <w:color w:val="222222"/>
        </w:rPr>
      </w:pPr>
    </w:p>
    <w:p w14:paraId="0A4C03AD"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(194) </w:t>
      </w:r>
      <w:r w:rsidRPr="00A155FA">
        <w:rPr>
          <w:rFonts w:ascii="Times New Roman" w:eastAsia="Times New Roman" w:hAnsi="Times New Roman" w:cs="Times New Roman"/>
          <w:b/>
          <w:bCs/>
          <w:color w:val="222222"/>
        </w:rPr>
        <w:t>Humerus (condyles)</w:t>
      </w:r>
      <w:r w:rsidRPr="00A155FA">
        <w:rPr>
          <w:rFonts w:ascii="Times New Roman" w:eastAsia="Times New Roman" w:hAnsi="Times New Roman" w:cs="Times New Roman"/>
          <w:color w:val="222222"/>
        </w:rPr>
        <w:t>. Distal end at least partially ossified with identifiable condyles (0), or unfinished without condyles (1), or with fully established condyles (2).</w:t>
      </w:r>
    </w:p>
    <w:p w14:paraId="2135CC01" w14:textId="77777777" w:rsidR="00A97E37" w:rsidRPr="00A155FA" w:rsidRDefault="00A97E37" w:rsidP="00D01A5E">
      <w:pPr>
        <w:ind w:left="540" w:hanging="540"/>
        <w:rPr>
          <w:color w:val="222222"/>
        </w:rPr>
      </w:pPr>
    </w:p>
    <w:p w14:paraId="27E01922"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(195) </w:t>
      </w:r>
      <w:r w:rsidRPr="00A155FA">
        <w:rPr>
          <w:rFonts w:ascii="Times New Roman" w:eastAsia="Times New Roman" w:hAnsi="Times New Roman" w:cs="Times New Roman"/>
          <w:b/>
          <w:bCs/>
          <w:color w:val="222222"/>
        </w:rPr>
        <w:t>Humerus (torsion)</w:t>
      </w:r>
      <w:r w:rsidRPr="00A155FA">
        <w:rPr>
          <w:rFonts w:ascii="Times New Roman" w:eastAsia="Times New Roman" w:hAnsi="Times New Roman" w:cs="Times New Roman"/>
          <w:color w:val="222222"/>
        </w:rPr>
        <w:t>. Strong, 70-90° (0), or weak, well below 60° (1).</w:t>
      </w:r>
    </w:p>
    <w:p w14:paraId="5B30EDDD" w14:textId="77777777" w:rsidR="00A97E37" w:rsidRPr="00A155FA" w:rsidRDefault="00A97E37" w:rsidP="00D01A5E">
      <w:pPr>
        <w:ind w:left="540" w:hanging="540"/>
        <w:rPr>
          <w:color w:val="222222"/>
        </w:rPr>
      </w:pPr>
    </w:p>
    <w:p w14:paraId="7F22202E"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(196) </w:t>
      </w:r>
      <w:r w:rsidRPr="00A155FA">
        <w:rPr>
          <w:rFonts w:ascii="Times New Roman" w:eastAsia="Times New Roman" w:hAnsi="Times New Roman" w:cs="Times New Roman"/>
          <w:b/>
          <w:bCs/>
          <w:color w:val="222222"/>
        </w:rPr>
        <w:t>Carpals</w:t>
      </w:r>
      <w:r w:rsidRPr="00A155FA">
        <w:rPr>
          <w:rFonts w:ascii="Times New Roman" w:eastAsia="Times New Roman" w:hAnsi="Times New Roman" w:cs="Times New Roman"/>
          <w:color w:val="222222"/>
        </w:rPr>
        <w:t>. All unossified (0), or all at least some ossified (1).</w:t>
      </w:r>
    </w:p>
    <w:p w14:paraId="5B39904D" w14:textId="77777777" w:rsidR="00A97E37" w:rsidRPr="00A155FA" w:rsidRDefault="00A97E37" w:rsidP="00D01A5E">
      <w:pPr>
        <w:ind w:left="540" w:hanging="540"/>
        <w:rPr>
          <w:color w:val="222222"/>
        </w:rPr>
      </w:pPr>
    </w:p>
    <w:p w14:paraId="4A61C319"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(197) </w:t>
      </w:r>
      <w:r w:rsidRPr="00A155FA">
        <w:rPr>
          <w:rFonts w:ascii="Times New Roman" w:eastAsia="Times New Roman" w:hAnsi="Times New Roman" w:cs="Times New Roman"/>
          <w:b/>
          <w:bCs/>
          <w:color w:val="222222"/>
        </w:rPr>
        <w:t>Manual digit count</w:t>
      </w:r>
      <w:r w:rsidRPr="00A155FA">
        <w:rPr>
          <w:rFonts w:ascii="Times New Roman" w:eastAsia="Times New Roman" w:hAnsi="Times New Roman" w:cs="Times New Roman"/>
          <w:color w:val="222222"/>
        </w:rPr>
        <w:t>. Five (0), or four (1).</w:t>
      </w:r>
    </w:p>
    <w:p w14:paraId="238669DB" w14:textId="77777777" w:rsidR="00A97E37" w:rsidRPr="00A155FA" w:rsidRDefault="00A97E37" w:rsidP="00D01A5E">
      <w:pPr>
        <w:ind w:left="540" w:hanging="540"/>
        <w:rPr>
          <w:color w:val="222222"/>
        </w:rPr>
      </w:pPr>
    </w:p>
    <w:p w14:paraId="7697ACE1"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(198) </w:t>
      </w:r>
      <w:r w:rsidRPr="00A155FA">
        <w:rPr>
          <w:rFonts w:ascii="Times New Roman" w:eastAsia="Times New Roman" w:hAnsi="Times New Roman" w:cs="Times New Roman"/>
          <w:b/>
          <w:bCs/>
          <w:color w:val="222222"/>
        </w:rPr>
        <w:t>Ilium (shaft)</w:t>
      </w:r>
      <w:r w:rsidRPr="00A155FA">
        <w:rPr>
          <w:rFonts w:ascii="Times New Roman" w:eastAsia="Times New Roman" w:hAnsi="Times New Roman" w:cs="Times New Roman"/>
          <w:color w:val="222222"/>
        </w:rPr>
        <w:t>. Shaft of variable length but laterally flattened (0), or very long and slender (1).</w:t>
      </w:r>
    </w:p>
    <w:p w14:paraId="33D02807" w14:textId="77777777" w:rsidR="00A97E37" w:rsidRPr="00A155FA" w:rsidRDefault="00A97E37" w:rsidP="00D01A5E">
      <w:pPr>
        <w:ind w:left="540" w:hanging="540"/>
        <w:rPr>
          <w:color w:val="222222"/>
        </w:rPr>
      </w:pPr>
    </w:p>
    <w:p w14:paraId="539C6AC9"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(199) </w:t>
      </w:r>
      <w:r w:rsidRPr="00A155FA">
        <w:rPr>
          <w:rFonts w:ascii="Times New Roman" w:eastAsia="Times New Roman" w:hAnsi="Times New Roman" w:cs="Times New Roman"/>
          <w:b/>
          <w:bCs/>
          <w:color w:val="222222"/>
        </w:rPr>
        <w:t>Ilium (dorsal end)</w:t>
      </w:r>
      <w:r w:rsidRPr="00A155FA">
        <w:rPr>
          <w:rFonts w:ascii="Times New Roman" w:eastAsia="Times New Roman" w:hAnsi="Times New Roman" w:cs="Times New Roman"/>
          <w:color w:val="222222"/>
        </w:rPr>
        <w:t>. Tip of dorsal end continuous (0), or much broadened (1).</w:t>
      </w:r>
    </w:p>
    <w:p w14:paraId="32B97D7B" w14:textId="77777777" w:rsidR="00A97E37" w:rsidRPr="00A155FA" w:rsidRDefault="00A97E37" w:rsidP="00D01A5E">
      <w:pPr>
        <w:ind w:left="540" w:hanging="540"/>
        <w:rPr>
          <w:color w:val="222222"/>
        </w:rPr>
      </w:pPr>
    </w:p>
    <w:p w14:paraId="110FB712"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(200) </w:t>
      </w:r>
      <w:r w:rsidRPr="00A155FA">
        <w:rPr>
          <w:rFonts w:ascii="Times New Roman" w:eastAsia="Times New Roman" w:hAnsi="Times New Roman" w:cs="Times New Roman"/>
          <w:b/>
          <w:bCs/>
          <w:color w:val="222222"/>
        </w:rPr>
        <w:t>Ilium (height)</w:t>
      </w:r>
      <w:r w:rsidRPr="00A155FA">
        <w:rPr>
          <w:rFonts w:ascii="Times New Roman" w:eastAsia="Times New Roman" w:hAnsi="Times New Roman" w:cs="Times New Roman"/>
          <w:color w:val="222222"/>
        </w:rPr>
        <w:t>. Shaft more than twice the length of the base (0), or shorter (1).</w:t>
      </w:r>
    </w:p>
    <w:p w14:paraId="22EEE9C9" w14:textId="77777777" w:rsidR="00A97E37" w:rsidRPr="00A155FA" w:rsidRDefault="00A97E37" w:rsidP="00D01A5E">
      <w:pPr>
        <w:ind w:left="540" w:hanging="540"/>
        <w:rPr>
          <w:color w:val="222222"/>
        </w:rPr>
      </w:pPr>
    </w:p>
    <w:p w14:paraId="428B78FE"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(201) </w:t>
      </w:r>
      <w:r w:rsidRPr="00A155FA">
        <w:rPr>
          <w:rFonts w:ascii="Times New Roman" w:eastAsia="Times New Roman" w:hAnsi="Times New Roman" w:cs="Times New Roman"/>
          <w:b/>
          <w:bCs/>
          <w:color w:val="222222"/>
        </w:rPr>
        <w:t>Ilium (orientation)</w:t>
      </w:r>
      <w:r w:rsidRPr="00A155FA">
        <w:rPr>
          <w:rFonts w:ascii="Times New Roman" w:eastAsia="Times New Roman" w:hAnsi="Times New Roman" w:cs="Times New Roman"/>
          <w:color w:val="222222"/>
        </w:rPr>
        <w:t>. Main axis of shaft inclined posterodorsally (0), vertically (1), or anteriorly (2).</w:t>
      </w:r>
    </w:p>
    <w:p w14:paraId="7BAD9238" w14:textId="77777777" w:rsidR="00A97E37" w:rsidRPr="00A155FA" w:rsidRDefault="00A97E37" w:rsidP="00D01A5E">
      <w:pPr>
        <w:ind w:left="540" w:hanging="540"/>
        <w:rPr>
          <w:color w:val="222222"/>
        </w:rPr>
      </w:pPr>
    </w:p>
    <w:p w14:paraId="4CCF6867"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(202) </w:t>
      </w:r>
      <w:r w:rsidRPr="00A155FA">
        <w:rPr>
          <w:rFonts w:ascii="Times New Roman" w:eastAsia="Times New Roman" w:hAnsi="Times New Roman" w:cs="Times New Roman"/>
          <w:b/>
          <w:bCs/>
          <w:color w:val="222222"/>
        </w:rPr>
        <w:t>Ilium (tip)</w:t>
      </w:r>
      <w:r w:rsidRPr="00A155FA">
        <w:rPr>
          <w:rFonts w:ascii="Times New Roman" w:eastAsia="Times New Roman" w:hAnsi="Times New Roman" w:cs="Times New Roman"/>
          <w:color w:val="222222"/>
        </w:rPr>
        <w:t>. Dorsal end two-headed (0), or single-headed (1).</w:t>
      </w:r>
    </w:p>
    <w:p w14:paraId="4BE50D36" w14:textId="77777777" w:rsidR="00A97E37" w:rsidRPr="00A155FA" w:rsidRDefault="00A97E37" w:rsidP="00D01A5E">
      <w:pPr>
        <w:ind w:left="540" w:hanging="540"/>
        <w:rPr>
          <w:color w:val="222222"/>
        </w:rPr>
      </w:pPr>
    </w:p>
    <w:p w14:paraId="2D38A9A2"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(203) </w:t>
      </w:r>
      <w:r w:rsidRPr="00A155FA">
        <w:rPr>
          <w:rFonts w:ascii="Times New Roman" w:eastAsia="Times New Roman" w:hAnsi="Times New Roman" w:cs="Times New Roman"/>
          <w:b/>
          <w:bCs/>
          <w:color w:val="222222"/>
        </w:rPr>
        <w:t>Pubis</w:t>
      </w:r>
      <w:r w:rsidRPr="00A155FA">
        <w:rPr>
          <w:rFonts w:ascii="Times New Roman" w:eastAsia="Times New Roman" w:hAnsi="Times New Roman" w:cs="Times New Roman"/>
          <w:color w:val="222222"/>
        </w:rPr>
        <w:t>. Unossified (0), or ossified (1).</w:t>
      </w:r>
    </w:p>
    <w:p w14:paraId="71D07D98" w14:textId="77777777" w:rsidR="00A97E37" w:rsidRPr="00A155FA" w:rsidRDefault="00A97E37" w:rsidP="00D01A5E">
      <w:pPr>
        <w:ind w:left="540" w:hanging="540"/>
        <w:rPr>
          <w:color w:val="222222"/>
        </w:rPr>
      </w:pPr>
    </w:p>
    <w:p w14:paraId="666F36F0"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(204) </w:t>
      </w:r>
      <w:r w:rsidRPr="00A155FA">
        <w:rPr>
          <w:rFonts w:ascii="Times New Roman" w:eastAsia="Times New Roman" w:hAnsi="Times New Roman" w:cs="Times New Roman"/>
          <w:b/>
          <w:bCs/>
          <w:color w:val="222222"/>
        </w:rPr>
        <w:t>Femur</w:t>
      </w:r>
      <w:r w:rsidRPr="00A155FA">
        <w:rPr>
          <w:rFonts w:ascii="Times New Roman" w:eastAsia="Times New Roman" w:hAnsi="Times New Roman" w:cs="Times New Roman"/>
          <w:color w:val="222222"/>
        </w:rPr>
        <w:t>. Intercondylar fossa forming deep and elongated trough (0), or reduced to short depression (1).</w:t>
      </w:r>
    </w:p>
    <w:p w14:paraId="539B85CE" w14:textId="77777777" w:rsidR="00A97E37" w:rsidRPr="00A155FA" w:rsidRDefault="00A97E37" w:rsidP="00D01A5E">
      <w:pPr>
        <w:ind w:left="540" w:hanging="540"/>
        <w:rPr>
          <w:color w:val="222222"/>
        </w:rPr>
      </w:pPr>
    </w:p>
    <w:p w14:paraId="106909E7"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(205) </w:t>
      </w:r>
      <w:r w:rsidRPr="00A155FA">
        <w:rPr>
          <w:rFonts w:ascii="Times New Roman" w:eastAsia="Times New Roman" w:hAnsi="Times New Roman" w:cs="Times New Roman"/>
          <w:b/>
          <w:bCs/>
          <w:color w:val="222222"/>
        </w:rPr>
        <w:t>Femur (trochanter)</w:t>
      </w:r>
      <w:r w:rsidRPr="00A155FA">
        <w:rPr>
          <w:rFonts w:ascii="Times New Roman" w:eastAsia="Times New Roman" w:hAnsi="Times New Roman" w:cs="Times New Roman"/>
          <w:color w:val="222222"/>
        </w:rPr>
        <w:t>. Internal trochanter present as discrete process (0), or reduced to a shallow crest (1), or greatly enlarged to form a massive projection (2).</w:t>
      </w:r>
    </w:p>
    <w:p w14:paraId="28ADA322" w14:textId="77777777" w:rsidR="00A97E37" w:rsidRPr="00A155FA" w:rsidRDefault="00A97E37" w:rsidP="00D01A5E">
      <w:pPr>
        <w:ind w:left="540" w:hanging="540"/>
        <w:rPr>
          <w:color w:val="222222"/>
        </w:rPr>
      </w:pPr>
    </w:p>
    <w:p w14:paraId="28581C61"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(206) </w:t>
      </w:r>
      <w:r w:rsidRPr="00A155FA">
        <w:rPr>
          <w:rFonts w:ascii="Times New Roman" w:eastAsia="Times New Roman" w:hAnsi="Times New Roman" w:cs="Times New Roman"/>
          <w:b/>
          <w:bCs/>
          <w:color w:val="222222"/>
        </w:rPr>
        <w:t>Tarsals</w:t>
      </w:r>
      <w:r w:rsidRPr="00A155FA">
        <w:rPr>
          <w:rFonts w:ascii="Times New Roman" w:eastAsia="Times New Roman" w:hAnsi="Times New Roman" w:cs="Times New Roman"/>
          <w:color w:val="222222"/>
        </w:rPr>
        <w:t>. At least some are ossified (0), or all unossified (1).</w:t>
      </w:r>
    </w:p>
    <w:p w14:paraId="57458496" w14:textId="77777777" w:rsidR="00A97E37" w:rsidRPr="00A155FA" w:rsidRDefault="00A97E37" w:rsidP="00D01A5E">
      <w:pPr>
        <w:ind w:left="540" w:hanging="540"/>
        <w:rPr>
          <w:color w:val="222222"/>
        </w:rPr>
      </w:pPr>
    </w:p>
    <w:p w14:paraId="20FC560C"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(207) </w:t>
      </w:r>
      <w:r w:rsidRPr="00A155FA">
        <w:rPr>
          <w:rFonts w:ascii="Times New Roman" w:eastAsia="Times New Roman" w:hAnsi="Times New Roman" w:cs="Times New Roman"/>
          <w:b/>
          <w:bCs/>
          <w:color w:val="222222"/>
        </w:rPr>
        <w:t>Gastral squamation</w:t>
      </w:r>
      <w:r w:rsidRPr="00A155FA">
        <w:rPr>
          <w:rFonts w:ascii="Times New Roman" w:eastAsia="Times New Roman" w:hAnsi="Times New Roman" w:cs="Times New Roman"/>
          <w:color w:val="222222"/>
        </w:rPr>
        <w:t>. Ossified ventral dermal scales (0), or scales absent (1).</w:t>
      </w:r>
    </w:p>
    <w:p w14:paraId="0B7DBEE3" w14:textId="77777777" w:rsidR="00A97E37" w:rsidRPr="00A155FA" w:rsidRDefault="00A97E37" w:rsidP="00D01A5E">
      <w:pPr>
        <w:ind w:left="540" w:hanging="540"/>
        <w:rPr>
          <w:color w:val="222222"/>
        </w:rPr>
      </w:pPr>
    </w:p>
    <w:p w14:paraId="7210CA9A"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(208) </w:t>
      </w:r>
      <w:r w:rsidRPr="00A155FA">
        <w:rPr>
          <w:rFonts w:ascii="Times New Roman" w:eastAsia="Times New Roman" w:hAnsi="Times New Roman" w:cs="Times New Roman"/>
          <w:b/>
          <w:bCs/>
          <w:color w:val="222222"/>
        </w:rPr>
        <w:t>Squamation</w:t>
      </w:r>
      <w:r w:rsidRPr="00A155FA">
        <w:rPr>
          <w:rFonts w:ascii="Times New Roman" w:eastAsia="Times New Roman" w:hAnsi="Times New Roman" w:cs="Times New Roman"/>
          <w:color w:val="222222"/>
        </w:rPr>
        <w:t>. Dermal scales oval to spindle-shaped (0), or broad-oval with “microsaur-type” ornament (1).</w:t>
      </w:r>
    </w:p>
    <w:p w14:paraId="0939625F" w14:textId="77777777" w:rsidR="00A97E37" w:rsidRPr="00A155FA" w:rsidRDefault="00A97E37" w:rsidP="00D01A5E">
      <w:pPr>
        <w:ind w:left="540" w:hanging="540"/>
        <w:rPr>
          <w:color w:val="222222"/>
        </w:rPr>
      </w:pPr>
    </w:p>
    <w:p w14:paraId="797F83B1"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(209) </w:t>
      </w:r>
      <w:r w:rsidRPr="00A155FA">
        <w:rPr>
          <w:rFonts w:ascii="Times New Roman" w:eastAsia="Times New Roman" w:hAnsi="Times New Roman" w:cs="Times New Roman"/>
          <w:b/>
          <w:bCs/>
          <w:color w:val="222222"/>
        </w:rPr>
        <w:t>Osteoderms</w:t>
      </w:r>
      <w:r w:rsidRPr="00A155FA">
        <w:rPr>
          <w:rFonts w:ascii="Times New Roman" w:eastAsia="Times New Roman" w:hAnsi="Times New Roman" w:cs="Times New Roman"/>
          <w:color w:val="222222"/>
        </w:rPr>
        <w:t>. Absent (0), or present as single row (1), or more numerous to form a</w:t>
      </w:r>
    </w:p>
    <w:p w14:paraId="2BEC0B72"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carapace (2).</w:t>
      </w:r>
    </w:p>
    <w:p w14:paraId="197FEEDB" w14:textId="77777777" w:rsidR="00A97E37" w:rsidRPr="00A155FA" w:rsidRDefault="00A97E37" w:rsidP="00D01A5E">
      <w:pPr>
        <w:ind w:left="540" w:hanging="540"/>
        <w:rPr>
          <w:color w:val="222222"/>
        </w:rPr>
      </w:pPr>
    </w:p>
    <w:p w14:paraId="5BFB0440"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(210) </w:t>
      </w:r>
      <w:r w:rsidRPr="00A155FA">
        <w:rPr>
          <w:rFonts w:ascii="Times New Roman" w:eastAsia="Times New Roman" w:hAnsi="Times New Roman" w:cs="Times New Roman"/>
          <w:b/>
          <w:bCs/>
          <w:color w:val="222222"/>
        </w:rPr>
        <w:t>Osteoderms (articulations).</w:t>
      </w:r>
      <w:r w:rsidRPr="00A155FA">
        <w:rPr>
          <w:rFonts w:ascii="Times New Roman" w:eastAsia="Times New Roman" w:hAnsi="Times New Roman" w:cs="Times New Roman"/>
          <w:color w:val="222222"/>
        </w:rPr>
        <w:t xml:space="preserve"> Simple set of osteoderms arranged in one layer if present (0), or double set of two layers, the ventral one fused to the tip of the neural arch (1).</w:t>
      </w:r>
    </w:p>
    <w:p w14:paraId="47DEEA09" w14:textId="77777777" w:rsidR="00A97E37" w:rsidRPr="00A155FA" w:rsidRDefault="00A97E37" w:rsidP="00D01A5E">
      <w:pPr>
        <w:ind w:left="540" w:hanging="540"/>
        <w:rPr>
          <w:color w:val="222222"/>
        </w:rPr>
      </w:pPr>
    </w:p>
    <w:p w14:paraId="4DC52C7E"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(211) </w:t>
      </w:r>
      <w:r w:rsidRPr="00A155FA">
        <w:rPr>
          <w:rFonts w:ascii="Times New Roman" w:eastAsia="Times New Roman" w:hAnsi="Times New Roman" w:cs="Times New Roman"/>
          <w:b/>
          <w:bCs/>
          <w:color w:val="222222"/>
        </w:rPr>
        <w:t>Osteoderms (width)</w:t>
      </w:r>
      <w:r w:rsidRPr="00A155FA">
        <w:rPr>
          <w:rFonts w:ascii="Times New Roman" w:eastAsia="Times New Roman" w:hAnsi="Times New Roman" w:cs="Times New Roman"/>
          <w:color w:val="222222"/>
        </w:rPr>
        <w:t>. An intra-dissorophid character: Narrow median osteoderms (0), or transversely extended plates (1).</w:t>
      </w:r>
    </w:p>
    <w:p w14:paraId="2048B3B8" w14:textId="77777777" w:rsidR="00A97E37" w:rsidRPr="00A155FA" w:rsidRDefault="00A97E37" w:rsidP="00D01A5E">
      <w:pPr>
        <w:ind w:left="540" w:hanging="540"/>
        <w:rPr>
          <w:color w:val="222222"/>
        </w:rPr>
      </w:pPr>
    </w:p>
    <w:p w14:paraId="20235A6F"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(212) </w:t>
      </w:r>
      <w:r w:rsidRPr="00A155FA">
        <w:rPr>
          <w:rFonts w:ascii="Times New Roman" w:eastAsia="Times New Roman" w:hAnsi="Times New Roman" w:cs="Times New Roman"/>
          <w:b/>
          <w:bCs/>
          <w:color w:val="222222"/>
        </w:rPr>
        <w:t>Rib cage</w:t>
      </w:r>
      <w:r w:rsidRPr="00A155FA">
        <w:rPr>
          <w:rFonts w:ascii="Times New Roman" w:eastAsia="Times New Roman" w:hAnsi="Times New Roman" w:cs="Times New Roman"/>
          <w:color w:val="222222"/>
        </w:rPr>
        <w:t>. Trunk narrower than skull or as wide (0), or trunk substantially wider than lateral margin of cheeks at about mid-level (1).</w:t>
      </w:r>
    </w:p>
    <w:p w14:paraId="07511DD5" w14:textId="77777777" w:rsidR="00A97E37" w:rsidRPr="00A155FA" w:rsidRDefault="00A97E37" w:rsidP="00D01A5E">
      <w:pPr>
        <w:ind w:left="540" w:hanging="540"/>
        <w:rPr>
          <w:color w:val="222222"/>
        </w:rPr>
      </w:pPr>
    </w:p>
    <w:p w14:paraId="4DF22F1F"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(213) </w:t>
      </w:r>
      <w:r w:rsidRPr="00A155FA">
        <w:rPr>
          <w:rFonts w:ascii="Times New Roman" w:eastAsia="Times New Roman" w:hAnsi="Times New Roman" w:cs="Times New Roman"/>
          <w:b/>
          <w:bCs/>
          <w:color w:val="222222"/>
        </w:rPr>
        <w:t>Basal skull length</w:t>
      </w:r>
      <w:r w:rsidRPr="00A155FA">
        <w:rPr>
          <w:rFonts w:ascii="Times New Roman" w:eastAsia="Times New Roman" w:hAnsi="Times New Roman" w:cs="Times New Roman"/>
          <w:color w:val="222222"/>
        </w:rPr>
        <w:t>. &gt;70mm (0), 50-70mm (1), 30-50mm (2), &lt;30mm (3).</w:t>
      </w:r>
    </w:p>
    <w:p w14:paraId="5F06A1AF" w14:textId="77777777" w:rsidR="00A97E37" w:rsidRPr="00A155FA" w:rsidRDefault="00A97E37" w:rsidP="00D01A5E">
      <w:pPr>
        <w:ind w:left="540" w:hanging="540"/>
        <w:rPr>
          <w:color w:val="222222"/>
        </w:rPr>
      </w:pPr>
    </w:p>
    <w:p w14:paraId="1C75A638"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(214) </w:t>
      </w:r>
      <w:r w:rsidRPr="00A155FA">
        <w:rPr>
          <w:rFonts w:ascii="Times New Roman" w:eastAsia="Times New Roman" w:hAnsi="Times New Roman" w:cs="Times New Roman"/>
          <w:b/>
          <w:bCs/>
          <w:color w:val="222222"/>
        </w:rPr>
        <w:t>Skull to trunk</w:t>
      </w:r>
      <w:r w:rsidRPr="00A155FA">
        <w:rPr>
          <w:rFonts w:ascii="Times New Roman" w:eastAsia="Times New Roman" w:hAnsi="Times New Roman" w:cs="Times New Roman"/>
          <w:color w:val="222222"/>
        </w:rPr>
        <w:t>. &gt;=0.45 (0), 0.30-0.45 (1), 0.20-0.29 (2), 0.20 (3).</w:t>
      </w:r>
    </w:p>
    <w:p w14:paraId="68767E8B" w14:textId="77777777" w:rsidR="00A97E37" w:rsidRPr="00A155FA" w:rsidRDefault="00A97E37" w:rsidP="00D01A5E">
      <w:pPr>
        <w:ind w:left="540" w:hanging="540"/>
        <w:rPr>
          <w:color w:val="222222"/>
        </w:rPr>
      </w:pPr>
    </w:p>
    <w:p w14:paraId="24E19049"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(215) </w:t>
      </w:r>
      <w:r w:rsidRPr="00A155FA">
        <w:rPr>
          <w:rFonts w:ascii="Times New Roman" w:eastAsia="Times New Roman" w:hAnsi="Times New Roman" w:cs="Times New Roman"/>
          <w:b/>
          <w:bCs/>
          <w:color w:val="222222"/>
        </w:rPr>
        <w:t>Skull proportions</w:t>
      </w:r>
      <w:r w:rsidRPr="00A155FA">
        <w:rPr>
          <w:rFonts w:ascii="Times New Roman" w:eastAsia="Times New Roman" w:hAnsi="Times New Roman" w:cs="Times New Roman"/>
          <w:color w:val="222222"/>
        </w:rPr>
        <w:t>. Longer than wide (0), wider than long (1).</w:t>
      </w:r>
    </w:p>
    <w:p w14:paraId="7C6908AC" w14:textId="77777777" w:rsidR="00A97E37" w:rsidRPr="00A155FA" w:rsidRDefault="00A97E37" w:rsidP="00D01A5E">
      <w:pPr>
        <w:ind w:left="540" w:hanging="540"/>
        <w:rPr>
          <w:color w:val="222222"/>
        </w:rPr>
      </w:pPr>
    </w:p>
    <w:p w14:paraId="647EAB9D"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(216) </w:t>
      </w:r>
      <w:r w:rsidRPr="00A155FA">
        <w:rPr>
          <w:rFonts w:ascii="Times New Roman" w:eastAsia="Times New Roman" w:hAnsi="Times New Roman" w:cs="Times New Roman"/>
          <w:b/>
          <w:bCs/>
          <w:color w:val="222222"/>
        </w:rPr>
        <w:t>Supratemporal</w:t>
      </w:r>
      <w:r w:rsidRPr="00A155FA">
        <w:rPr>
          <w:rFonts w:ascii="Times New Roman" w:eastAsia="Times New Roman" w:hAnsi="Times New Roman" w:cs="Times New Roman"/>
          <w:color w:val="222222"/>
        </w:rPr>
        <w:t>. Present (0), absent (1).</w:t>
      </w:r>
    </w:p>
    <w:p w14:paraId="6A8A8D0F" w14:textId="77777777" w:rsidR="00A97E37" w:rsidRPr="00A155FA" w:rsidRDefault="00A97E37" w:rsidP="00D01A5E">
      <w:pPr>
        <w:ind w:left="540" w:hanging="540"/>
        <w:rPr>
          <w:color w:val="222222"/>
        </w:rPr>
      </w:pPr>
    </w:p>
    <w:p w14:paraId="60526F49"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(217) </w:t>
      </w:r>
      <w:r w:rsidRPr="00A155FA">
        <w:rPr>
          <w:rFonts w:ascii="Times New Roman" w:eastAsia="Times New Roman" w:hAnsi="Times New Roman" w:cs="Times New Roman"/>
          <w:b/>
          <w:bCs/>
          <w:color w:val="222222"/>
        </w:rPr>
        <w:t>Supratemporal exposure on occiput</w:t>
      </w:r>
      <w:r w:rsidRPr="00A155FA">
        <w:rPr>
          <w:rFonts w:ascii="Times New Roman" w:eastAsia="Times New Roman" w:hAnsi="Times New Roman" w:cs="Times New Roman"/>
          <w:color w:val="222222"/>
        </w:rPr>
        <w:t>. Absent (0), present (1).</w:t>
      </w:r>
    </w:p>
    <w:p w14:paraId="55842081" w14:textId="77777777" w:rsidR="00A97E37" w:rsidRPr="00A155FA" w:rsidRDefault="00A97E37" w:rsidP="00D01A5E">
      <w:pPr>
        <w:ind w:left="540" w:hanging="540"/>
        <w:rPr>
          <w:color w:val="222222"/>
        </w:rPr>
      </w:pPr>
    </w:p>
    <w:p w14:paraId="48DFDEA9"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(218) </w:t>
      </w:r>
      <w:r w:rsidRPr="00A155FA">
        <w:rPr>
          <w:rFonts w:ascii="Times New Roman" w:eastAsia="Times New Roman" w:hAnsi="Times New Roman" w:cs="Times New Roman"/>
          <w:b/>
          <w:bCs/>
          <w:color w:val="222222"/>
        </w:rPr>
        <w:t>Postfrontal shape</w:t>
      </w:r>
      <w:r w:rsidRPr="00A155FA">
        <w:rPr>
          <w:rFonts w:ascii="Times New Roman" w:eastAsia="Times New Roman" w:hAnsi="Times New Roman" w:cs="Times New Roman"/>
          <w:color w:val="222222"/>
        </w:rPr>
        <w:t>. Broadly quadrangular (0), falciform (1).</w:t>
      </w:r>
    </w:p>
    <w:p w14:paraId="4F6DE584" w14:textId="77777777" w:rsidR="00A97E37" w:rsidRPr="00A155FA" w:rsidRDefault="00A97E37" w:rsidP="00D01A5E">
      <w:pPr>
        <w:ind w:left="540" w:hanging="540"/>
        <w:rPr>
          <w:color w:val="222222"/>
        </w:rPr>
      </w:pPr>
    </w:p>
    <w:p w14:paraId="460AD6EA"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(219) </w:t>
      </w:r>
      <w:r w:rsidRPr="00A155FA">
        <w:rPr>
          <w:rFonts w:ascii="Times New Roman" w:eastAsia="Times New Roman" w:hAnsi="Times New Roman" w:cs="Times New Roman"/>
          <w:b/>
          <w:bCs/>
          <w:color w:val="222222"/>
        </w:rPr>
        <w:t>Lacrimal-naris contact</w:t>
      </w:r>
      <w:r w:rsidRPr="00A155FA">
        <w:rPr>
          <w:rFonts w:ascii="Times New Roman" w:eastAsia="Times New Roman" w:hAnsi="Times New Roman" w:cs="Times New Roman"/>
          <w:color w:val="222222"/>
        </w:rPr>
        <w:t>. Present (0), absent (1).</w:t>
      </w:r>
    </w:p>
    <w:p w14:paraId="28E3A04F" w14:textId="77777777" w:rsidR="00A97E37" w:rsidRPr="00A155FA" w:rsidRDefault="00A97E37" w:rsidP="00D01A5E">
      <w:pPr>
        <w:ind w:left="540" w:hanging="540"/>
        <w:rPr>
          <w:color w:val="222222"/>
        </w:rPr>
      </w:pPr>
    </w:p>
    <w:p w14:paraId="3F89AD3F"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(220) </w:t>
      </w:r>
      <w:r w:rsidRPr="00A155FA">
        <w:rPr>
          <w:rFonts w:ascii="Times New Roman" w:eastAsia="Times New Roman" w:hAnsi="Times New Roman" w:cs="Times New Roman"/>
          <w:b/>
          <w:bCs/>
          <w:color w:val="222222"/>
        </w:rPr>
        <w:t>Lacrimal contribution to orbit</w:t>
      </w:r>
      <w:r w:rsidRPr="00A155FA">
        <w:rPr>
          <w:rFonts w:ascii="Times New Roman" w:eastAsia="Times New Roman" w:hAnsi="Times New Roman" w:cs="Times New Roman"/>
          <w:color w:val="222222"/>
        </w:rPr>
        <w:t>. Absent (0), present (1).</w:t>
      </w:r>
    </w:p>
    <w:p w14:paraId="1FC82CB8" w14:textId="77777777" w:rsidR="00A97E37" w:rsidRPr="00A155FA" w:rsidRDefault="00A97E37" w:rsidP="00D01A5E">
      <w:pPr>
        <w:ind w:left="540" w:hanging="540"/>
        <w:rPr>
          <w:color w:val="222222"/>
        </w:rPr>
      </w:pPr>
    </w:p>
    <w:p w14:paraId="5D6858B9"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(221) </w:t>
      </w:r>
      <w:r w:rsidRPr="00A155FA">
        <w:rPr>
          <w:rFonts w:ascii="Times New Roman" w:eastAsia="Times New Roman" w:hAnsi="Times New Roman" w:cs="Times New Roman"/>
          <w:b/>
          <w:bCs/>
          <w:color w:val="222222"/>
        </w:rPr>
        <w:t>Lacrimal orbital processes</w:t>
      </w:r>
      <w:r w:rsidRPr="00A155FA">
        <w:rPr>
          <w:rFonts w:ascii="Times New Roman" w:eastAsia="Times New Roman" w:hAnsi="Times New Roman" w:cs="Times New Roman"/>
          <w:color w:val="222222"/>
        </w:rPr>
        <w:t>. Only ventral present (0), dorsal and ventral present</w:t>
      </w:r>
    </w:p>
    <w:p w14:paraId="07208ECC"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(1), neither present (2).</w:t>
      </w:r>
    </w:p>
    <w:p w14:paraId="0712D692" w14:textId="77777777" w:rsidR="00A97E37" w:rsidRPr="00A155FA" w:rsidRDefault="00A97E37" w:rsidP="00D01A5E">
      <w:pPr>
        <w:ind w:left="540" w:hanging="540"/>
        <w:rPr>
          <w:color w:val="222222"/>
        </w:rPr>
      </w:pPr>
    </w:p>
    <w:p w14:paraId="78BE43D3"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(222) </w:t>
      </w:r>
      <w:r w:rsidRPr="00A155FA">
        <w:rPr>
          <w:rFonts w:ascii="Times New Roman" w:eastAsia="Times New Roman" w:hAnsi="Times New Roman" w:cs="Times New Roman"/>
          <w:b/>
          <w:bCs/>
          <w:color w:val="222222"/>
        </w:rPr>
        <w:t>Quadratojugal</w:t>
      </w:r>
      <w:r w:rsidRPr="00A155FA">
        <w:rPr>
          <w:rFonts w:ascii="Times New Roman" w:eastAsia="Times New Roman" w:hAnsi="Times New Roman" w:cs="Times New Roman"/>
          <w:color w:val="222222"/>
        </w:rPr>
        <w:t>. Present (0), absent (1).</w:t>
      </w:r>
    </w:p>
    <w:p w14:paraId="363CFCF9" w14:textId="77777777" w:rsidR="00A97E37" w:rsidRPr="00A155FA" w:rsidRDefault="00A97E37" w:rsidP="00D01A5E">
      <w:pPr>
        <w:ind w:left="540" w:hanging="540"/>
        <w:rPr>
          <w:color w:val="222222"/>
        </w:rPr>
      </w:pPr>
    </w:p>
    <w:p w14:paraId="5CC1B818"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(223) </w:t>
      </w:r>
      <w:r w:rsidRPr="00A155FA">
        <w:rPr>
          <w:rFonts w:ascii="Times New Roman" w:eastAsia="Times New Roman" w:hAnsi="Times New Roman" w:cs="Times New Roman"/>
          <w:b/>
          <w:bCs/>
          <w:color w:val="222222"/>
        </w:rPr>
        <w:t>Frontals</w:t>
      </w:r>
      <w:r w:rsidRPr="00A155FA">
        <w:rPr>
          <w:rFonts w:ascii="Times New Roman" w:eastAsia="Times New Roman" w:hAnsi="Times New Roman" w:cs="Times New Roman"/>
          <w:color w:val="222222"/>
        </w:rPr>
        <w:t>. Paired along midline (0), fused (1).</w:t>
      </w:r>
    </w:p>
    <w:p w14:paraId="0EC0502E" w14:textId="77777777" w:rsidR="00A97E37" w:rsidRPr="00A155FA" w:rsidRDefault="00A97E37" w:rsidP="00D01A5E">
      <w:pPr>
        <w:ind w:left="540" w:hanging="540"/>
        <w:rPr>
          <w:color w:val="222222"/>
        </w:rPr>
      </w:pPr>
    </w:p>
    <w:p w14:paraId="02D0B7ED"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(224) </w:t>
      </w:r>
      <w:r w:rsidRPr="00A155FA">
        <w:rPr>
          <w:rFonts w:ascii="Times New Roman" w:eastAsia="Times New Roman" w:hAnsi="Times New Roman" w:cs="Times New Roman"/>
          <w:b/>
          <w:bCs/>
          <w:color w:val="222222"/>
        </w:rPr>
        <w:t>Frontal contribution to orbit</w:t>
      </w:r>
      <w:r w:rsidRPr="00A155FA">
        <w:rPr>
          <w:rFonts w:ascii="Times New Roman" w:eastAsia="Times New Roman" w:hAnsi="Times New Roman" w:cs="Times New Roman"/>
          <w:color w:val="222222"/>
        </w:rPr>
        <w:t>. No (0), yes (1).</w:t>
      </w:r>
    </w:p>
    <w:p w14:paraId="1C2CAFF4" w14:textId="77777777" w:rsidR="00A97E37" w:rsidRPr="00A155FA" w:rsidRDefault="00A97E37" w:rsidP="00D01A5E">
      <w:pPr>
        <w:ind w:left="540" w:hanging="540"/>
        <w:rPr>
          <w:color w:val="222222"/>
        </w:rPr>
      </w:pPr>
    </w:p>
    <w:p w14:paraId="7966E79A"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(225) </w:t>
      </w:r>
      <w:r w:rsidRPr="00A155FA">
        <w:rPr>
          <w:rFonts w:ascii="Times New Roman" w:eastAsia="Times New Roman" w:hAnsi="Times New Roman" w:cs="Times New Roman"/>
          <w:b/>
          <w:bCs/>
          <w:color w:val="222222"/>
        </w:rPr>
        <w:t>Septomaxilla</w:t>
      </w:r>
      <w:r w:rsidRPr="00A155FA">
        <w:rPr>
          <w:rFonts w:ascii="Times New Roman" w:eastAsia="Times New Roman" w:hAnsi="Times New Roman" w:cs="Times New Roman"/>
          <w:color w:val="222222"/>
        </w:rPr>
        <w:t>. Ossified (0), unossified (1).</w:t>
      </w:r>
    </w:p>
    <w:p w14:paraId="7BCFE61E" w14:textId="77777777" w:rsidR="00A97E37" w:rsidRPr="00A155FA" w:rsidRDefault="00A97E37" w:rsidP="00D01A5E">
      <w:pPr>
        <w:ind w:left="540" w:hanging="540"/>
        <w:rPr>
          <w:color w:val="222222"/>
        </w:rPr>
      </w:pPr>
    </w:p>
    <w:p w14:paraId="71BC11BE"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(226) </w:t>
      </w:r>
      <w:r w:rsidRPr="00A155FA">
        <w:rPr>
          <w:rFonts w:ascii="Times New Roman" w:eastAsia="Times New Roman" w:hAnsi="Times New Roman" w:cs="Times New Roman"/>
          <w:b/>
          <w:bCs/>
          <w:color w:val="222222"/>
        </w:rPr>
        <w:t>Prefrontal contributes to external naris</w:t>
      </w:r>
      <w:r w:rsidRPr="00A155FA">
        <w:rPr>
          <w:rFonts w:ascii="Times New Roman" w:eastAsia="Times New Roman" w:hAnsi="Times New Roman" w:cs="Times New Roman"/>
          <w:color w:val="222222"/>
        </w:rPr>
        <w:t>. Distant from (0), near (1), present (2).</w:t>
      </w:r>
    </w:p>
    <w:p w14:paraId="5701A82C" w14:textId="77777777" w:rsidR="00A97E37" w:rsidRPr="00A155FA" w:rsidRDefault="00A97E37" w:rsidP="00D01A5E">
      <w:pPr>
        <w:ind w:left="540" w:hanging="540"/>
        <w:rPr>
          <w:color w:val="222222"/>
        </w:rPr>
      </w:pPr>
    </w:p>
    <w:p w14:paraId="759D8D74"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(227) </w:t>
      </w:r>
      <w:r w:rsidRPr="00A155FA">
        <w:rPr>
          <w:rFonts w:ascii="Times New Roman" w:eastAsia="Times New Roman" w:hAnsi="Times New Roman" w:cs="Times New Roman"/>
          <w:b/>
          <w:bCs/>
          <w:color w:val="222222"/>
        </w:rPr>
        <w:t>External naris in dorsal view</w:t>
      </w:r>
      <w:r w:rsidRPr="00A155FA">
        <w:rPr>
          <w:rFonts w:ascii="Times New Roman" w:eastAsia="Times New Roman" w:hAnsi="Times New Roman" w:cs="Times New Roman"/>
          <w:color w:val="222222"/>
        </w:rPr>
        <w:t>. Exposed (0), not exposed (1).</w:t>
      </w:r>
    </w:p>
    <w:p w14:paraId="38488371" w14:textId="77777777" w:rsidR="00A97E37" w:rsidRPr="00A155FA" w:rsidRDefault="00A97E37" w:rsidP="00D01A5E">
      <w:pPr>
        <w:ind w:left="540" w:hanging="540"/>
        <w:rPr>
          <w:color w:val="222222"/>
        </w:rPr>
      </w:pPr>
    </w:p>
    <w:p w14:paraId="50E759E5"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(228) </w:t>
      </w:r>
      <w:r w:rsidRPr="00A155FA">
        <w:rPr>
          <w:rFonts w:ascii="Times New Roman" w:eastAsia="Times New Roman" w:hAnsi="Times New Roman" w:cs="Times New Roman"/>
          <w:b/>
          <w:bCs/>
          <w:color w:val="222222"/>
        </w:rPr>
        <w:t>Posterior skull marg</w:t>
      </w:r>
      <w:r w:rsidRPr="00A155FA">
        <w:rPr>
          <w:rFonts w:ascii="Times New Roman" w:eastAsia="Times New Roman" w:hAnsi="Times New Roman" w:cs="Times New Roman"/>
          <w:color w:val="222222"/>
        </w:rPr>
        <w:t>in. Concave (0), straight (1), convex (2), undulating (3).</w:t>
      </w:r>
    </w:p>
    <w:p w14:paraId="567089D8" w14:textId="77777777" w:rsidR="00A97E37" w:rsidRPr="00A155FA" w:rsidRDefault="00A97E37" w:rsidP="00D01A5E">
      <w:pPr>
        <w:ind w:left="540" w:hanging="540"/>
        <w:rPr>
          <w:color w:val="222222"/>
        </w:rPr>
      </w:pPr>
    </w:p>
    <w:p w14:paraId="366513A3"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(229) </w:t>
      </w:r>
      <w:r w:rsidRPr="00A155FA">
        <w:rPr>
          <w:rFonts w:ascii="Times New Roman" w:eastAsia="Times New Roman" w:hAnsi="Times New Roman" w:cs="Times New Roman"/>
          <w:b/>
          <w:bCs/>
          <w:color w:val="222222"/>
        </w:rPr>
        <w:t>Large otic notch approaching orbit</w:t>
      </w:r>
      <w:r w:rsidRPr="00A155FA">
        <w:rPr>
          <w:rFonts w:ascii="Times New Roman" w:eastAsia="Times New Roman" w:hAnsi="Times New Roman" w:cs="Times New Roman"/>
          <w:color w:val="222222"/>
        </w:rPr>
        <w:t>. Absent (0), intermediate (1), close (2).</w:t>
      </w:r>
    </w:p>
    <w:p w14:paraId="5EAF2AD5" w14:textId="77777777" w:rsidR="00A97E37" w:rsidRPr="00A155FA" w:rsidRDefault="00A97E37" w:rsidP="00D01A5E">
      <w:pPr>
        <w:ind w:left="540" w:hanging="540"/>
        <w:rPr>
          <w:color w:val="222222"/>
        </w:rPr>
      </w:pPr>
    </w:p>
    <w:p w14:paraId="010B0653"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(230) </w:t>
      </w:r>
      <w:r w:rsidRPr="00A155FA">
        <w:rPr>
          <w:rFonts w:ascii="Times New Roman" w:eastAsia="Times New Roman" w:hAnsi="Times New Roman" w:cs="Times New Roman"/>
          <w:b/>
          <w:bCs/>
          <w:color w:val="222222"/>
        </w:rPr>
        <w:t>Postorbital</w:t>
      </w:r>
      <w:r w:rsidRPr="00A155FA">
        <w:rPr>
          <w:rFonts w:ascii="Times New Roman" w:eastAsia="Times New Roman" w:hAnsi="Times New Roman" w:cs="Times New Roman"/>
          <w:color w:val="222222"/>
        </w:rPr>
        <w:t>. Present (0), absent (1).</w:t>
      </w:r>
    </w:p>
    <w:p w14:paraId="1EFE4292" w14:textId="77777777" w:rsidR="00A97E37" w:rsidRPr="00A155FA" w:rsidRDefault="00A97E37" w:rsidP="00D01A5E">
      <w:pPr>
        <w:ind w:left="540" w:hanging="540"/>
        <w:rPr>
          <w:color w:val="222222"/>
        </w:rPr>
      </w:pPr>
    </w:p>
    <w:p w14:paraId="649C68C3" w14:textId="21F905FF" w:rsidR="00A97E37" w:rsidRPr="002D2B11" w:rsidRDefault="00A97E37" w:rsidP="002D2B11">
      <w:pPr>
        <w:pStyle w:val="ListParagraph"/>
        <w:numPr>
          <w:ilvl w:val="0"/>
          <w:numId w:val="11"/>
        </w:numPr>
        <w:ind w:left="540" w:hanging="540"/>
        <w:rPr>
          <w:color w:val="222222"/>
        </w:rPr>
      </w:pPr>
      <w:r w:rsidRPr="00A155FA">
        <w:rPr>
          <w:rFonts w:ascii="Times New Roman" w:eastAsia="Times New Roman" w:hAnsi="Times New Roman" w:cs="Times New Roman"/>
          <w:color w:val="222222"/>
        </w:rPr>
        <w:t xml:space="preserve">(231) </w:t>
      </w:r>
      <w:r w:rsidRPr="00A155FA">
        <w:rPr>
          <w:rFonts w:ascii="Times New Roman" w:eastAsia="Times New Roman" w:hAnsi="Times New Roman" w:cs="Times New Roman"/>
          <w:b/>
          <w:bCs/>
          <w:color w:val="222222"/>
        </w:rPr>
        <w:t>Shape of postorbital</w:t>
      </w:r>
      <w:r w:rsidRPr="00A155FA">
        <w:rPr>
          <w:rFonts w:ascii="Times New Roman" w:eastAsia="Times New Roman" w:hAnsi="Times New Roman" w:cs="Times New Roman"/>
          <w:color w:val="222222"/>
        </w:rPr>
        <w:t>. Irregular trapezoid (0), triangular, apex caudal (1).</w:t>
      </w:r>
    </w:p>
    <w:p w14:paraId="485C1F3A" w14:textId="77777777" w:rsidR="00A97E37" w:rsidRPr="00A155FA" w:rsidRDefault="00A97E37" w:rsidP="002D2B11">
      <w:pPr>
        <w:rPr>
          <w:color w:val="222222"/>
        </w:rPr>
      </w:pPr>
    </w:p>
    <w:p w14:paraId="1126C1ED"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(233) </w:t>
      </w:r>
      <w:r w:rsidRPr="00A155FA">
        <w:rPr>
          <w:rFonts w:ascii="Times New Roman" w:eastAsia="Times New Roman" w:hAnsi="Times New Roman" w:cs="Times New Roman"/>
          <w:b/>
          <w:bCs/>
          <w:color w:val="222222"/>
        </w:rPr>
        <w:t>Parietal-squamosal contact</w:t>
      </w:r>
      <w:r w:rsidRPr="00A155FA">
        <w:rPr>
          <w:rFonts w:ascii="Times New Roman" w:eastAsia="Times New Roman" w:hAnsi="Times New Roman" w:cs="Times New Roman"/>
          <w:color w:val="222222"/>
        </w:rPr>
        <w:t>. Absent (0), present (1).</w:t>
      </w:r>
    </w:p>
    <w:p w14:paraId="16EA4A03" w14:textId="77777777" w:rsidR="00A97E37" w:rsidRPr="00A155FA" w:rsidRDefault="00A97E37" w:rsidP="00D01A5E">
      <w:pPr>
        <w:ind w:left="540" w:hanging="540"/>
        <w:rPr>
          <w:color w:val="222222"/>
        </w:rPr>
      </w:pPr>
    </w:p>
    <w:p w14:paraId="35260F4F"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(234) </w:t>
      </w:r>
      <w:r w:rsidRPr="00A155FA">
        <w:rPr>
          <w:rFonts w:ascii="Times New Roman" w:eastAsia="Times New Roman" w:hAnsi="Times New Roman" w:cs="Times New Roman"/>
          <w:b/>
          <w:bCs/>
          <w:color w:val="222222"/>
        </w:rPr>
        <w:t>Parietal-tabular contact</w:t>
      </w:r>
      <w:r w:rsidRPr="00A155FA">
        <w:rPr>
          <w:rFonts w:ascii="Times New Roman" w:eastAsia="Times New Roman" w:hAnsi="Times New Roman" w:cs="Times New Roman"/>
          <w:color w:val="222222"/>
        </w:rPr>
        <w:t>. Absent (0), present (1).</w:t>
      </w:r>
    </w:p>
    <w:p w14:paraId="102628B6" w14:textId="77777777" w:rsidR="00A97E37" w:rsidRPr="00A155FA" w:rsidRDefault="00A97E37" w:rsidP="00D01A5E">
      <w:pPr>
        <w:ind w:left="540" w:hanging="540"/>
        <w:rPr>
          <w:color w:val="222222"/>
        </w:rPr>
      </w:pPr>
    </w:p>
    <w:p w14:paraId="22F48DE2"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(235) </w:t>
      </w:r>
      <w:r w:rsidRPr="00A155FA">
        <w:rPr>
          <w:rFonts w:ascii="Times New Roman" w:eastAsia="Times New Roman" w:hAnsi="Times New Roman" w:cs="Times New Roman"/>
          <w:b/>
          <w:bCs/>
          <w:color w:val="222222"/>
        </w:rPr>
        <w:t>Postparietals</w:t>
      </w:r>
      <w:r w:rsidRPr="00A155FA">
        <w:rPr>
          <w:rFonts w:ascii="Times New Roman" w:eastAsia="Times New Roman" w:hAnsi="Times New Roman" w:cs="Times New Roman"/>
          <w:color w:val="222222"/>
        </w:rPr>
        <w:t>. Paired (0), fused (1), absent (2).</w:t>
      </w:r>
    </w:p>
    <w:p w14:paraId="1AF3E0AF" w14:textId="77777777" w:rsidR="00A97E37" w:rsidRPr="00A155FA" w:rsidRDefault="00A97E37" w:rsidP="00D01A5E">
      <w:pPr>
        <w:ind w:left="540" w:hanging="540"/>
        <w:rPr>
          <w:color w:val="222222"/>
        </w:rPr>
      </w:pPr>
    </w:p>
    <w:p w14:paraId="18FF5B4A"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(236) </w:t>
      </w:r>
      <w:r w:rsidRPr="00A155FA">
        <w:rPr>
          <w:rFonts w:ascii="Times New Roman" w:eastAsia="Times New Roman" w:hAnsi="Times New Roman" w:cs="Times New Roman"/>
          <w:b/>
          <w:bCs/>
          <w:color w:val="222222"/>
        </w:rPr>
        <w:t>Postparietal-squamosal contact</w:t>
      </w:r>
      <w:r w:rsidRPr="00A155FA">
        <w:rPr>
          <w:rFonts w:ascii="Times New Roman" w:eastAsia="Times New Roman" w:hAnsi="Times New Roman" w:cs="Times New Roman"/>
          <w:color w:val="222222"/>
        </w:rPr>
        <w:t>. Absent (0), present (1).</w:t>
      </w:r>
    </w:p>
    <w:p w14:paraId="175DE4D3" w14:textId="77777777" w:rsidR="00A97E37" w:rsidRPr="00A155FA" w:rsidRDefault="00A97E37" w:rsidP="00D01A5E">
      <w:pPr>
        <w:ind w:left="540" w:hanging="540"/>
        <w:rPr>
          <w:color w:val="222222"/>
        </w:rPr>
      </w:pPr>
    </w:p>
    <w:p w14:paraId="08203C50"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(237) </w:t>
      </w:r>
      <w:r w:rsidRPr="00A155FA">
        <w:rPr>
          <w:rFonts w:ascii="Times New Roman" w:eastAsia="Times New Roman" w:hAnsi="Times New Roman" w:cs="Times New Roman"/>
          <w:b/>
          <w:bCs/>
          <w:color w:val="222222"/>
        </w:rPr>
        <w:t>Postparietal length</w:t>
      </w:r>
      <w:r w:rsidRPr="00A155FA">
        <w:rPr>
          <w:rFonts w:ascii="Times New Roman" w:eastAsia="Times New Roman" w:hAnsi="Times New Roman" w:cs="Times New Roman"/>
          <w:color w:val="222222"/>
        </w:rPr>
        <w:t>. Large, quadrangular (0), abbreviated anteroposteriorly,</w:t>
      </w:r>
    </w:p>
    <w:p w14:paraId="57B66B61"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elongate lateral rectangle (1).</w:t>
      </w:r>
    </w:p>
    <w:p w14:paraId="0C42496C" w14:textId="77777777" w:rsidR="00A97E37" w:rsidRPr="00A155FA" w:rsidRDefault="00A97E37" w:rsidP="00D01A5E">
      <w:pPr>
        <w:ind w:left="540" w:hanging="540"/>
        <w:rPr>
          <w:color w:val="222222"/>
        </w:rPr>
      </w:pPr>
    </w:p>
    <w:p w14:paraId="66077E43"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(238) </w:t>
      </w:r>
      <w:r w:rsidRPr="00A155FA">
        <w:rPr>
          <w:rFonts w:ascii="Times New Roman" w:eastAsia="Times New Roman" w:hAnsi="Times New Roman" w:cs="Times New Roman"/>
          <w:b/>
          <w:bCs/>
          <w:color w:val="222222"/>
        </w:rPr>
        <w:t>Squamosal-jugal contact</w:t>
      </w:r>
      <w:r w:rsidRPr="00A155FA">
        <w:rPr>
          <w:rFonts w:ascii="Times New Roman" w:eastAsia="Times New Roman" w:hAnsi="Times New Roman" w:cs="Times New Roman"/>
          <w:color w:val="222222"/>
        </w:rPr>
        <w:t>. Present (0), absent (1).</w:t>
      </w:r>
    </w:p>
    <w:p w14:paraId="4883BBDD" w14:textId="77777777" w:rsidR="00A97E37" w:rsidRPr="00A155FA" w:rsidRDefault="00A97E37" w:rsidP="00D01A5E">
      <w:pPr>
        <w:ind w:left="540" w:hanging="540"/>
        <w:rPr>
          <w:color w:val="222222"/>
        </w:rPr>
      </w:pPr>
    </w:p>
    <w:p w14:paraId="00CAD9DE"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(239) </w:t>
      </w:r>
      <w:r w:rsidRPr="00A155FA">
        <w:rPr>
          <w:rFonts w:ascii="Times New Roman" w:eastAsia="Times New Roman" w:hAnsi="Times New Roman" w:cs="Times New Roman"/>
          <w:b/>
          <w:bCs/>
          <w:color w:val="222222"/>
        </w:rPr>
        <w:t>Tabular</w:t>
      </w:r>
      <w:r w:rsidRPr="00A155FA">
        <w:rPr>
          <w:rFonts w:ascii="Times New Roman" w:eastAsia="Times New Roman" w:hAnsi="Times New Roman" w:cs="Times New Roman"/>
          <w:color w:val="222222"/>
        </w:rPr>
        <w:t>. Present (0), absent (1).</w:t>
      </w:r>
    </w:p>
    <w:p w14:paraId="0114BF31" w14:textId="77777777" w:rsidR="00A97E37" w:rsidRPr="00A155FA" w:rsidRDefault="00A97E37" w:rsidP="00D01A5E">
      <w:pPr>
        <w:ind w:left="540" w:hanging="540"/>
        <w:rPr>
          <w:color w:val="222222"/>
        </w:rPr>
      </w:pPr>
    </w:p>
    <w:p w14:paraId="13F76E5B"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(240) </w:t>
      </w:r>
      <w:r w:rsidRPr="00A155FA">
        <w:rPr>
          <w:rFonts w:ascii="Times New Roman" w:eastAsia="Times New Roman" w:hAnsi="Times New Roman" w:cs="Times New Roman"/>
          <w:b/>
          <w:bCs/>
          <w:color w:val="222222"/>
        </w:rPr>
        <w:t>Maxilla into external naris</w:t>
      </w:r>
      <w:r w:rsidRPr="00A155FA">
        <w:rPr>
          <w:rFonts w:ascii="Times New Roman" w:eastAsia="Times New Roman" w:hAnsi="Times New Roman" w:cs="Times New Roman"/>
          <w:color w:val="222222"/>
        </w:rPr>
        <w:t>. Present (0), absent (1).</w:t>
      </w:r>
    </w:p>
    <w:p w14:paraId="165156D6" w14:textId="77777777" w:rsidR="00A97E37" w:rsidRPr="00A155FA" w:rsidRDefault="00A97E37" w:rsidP="00D01A5E">
      <w:pPr>
        <w:ind w:left="540" w:hanging="540"/>
        <w:rPr>
          <w:color w:val="222222"/>
        </w:rPr>
      </w:pPr>
    </w:p>
    <w:p w14:paraId="497D1CA8"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(241) </w:t>
      </w:r>
      <w:r w:rsidRPr="00A155FA">
        <w:rPr>
          <w:rFonts w:ascii="Times New Roman" w:eastAsia="Times New Roman" w:hAnsi="Times New Roman" w:cs="Times New Roman"/>
          <w:b/>
          <w:bCs/>
          <w:color w:val="222222"/>
        </w:rPr>
        <w:t>Maxilla forms entire ventral naris</w:t>
      </w:r>
      <w:r w:rsidRPr="00A155FA">
        <w:rPr>
          <w:rFonts w:ascii="Times New Roman" w:eastAsia="Times New Roman" w:hAnsi="Times New Roman" w:cs="Times New Roman"/>
          <w:color w:val="222222"/>
        </w:rPr>
        <w:t>. Absent (0), present (1).</w:t>
      </w:r>
    </w:p>
    <w:p w14:paraId="5FC1311C" w14:textId="77777777" w:rsidR="00A97E37" w:rsidRPr="00A155FA" w:rsidRDefault="00A97E37" w:rsidP="00D01A5E">
      <w:pPr>
        <w:ind w:left="540" w:hanging="540"/>
        <w:rPr>
          <w:color w:val="222222"/>
        </w:rPr>
      </w:pPr>
    </w:p>
    <w:p w14:paraId="1185D9B0"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(242) </w:t>
      </w:r>
      <w:r w:rsidRPr="00A155FA">
        <w:rPr>
          <w:rFonts w:ascii="Times New Roman" w:eastAsia="Times New Roman" w:hAnsi="Times New Roman" w:cs="Times New Roman"/>
          <w:b/>
          <w:bCs/>
          <w:color w:val="222222"/>
        </w:rPr>
        <w:t>Number of premaxillary teeth</w:t>
      </w:r>
      <w:r w:rsidRPr="00A155FA">
        <w:rPr>
          <w:rFonts w:ascii="Times New Roman" w:eastAsia="Times New Roman" w:hAnsi="Times New Roman" w:cs="Times New Roman"/>
          <w:color w:val="222222"/>
        </w:rPr>
        <w:t>. &gt;=10 (0), 5-9 (1), &lt;5 (2).</w:t>
      </w:r>
    </w:p>
    <w:p w14:paraId="56FCF899" w14:textId="77777777" w:rsidR="00A97E37" w:rsidRPr="00A155FA" w:rsidRDefault="00A97E37" w:rsidP="00D01A5E">
      <w:pPr>
        <w:ind w:left="540" w:hanging="540"/>
        <w:rPr>
          <w:color w:val="222222"/>
        </w:rPr>
      </w:pPr>
    </w:p>
    <w:p w14:paraId="41D9E03F"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(243) </w:t>
      </w:r>
      <w:r w:rsidRPr="00A155FA">
        <w:rPr>
          <w:rFonts w:ascii="Times New Roman" w:eastAsia="Times New Roman" w:hAnsi="Times New Roman" w:cs="Times New Roman"/>
          <w:b/>
          <w:bCs/>
          <w:color w:val="222222"/>
        </w:rPr>
        <w:t>Number of maxillary teeth</w:t>
      </w:r>
      <w:r w:rsidRPr="00A155FA">
        <w:rPr>
          <w:rFonts w:ascii="Times New Roman" w:eastAsia="Times New Roman" w:hAnsi="Times New Roman" w:cs="Times New Roman"/>
          <w:color w:val="222222"/>
        </w:rPr>
        <w:t>. &gt;=30 (0), 20-29 (1), &lt;20 (2).</w:t>
      </w:r>
    </w:p>
    <w:p w14:paraId="5E7CA27B" w14:textId="77777777" w:rsidR="00A97E37" w:rsidRPr="00A155FA" w:rsidRDefault="00A97E37" w:rsidP="00D01A5E">
      <w:pPr>
        <w:ind w:left="540" w:hanging="540"/>
        <w:rPr>
          <w:color w:val="222222"/>
        </w:rPr>
      </w:pPr>
    </w:p>
    <w:p w14:paraId="6E724177"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(244) </w:t>
      </w:r>
      <w:r w:rsidRPr="00A155FA">
        <w:rPr>
          <w:rFonts w:ascii="Times New Roman" w:eastAsia="Times New Roman" w:hAnsi="Times New Roman" w:cs="Times New Roman"/>
          <w:b/>
          <w:bCs/>
          <w:color w:val="222222"/>
        </w:rPr>
        <w:t>Teeth laterally compressed</w:t>
      </w:r>
      <w:r w:rsidRPr="00A155FA">
        <w:rPr>
          <w:rFonts w:ascii="Times New Roman" w:eastAsia="Times New Roman" w:hAnsi="Times New Roman" w:cs="Times New Roman"/>
          <w:color w:val="222222"/>
        </w:rPr>
        <w:t>. No (0), yes (1).</w:t>
      </w:r>
    </w:p>
    <w:p w14:paraId="30466AF1" w14:textId="77777777" w:rsidR="00A97E37" w:rsidRPr="00A155FA" w:rsidRDefault="00A97E37" w:rsidP="00D01A5E">
      <w:pPr>
        <w:ind w:left="540" w:hanging="540"/>
        <w:rPr>
          <w:color w:val="222222"/>
        </w:rPr>
      </w:pPr>
    </w:p>
    <w:p w14:paraId="18816B02"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(245) </w:t>
      </w:r>
      <w:r w:rsidRPr="00A155FA">
        <w:rPr>
          <w:rFonts w:ascii="Times New Roman" w:eastAsia="Times New Roman" w:hAnsi="Times New Roman" w:cs="Times New Roman"/>
          <w:b/>
          <w:bCs/>
          <w:color w:val="222222"/>
        </w:rPr>
        <w:t>Occipital profile</w:t>
      </w:r>
      <w:r w:rsidRPr="00A155FA">
        <w:rPr>
          <w:rFonts w:ascii="Times New Roman" w:eastAsia="Times New Roman" w:hAnsi="Times New Roman" w:cs="Times New Roman"/>
          <w:color w:val="222222"/>
        </w:rPr>
        <w:t>. Low and wide (0), high and wide (1), high and narrow (2).</w:t>
      </w:r>
    </w:p>
    <w:p w14:paraId="37F2DBD5" w14:textId="77777777" w:rsidR="00A97E37" w:rsidRPr="00A155FA" w:rsidRDefault="00A97E37" w:rsidP="00D01A5E">
      <w:pPr>
        <w:ind w:left="540" w:hanging="540"/>
        <w:rPr>
          <w:color w:val="222222"/>
        </w:rPr>
      </w:pPr>
    </w:p>
    <w:p w14:paraId="7AE84561"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(246) </w:t>
      </w:r>
      <w:r w:rsidRPr="00A155FA">
        <w:rPr>
          <w:rFonts w:ascii="Times New Roman" w:eastAsia="Times New Roman" w:hAnsi="Times New Roman" w:cs="Times New Roman"/>
          <w:b/>
          <w:bCs/>
          <w:color w:val="222222"/>
        </w:rPr>
        <w:t>Supraoccipital</w:t>
      </w:r>
      <w:r w:rsidRPr="00A155FA">
        <w:rPr>
          <w:rFonts w:ascii="Times New Roman" w:eastAsia="Times New Roman" w:hAnsi="Times New Roman" w:cs="Times New Roman"/>
          <w:color w:val="222222"/>
        </w:rPr>
        <w:t>. Absent (0), present (1).</w:t>
      </w:r>
    </w:p>
    <w:p w14:paraId="3BBA939F" w14:textId="77777777" w:rsidR="00A97E37" w:rsidRPr="00A155FA" w:rsidRDefault="00A97E37" w:rsidP="00D01A5E">
      <w:pPr>
        <w:ind w:left="540" w:hanging="540"/>
        <w:rPr>
          <w:color w:val="222222"/>
        </w:rPr>
      </w:pPr>
    </w:p>
    <w:p w14:paraId="7FBE1E7D"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(247) </w:t>
      </w:r>
      <w:r w:rsidRPr="00A155FA">
        <w:rPr>
          <w:rFonts w:ascii="Times New Roman" w:eastAsia="Times New Roman" w:hAnsi="Times New Roman" w:cs="Times New Roman"/>
          <w:b/>
          <w:bCs/>
          <w:color w:val="222222"/>
        </w:rPr>
        <w:t>Jugular foramen</w:t>
      </w:r>
      <w:r w:rsidRPr="00A155FA">
        <w:rPr>
          <w:rFonts w:ascii="Times New Roman" w:eastAsia="Times New Roman" w:hAnsi="Times New Roman" w:cs="Times New Roman"/>
          <w:color w:val="222222"/>
        </w:rPr>
        <w:t xml:space="preserve">. Between </w:t>
      </w:r>
      <w:proofErr w:type="spellStart"/>
      <w:r w:rsidRPr="00A155FA">
        <w:rPr>
          <w:rFonts w:ascii="Times New Roman" w:eastAsia="Times New Roman" w:hAnsi="Times New Roman" w:cs="Times New Roman"/>
          <w:color w:val="222222"/>
        </w:rPr>
        <w:t>opistotic</w:t>
      </w:r>
      <w:proofErr w:type="spellEnd"/>
      <w:r w:rsidRPr="00A155FA">
        <w:rPr>
          <w:rFonts w:ascii="Times New Roman" w:eastAsia="Times New Roman" w:hAnsi="Times New Roman" w:cs="Times New Roman"/>
          <w:color w:val="222222"/>
        </w:rPr>
        <w:t xml:space="preserve"> and exoccipital (0), through exoccipital (1).</w:t>
      </w:r>
    </w:p>
    <w:p w14:paraId="3BA4988C" w14:textId="77777777" w:rsidR="00A97E37" w:rsidRPr="00A155FA" w:rsidRDefault="00A97E37" w:rsidP="00D01A5E">
      <w:pPr>
        <w:ind w:left="540" w:hanging="540"/>
        <w:rPr>
          <w:color w:val="222222"/>
        </w:rPr>
      </w:pPr>
    </w:p>
    <w:p w14:paraId="347D0582"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(248) </w:t>
      </w:r>
      <w:r w:rsidRPr="00A155FA">
        <w:rPr>
          <w:rFonts w:ascii="Times New Roman" w:eastAsia="Times New Roman" w:hAnsi="Times New Roman" w:cs="Times New Roman"/>
          <w:b/>
          <w:bCs/>
          <w:color w:val="222222"/>
        </w:rPr>
        <w:t>Anterior palatine</w:t>
      </w:r>
      <w:r w:rsidRPr="00A155FA">
        <w:rPr>
          <w:rFonts w:ascii="Times New Roman" w:eastAsia="Times New Roman" w:hAnsi="Times New Roman" w:cs="Times New Roman"/>
          <w:color w:val="222222"/>
        </w:rPr>
        <w:t>. Short anteromedial process articulating with vomer at choana</w:t>
      </w:r>
    </w:p>
    <w:p w14:paraId="3B490D1D" w14:textId="77777777" w:rsidR="00A97E37" w:rsidRPr="00A155FA" w:rsidRDefault="00A97E37" w:rsidP="00D01A5E">
      <w:pPr>
        <w:pStyle w:val="ListParagraph"/>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(0), long anteromedial process, more medial than lateral (1).</w:t>
      </w:r>
    </w:p>
    <w:p w14:paraId="7C88F6E9" w14:textId="77777777" w:rsidR="00A97E37" w:rsidRPr="00A155FA" w:rsidRDefault="00A97E37" w:rsidP="00D01A5E">
      <w:pPr>
        <w:ind w:left="540" w:hanging="540"/>
        <w:rPr>
          <w:color w:val="222222"/>
        </w:rPr>
      </w:pPr>
    </w:p>
    <w:p w14:paraId="2D753FA2"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(249) </w:t>
      </w:r>
      <w:r w:rsidRPr="00A155FA">
        <w:rPr>
          <w:rFonts w:ascii="Times New Roman" w:eastAsia="Times New Roman" w:hAnsi="Times New Roman" w:cs="Times New Roman"/>
          <w:b/>
          <w:bCs/>
          <w:color w:val="222222"/>
        </w:rPr>
        <w:t>Denticles on pterygoid</w:t>
      </w:r>
      <w:r w:rsidRPr="00A155FA">
        <w:rPr>
          <w:rFonts w:ascii="Times New Roman" w:eastAsia="Times New Roman" w:hAnsi="Times New Roman" w:cs="Times New Roman"/>
          <w:color w:val="222222"/>
        </w:rPr>
        <w:t>. Present (0), absent (1).</w:t>
      </w:r>
    </w:p>
    <w:p w14:paraId="0616EE6A" w14:textId="77777777" w:rsidR="00A97E37" w:rsidRPr="00A155FA" w:rsidRDefault="00A97E37" w:rsidP="00D01A5E">
      <w:pPr>
        <w:ind w:left="540" w:hanging="540"/>
        <w:rPr>
          <w:color w:val="222222"/>
        </w:rPr>
      </w:pPr>
    </w:p>
    <w:p w14:paraId="38C513B4"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(250) </w:t>
      </w:r>
      <w:r w:rsidRPr="00A155FA">
        <w:rPr>
          <w:rFonts w:ascii="Times New Roman" w:eastAsia="Times New Roman" w:hAnsi="Times New Roman" w:cs="Times New Roman"/>
          <w:b/>
          <w:bCs/>
          <w:color w:val="222222"/>
        </w:rPr>
        <w:t>Teeth on pterygoid</w:t>
      </w:r>
      <w:r w:rsidRPr="00A155FA">
        <w:rPr>
          <w:rFonts w:ascii="Times New Roman" w:eastAsia="Times New Roman" w:hAnsi="Times New Roman" w:cs="Times New Roman"/>
          <w:color w:val="222222"/>
        </w:rPr>
        <w:t>. Absent (0), present (1).</w:t>
      </w:r>
    </w:p>
    <w:p w14:paraId="7B91A6E5" w14:textId="77777777" w:rsidR="00A97E37" w:rsidRPr="00A155FA" w:rsidRDefault="00A97E37" w:rsidP="00D01A5E">
      <w:pPr>
        <w:ind w:left="540" w:hanging="540"/>
        <w:rPr>
          <w:color w:val="222222"/>
        </w:rPr>
      </w:pPr>
    </w:p>
    <w:p w14:paraId="1DBC9C79"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(251) </w:t>
      </w:r>
      <w:r w:rsidRPr="00A155FA">
        <w:rPr>
          <w:rFonts w:ascii="Times New Roman" w:eastAsia="Times New Roman" w:hAnsi="Times New Roman" w:cs="Times New Roman"/>
          <w:b/>
          <w:bCs/>
          <w:color w:val="222222"/>
        </w:rPr>
        <w:t>Denticles on vomers</w:t>
      </w:r>
      <w:r w:rsidRPr="00A155FA">
        <w:rPr>
          <w:rFonts w:ascii="Times New Roman" w:eastAsia="Times New Roman" w:hAnsi="Times New Roman" w:cs="Times New Roman"/>
          <w:color w:val="222222"/>
        </w:rPr>
        <w:t>. Present (0), absent (1).</w:t>
      </w:r>
    </w:p>
    <w:p w14:paraId="67CB9C68" w14:textId="77777777" w:rsidR="00A97E37" w:rsidRPr="00A155FA" w:rsidRDefault="00A97E37" w:rsidP="00D01A5E">
      <w:pPr>
        <w:ind w:left="540" w:hanging="540"/>
        <w:rPr>
          <w:color w:val="222222"/>
        </w:rPr>
      </w:pPr>
    </w:p>
    <w:p w14:paraId="093C2271"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(252) </w:t>
      </w:r>
      <w:r w:rsidRPr="00A155FA">
        <w:rPr>
          <w:rFonts w:ascii="Times New Roman" w:eastAsia="Times New Roman" w:hAnsi="Times New Roman" w:cs="Times New Roman"/>
          <w:b/>
          <w:bCs/>
          <w:color w:val="222222"/>
        </w:rPr>
        <w:t>Denticles on palatines</w:t>
      </w:r>
      <w:r w:rsidRPr="00A155FA">
        <w:rPr>
          <w:rFonts w:ascii="Times New Roman" w:eastAsia="Times New Roman" w:hAnsi="Times New Roman" w:cs="Times New Roman"/>
          <w:color w:val="222222"/>
        </w:rPr>
        <w:t>. Present (0), absent (1).</w:t>
      </w:r>
    </w:p>
    <w:p w14:paraId="630208AA" w14:textId="77777777" w:rsidR="00A97E37" w:rsidRPr="00A155FA" w:rsidRDefault="00A97E37" w:rsidP="00D01A5E">
      <w:pPr>
        <w:rPr>
          <w:color w:val="222222"/>
        </w:rPr>
      </w:pPr>
    </w:p>
    <w:p w14:paraId="601343C3"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(254) </w:t>
      </w:r>
      <w:r w:rsidRPr="00A155FA">
        <w:rPr>
          <w:rFonts w:ascii="Times New Roman" w:eastAsia="Times New Roman" w:hAnsi="Times New Roman" w:cs="Times New Roman"/>
          <w:b/>
          <w:bCs/>
          <w:color w:val="222222"/>
        </w:rPr>
        <w:t>Cultriform process contact with vomer</w:t>
      </w:r>
      <w:r w:rsidRPr="00A155FA">
        <w:rPr>
          <w:rFonts w:ascii="Times New Roman" w:eastAsia="Times New Roman" w:hAnsi="Times New Roman" w:cs="Times New Roman"/>
          <w:color w:val="222222"/>
        </w:rPr>
        <w:t>. Narrow (0), broad (1).</w:t>
      </w:r>
    </w:p>
    <w:p w14:paraId="5E1B8028" w14:textId="77777777" w:rsidR="00A97E37" w:rsidRPr="00A155FA" w:rsidRDefault="00A97E37" w:rsidP="00D01A5E">
      <w:pPr>
        <w:ind w:left="540" w:hanging="540"/>
        <w:rPr>
          <w:color w:val="222222"/>
        </w:rPr>
      </w:pPr>
    </w:p>
    <w:p w14:paraId="60106315"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(255) </w:t>
      </w:r>
      <w:r w:rsidRPr="00A155FA">
        <w:rPr>
          <w:rFonts w:ascii="Times New Roman" w:eastAsia="Times New Roman" w:hAnsi="Times New Roman" w:cs="Times New Roman"/>
          <w:b/>
          <w:bCs/>
          <w:color w:val="222222"/>
        </w:rPr>
        <w:t>Stapes</w:t>
      </w:r>
      <w:r w:rsidRPr="00A155FA">
        <w:rPr>
          <w:rFonts w:ascii="Times New Roman" w:eastAsia="Times New Roman" w:hAnsi="Times New Roman" w:cs="Times New Roman"/>
          <w:color w:val="222222"/>
        </w:rPr>
        <w:t>. Perforated columella (0), imperforate columella (1), no columella (2).</w:t>
      </w:r>
    </w:p>
    <w:p w14:paraId="6FB613B0" w14:textId="77777777" w:rsidR="00A97E37" w:rsidRPr="00A155FA" w:rsidRDefault="00A97E37" w:rsidP="00D01A5E">
      <w:pPr>
        <w:ind w:left="540" w:hanging="540"/>
        <w:rPr>
          <w:color w:val="222222"/>
        </w:rPr>
      </w:pPr>
    </w:p>
    <w:p w14:paraId="371E38D4"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(256) </w:t>
      </w:r>
      <w:r w:rsidRPr="00A155FA">
        <w:rPr>
          <w:rFonts w:ascii="Times New Roman" w:eastAsia="Times New Roman" w:hAnsi="Times New Roman" w:cs="Times New Roman"/>
          <w:b/>
          <w:bCs/>
          <w:color w:val="222222"/>
        </w:rPr>
        <w:t>Pleurosphenoid</w:t>
      </w:r>
      <w:r w:rsidRPr="00A155FA">
        <w:rPr>
          <w:rFonts w:ascii="Times New Roman" w:eastAsia="Times New Roman" w:hAnsi="Times New Roman" w:cs="Times New Roman"/>
          <w:color w:val="222222"/>
        </w:rPr>
        <w:t>. Unossified (0), ossified (1).</w:t>
      </w:r>
    </w:p>
    <w:p w14:paraId="1D76FA74" w14:textId="77777777" w:rsidR="00A97E37" w:rsidRPr="00A155FA" w:rsidRDefault="00A97E37" w:rsidP="00D01A5E">
      <w:pPr>
        <w:ind w:left="540" w:hanging="540"/>
        <w:rPr>
          <w:color w:val="222222"/>
        </w:rPr>
      </w:pPr>
    </w:p>
    <w:p w14:paraId="7872FB05"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(257) </w:t>
      </w:r>
      <w:r w:rsidRPr="00A155FA">
        <w:rPr>
          <w:rFonts w:ascii="Times New Roman" w:eastAsia="Times New Roman" w:hAnsi="Times New Roman" w:cs="Times New Roman"/>
          <w:b/>
          <w:bCs/>
          <w:color w:val="222222"/>
        </w:rPr>
        <w:t>Sphenethmoid</w:t>
      </w:r>
      <w:r w:rsidRPr="00A155FA">
        <w:rPr>
          <w:rFonts w:ascii="Times New Roman" w:eastAsia="Times New Roman" w:hAnsi="Times New Roman" w:cs="Times New Roman"/>
          <w:color w:val="222222"/>
        </w:rPr>
        <w:t>. Ossified (0), unossified (1).</w:t>
      </w:r>
    </w:p>
    <w:p w14:paraId="6E14E893" w14:textId="77777777" w:rsidR="00A97E37" w:rsidRPr="00A155FA" w:rsidRDefault="00A97E37" w:rsidP="00D01A5E">
      <w:pPr>
        <w:ind w:left="540" w:hanging="540"/>
        <w:rPr>
          <w:color w:val="222222"/>
        </w:rPr>
      </w:pPr>
    </w:p>
    <w:p w14:paraId="332B2FB0"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(258) </w:t>
      </w:r>
      <w:r w:rsidRPr="00A155FA">
        <w:rPr>
          <w:rFonts w:ascii="Times New Roman" w:eastAsia="Times New Roman" w:hAnsi="Times New Roman" w:cs="Times New Roman"/>
          <w:b/>
          <w:bCs/>
          <w:color w:val="222222"/>
        </w:rPr>
        <w:t>Pterygoids contact anteriorly</w:t>
      </w:r>
      <w:r w:rsidRPr="00A155FA">
        <w:rPr>
          <w:rFonts w:ascii="Times New Roman" w:eastAsia="Times New Roman" w:hAnsi="Times New Roman" w:cs="Times New Roman"/>
          <w:color w:val="222222"/>
        </w:rPr>
        <w:t>. Present (0), absent (1).</w:t>
      </w:r>
    </w:p>
    <w:p w14:paraId="1AD13627" w14:textId="77777777" w:rsidR="00A97E37" w:rsidRPr="00A155FA" w:rsidRDefault="00A97E37" w:rsidP="00D01A5E">
      <w:pPr>
        <w:ind w:left="540" w:hanging="540"/>
        <w:rPr>
          <w:color w:val="222222"/>
        </w:rPr>
      </w:pPr>
    </w:p>
    <w:p w14:paraId="67172705"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(259) </w:t>
      </w:r>
      <w:r w:rsidRPr="00A155FA">
        <w:rPr>
          <w:rFonts w:ascii="Times New Roman" w:eastAsia="Times New Roman" w:hAnsi="Times New Roman" w:cs="Times New Roman"/>
          <w:b/>
          <w:bCs/>
          <w:color w:val="222222"/>
        </w:rPr>
        <w:t>Lateral process of pterygoid contribution to posttemporal fossa</w:t>
      </w:r>
      <w:r w:rsidRPr="00A155FA">
        <w:rPr>
          <w:rFonts w:ascii="Times New Roman" w:eastAsia="Times New Roman" w:hAnsi="Times New Roman" w:cs="Times New Roman"/>
          <w:color w:val="222222"/>
        </w:rPr>
        <w:t>. Absent (0),</w:t>
      </w:r>
    </w:p>
    <w:p w14:paraId="7E40D523"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present (1).</w:t>
      </w:r>
    </w:p>
    <w:p w14:paraId="183D9641" w14:textId="77777777" w:rsidR="00A97E37" w:rsidRPr="00A155FA" w:rsidRDefault="00A97E37" w:rsidP="00D01A5E">
      <w:pPr>
        <w:ind w:left="540" w:hanging="540"/>
        <w:rPr>
          <w:color w:val="222222"/>
        </w:rPr>
      </w:pPr>
    </w:p>
    <w:p w14:paraId="0DB9FCE1"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(260) </w:t>
      </w:r>
      <w:r w:rsidRPr="00A155FA">
        <w:rPr>
          <w:rFonts w:ascii="Times New Roman" w:eastAsia="Times New Roman" w:hAnsi="Times New Roman" w:cs="Times New Roman"/>
          <w:b/>
          <w:bCs/>
          <w:color w:val="222222"/>
        </w:rPr>
        <w:t>Dentary</w:t>
      </w:r>
      <w:r w:rsidRPr="00A155FA">
        <w:rPr>
          <w:rFonts w:ascii="Times New Roman" w:eastAsia="Times New Roman" w:hAnsi="Times New Roman" w:cs="Times New Roman"/>
          <w:color w:val="222222"/>
        </w:rPr>
        <w:t>. Long (0), short (1).</w:t>
      </w:r>
    </w:p>
    <w:p w14:paraId="3326FF3C" w14:textId="77777777" w:rsidR="00A97E37" w:rsidRPr="00A155FA" w:rsidRDefault="00A97E37" w:rsidP="00D01A5E">
      <w:pPr>
        <w:ind w:left="540" w:hanging="540"/>
        <w:rPr>
          <w:color w:val="222222"/>
        </w:rPr>
      </w:pPr>
    </w:p>
    <w:p w14:paraId="7A1A5CD0"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(261) </w:t>
      </w:r>
      <w:r w:rsidRPr="00A155FA">
        <w:rPr>
          <w:rFonts w:ascii="Times New Roman" w:eastAsia="Times New Roman" w:hAnsi="Times New Roman" w:cs="Times New Roman"/>
          <w:b/>
          <w:bCs/>
          <w:color w:val="222222"/>
        </w:rPr>
        <w:t>Dentary forms coronoid process</w:t>
      </w:r>
      <w:r w:rsidRPr="00A155FA">
        <w:rPr>
          <w:rFonts w:ascii="Times New Roman" w:eastAsia="Times New Roman" w:hAnsi="Times New Roman" w:cs="Times New Roman"/>
          <w:color w:val="222222"/>
        </w:rPr>
        <w:t>. Absent (0), present (1).</w:t>
      </w:r>
    </w:p>
    <w:p w14:paraId="6067845B" w14:textId="77777777" w:rsidR="00A97E37" w:rsidRPr="00A155FA" w:rsidRDefault="00A97E37" w:rsidP="00D01A5E">
      <w:pPr>
        <w:ind w:left="540" w:hanging="540"/>
        <w:rPr>
          <w:color w:val="222222"/>
        </w:rPr>
      </w:pPr>
    </w:p>
    <w:p w14:paraId="7E4D8D5E"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(262) </w:t>
      </w:r>
      <w:r w:rsidRPr="00A155FA">
        <w:rPr>
          <w:rFonts w:ascii="Times New Roman" w:eastAsia="Times New Roman" w:hAnsi="Times New Roman" w:cs="Times New Roman"/>
          <w:b/>
          <w:bCs/>
          <w:color w:val="222222"/>
        </w:rPr>
        <w:t>Surangular</w:t>
      </w:r>
      <w:r w:rsidRPr="00A155FA">
        <w:rPr>
          <w:rFonts w:ascii="Times New Roman" w:eastAsia="Times New Roman" w:hAnsi="Times New Roman" w:cs="Times New Roman"/>
          <w:color w:val="222222"/>
        </w:rPr>
        <w:t>. Normal (0), reduced (1), absent (2).</w:t>
      </w:r>
    </w:p>
    <w:p w14:paraId="00354816" w14:textId="77777777" w:rsidR="00A97E37" w:rsidRPr="00A155FA" w:rsidRDefault="00A97E37" w:rsidP="00D01A5E">
      <w:pPr>
        <w:ind w:left="540" w:hanging="540"/>
        <w:rPr>
          <w:color w:val="222222"/>
        </w:rPr>
      </w:pPr>
    </w:p>
    <w:p w14:paraId="171B2E10"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(263) </w:t>
      </w:r>
      <w:r w:rsidRPr="00A155FA">
        <w:rPr>
          <w:rFonts w:ascii="Times New Roman" w:eastAsia="Times New Roman" w:hAnsi="Times New Roman" w:cs="Times New Roman"/>
          <w:b/>
          <w:bCs/>
          <w:color w:val="222222"/>
        </w:rPr>
        <w:t>Angular</w:t>
      </w:r>
      <w:r w:rsidRPr="00A155FA">
        <w:rPr>
          <w:rFonts w:ascii="Times New Roman" w:eastAsia="Times New Roman" w:hAnsi="Times New Roman" w:cs="Times New Roman"/>
          <w:color w:val="222222"/>
        </w:rPr>
        <w:t>. Narrow (0), deep (1).</w:t>
      </w:r>
    </w:p>
    <w:p w14:paraId="08C2ECE4" w14:textId="77777777" w:rsidR="00A97E37" w:rsidRPr="00A155FA" w:rsidRDefault="00A97E37" w:rsidP="00D01A5E">
      <w:pPr>
        <w:ind w:left="540" w:hanging="540"/>
        <w:rPr>
          <w:color w:val="222222"/>
        </w:rPr>
      </w:pPr>
    </w:p>
    <w:p w14:paraId="390696D7"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(264) </w:t>
      </w:r>
      <w:r w:rsidRPr="00A155FA">
        <w:rPr>
          <w:rFonts w:ascii="Times New Roman" w:eastAsia="Times New Roman" w:hAnsi="Times New Roman" w:cs="Times New Roman"/>
          <w:b/>
          <w:bCs/>
          <w:color w:val="222222"/>
        </w:rPr>
        <w:t xml:space="preserve">Number of </w:t>
      </w:r>
      <w:proofErr w:type="spellStart"/>
      <w:r w:rsidRPr="00A155FA">
        <w:rPr>
          <w:rFonts w:ascii="Times New Roman" w:eastAsia="Times New Roman" w:hAnsi="Times New Roman" w:cs="Times New Roman"/>
          <w:b/>
          <w:bCs/>
          <w:color w:val="222222"/>
        </w:rPr>
        <w:t>splenials</w:t>
      </w:r>
      <w:proofErr w:type="spellEnd"/>
      <w:r w:rsidRPr="00A155FA">
        <w:rPr>
          <w:rFonts w:ascii="Times New Roman" w:eastAsia="Times New Roman" w:hAnsi="Times New Roman" w:cs="Times New Roman"/>
          <w:color w:val="222222"/>
        </w:rPr>
        <w:t>. 2 (0), 1 (1), 0 (2).</w:t>
      </w:r>
    </w:p>
    <w:p w14:paraId="4CD581FD" w14:textId="77777777" w:rsidR="00A97E37" w:rsidRPr="00A155FA" w:rsidRDefault="00A97E37" w:rsidP="00D01A5E">
      <w:pPr>
        <w:ind w:left="540" w:hanging="540"/>
        <w:rPr>
          <w:color w:val="222222"/>
        </w:rPr>
      </w:pPr>
    </w:p>
    <w:p w14:paraId="35E8A8B1"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(265) </w:t>
      </w:r>
      <w:r w:rsidRPr="00A155FA">
        <w:rPr>
          <w:rFonts w:ascii="Times New Roman" w:eastAsia="Times New Roman" w:hAnsi="Times New Roman" w:cs="Times New Roman"/>
          <w:b/>
          <w:bCs/>
          <w:color w:val="222222"/>
        </w:rPr>
        <w:t>Splenial exposed laterally</w:t>
      </w:r>
      <w:r w:rsidRPr="00A155FA">
        <w:rPr>
          <w:rFonts w:ascii="Times New Roman" w:eastAsia="Times New Roman" w:hAnsi="Times New Roman" w:cs="Times New Roman"/>
          <w:color w:val="222222"/>
        </w:rPr>
        <w:t>. Present (0), absent (1).</w:t>
      </w:r>
    </w:p>
    <w:p w14:paraId="399C69B7" w14:textId="77777777" w:rsidR="00A97E37" w:rsidRPr="00A155FA" w:rsidRDefault="00A97E37" w:rsidP="00D01A5E">
      <w:pPr>
        <w:ind w:left="540" w:hanging="540"/>
        <w:rPr>
          <w:color w:val="222222"/>
        </w:rPr>
      </w:pPr>
    </w:p>
    <w:p w14:paraId="40905C09"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(266) </w:t>
      </w:r>
      <w:r w:rsidRPr="00A155FA">
        <w:rPr>
          <w:rFonts w:ascii="Times New Roman" w:eastAsia="Times New Roman" w:hAnsi="Times New Roman" w:cs="Times New Roman"/>
          <w:b/>
          <w:bCs/>
          <w:color w:val="222222"/>
        </w:rPr>
        <w:t>Meckelian fossae</w:t>
      </w:r>
      <w:r w:rsidRPr="00A155FA">
        <w:rPr>
          <w:rFonts w:ascii="Times New Roman" w:eastAsia="Times New Roman" w:hAnsi="Times New Roman" w:cs="Times New Roman"/>
          <w:color w:val="222222"/>
        </w:rPr>
        <w:t>. 2 or more (0), 1 (1), 0 (2).</w:t>
      </w:r>
    </w:p>
    <w:p w14:paraId="7D2794D7" w14:textId="77777777" w:rsidR="00A97E37" w:rsidRPr="00A155FA" w:rsidRDefault="00A97E37" w:rsidP="00D01A5E">
      <w:pPr>
        <w:ind w:left="540" w:hanging="540"/>
        <w:rPr>
          <w:color w:val="222222"/>
        </w:rPr>
      </w:pPr>
    </w:p>
    <w:p w14:paraId="7285F88F"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(267) </w:t>
      </w:r>
      <w:r w:rsidRPr="00A155FA">
        <w:rPr>
          <w:rFonts w:ascii="Times New Roman" w:eastAsia="Times New Roman" w:hAnsi="Times New Roman" w:cs="Times New Roman"/>
          <w:b/>
          <w:bCs/>
          <w:color w:val="222222"/>
        </w:rPr>
        <w:t>Ventral border of posterior Meckel’s fossa</w:t>
      </w:r>
      <w:r w:rsidRPr="00A155FA">
        <w:rPr>
          <w:rFonts w:ascii="Times New Roman" w:eastAsia="Times New Roman" w:hAnsi="Times New Roman" w:cs="Times New Roman"/>
          <w:color w:val="222222"/>
        </w:rPr>
        <w:t>. Splenial (0), angular (1).</w:t>
      </w:r>
    </w:p>
    <w:p w14:paraId="189D7AEA" w14:textId="77777777" w:rsidR="00A97E37" w:rsidRPr="00A155FA" w:rsidRDefault="00A97E37" w:rsidP="00D01A5E">
      <w:pPr>
        <w:ind w:left="540" w:hanging="540"/>
        <w:rPr>
          <w:color w:val="222222"/>
        </w:rPr>
      </w:pPr>
    </w:p>
    <w:p w14:paraId="6C812B50"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(268) </w:t>
      </w:r>
      <w:r w:rsidRPr="00A155FA">
        <w:rPr>
          <w:rFonts w:ascii="Times New Roman" w:eastAsia="Times New Roman" w:hAnsi="Times New Roman" w:cs="Times New Roman"/>
          <w:b/>
          <w:bCs/>
          <w:color w:val="222222"/>
        </w:rPr>
        <w:t>Retroarticular process</w:t>
      </w:r>
      <w:r w:rsidRPr="00A155FA">
        <w:rPr>
          <w:rFonts w:ascii="Times New Roman" w:eastAsia="Times New Roman" w:hAnsi="Times New Roman" w:cs="Times New Roman"/>
          <w:color w:val="222222"/>
        </w:rPr>
        <w:t>. Straight (0), hooked (1).</w:t>
      </w:r>
    </w:p>
    <w:p w14:paraId="326780C4" w14:textId="77777777" w:rsidR="00A97E37" w:rsidRPr="00A155FA" w:rsidRDefault="00A97E37" w:rsidP="00D01A5E">
      <w:pPr>
        <w:ind w:left="540" w:hanging="540"/>
        <w:rPr>
          <w:color w:val="222222"/>
        </w:rPr>
      </w:pPr>
    </w:p>
    <w:p w14:paraId="47C3BDD6"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(269) </w:t>
      </w:r>
      <w:r w:rsidRPr="00A155FA">
        <w:rPr>
          <w:rFonts w:ascii="Times New Roman" w:eastAsia="Times New Roman" w:hAnsi="Times New Roman" w:cs="Times New Roman"/>
          <w:b/>
          <w:bCs/>
          <w:color w:val="222222"/>
        </w:rPr>
        <w:t>Articulation to tooth row</w:t>
      </w:r>
      <w:r w:rsidRPr="00A155FA">
        <w:rPr>
          <w:rFonts w:ascii="Times New Roman" w:eastAsia="Times New Roman" w:hAnsi="Times New Roman" w:cs="Times New Roman"/>
          <w:color w:val="222222"/>
        </w:rPr>
        <w:t>. Above (0), equal (1), below (2).</w:t>
      </w:r>
    </w:p>
    <w:p w14:paraId="3B56A464" w14:textId="77777777" w:rsidR="00A97E37" w:rsidRPr="00A155FA" w:rsidRDefault="00A97E37" w:rsidP="00D01A5E">
      <w:pPr>
        <w:ind w:left="540" w:hanging="540"/>
        <w:rPr>
          <w:color w:val="222222"/>
        </w:rPr>
      </w:pPr>
    </w:p>
    <w:p w14:paraId="05ED6E84"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(270) </w:t>
      </w:r>
      <w:r w:rsidRPr="00A155FA">
        <w:rPr>
          <w:rFonts w:ascii="Times New Roman" w:eastAsia="Times New Roman" w:hAnsi="Times New Roman" w:cs="Times New Roman"/>
          <w:b/>
          <w:bCs/>
          <w:color w:val="222222"/>
        </w:rPr>
        <w:t>Angular extends to (lateral view)</w:t>
      </w:r>
      <w:r w:rsidRPr="00A155FA">
        <w:rPr>
          <w:rFonts w:ascii="Times New Roman" w:eastAsia="Times New Roman" w:hAnsi="Times New Roman" w:cs="Times New Roman"/>
          <w:color w:val="222222"/>
        </w:rPr>
        <w:t>. Posterior tooth row (0), middle of tooth row (1).</w:t>
      </w:r>
    </w:p>
    <w:p w14:paraId="00B57DCC" w14:textId="77777777" w:rsidR="00A97E37" w:rsidRPr="00A155FA" w:rsidRDefault="00A97E37" w:rsidP="00D01A5E">
      <w:pPr>
        <w:ind w:left="540" w:hanging="540"/>
        <w:rPr>
          <w:color w:val="222222"/>
        </w:rPr>
      </w:pPr>
    </w:p>
    <w:p w14:paraId="4DA7A54B"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(271) </w:t>
      </w:r>
      <w:r w:rsidRPr="00A155FA">
        <w:rPr>
          <w:rFonts w:ascii="Times New Roman" w:eastAsia="Times New Roman" w:hAnsi="Times New Roman" w:cs="Times New Roman"/>
          <w:b/>
          <w:bCs/>
          <w:color w:val="222222"/>
        </w:rPr>
        <w:t>Number of coronoids</w:t>
      </w:r>
      <w:r w:rsidRPr="00A155FA">
        <w:rPr>
          <w:rFonts w:ascii="Times New Roman" w:eastAsia="Times New Roman" w:hAnsi="Times New Roman" w:cs="Times New Roman"/>
          <w:color w:val="222222"/>
        </w:rPr>
        <w:t>. 3 (0), 2 (1), 1 (2), 0 (3).</w:t>
      </w:r>
    </w:p>
    <w:p w14:paraId="337D1234" w14:textId="77777777" w:rsidR="00A97E37" w:rsidRPr="00A155FA" w:rsidRDefault="00A97E37" w:rsidP="00D01A5E">
      <w:pPr>
        <w:ind w:left="540" w:hanging="540"/>
        <w:rPr>
          <w:color w:val="222222"/>
        </w:rPr>
      </w:pPr>
    </w:p>
    <w:p w14:paraId="60301FAB"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(272) </w:t>
      </w:r>
      <w:r w:rsidRPr="00A155FA">
        <w:rPr>
          <w:rFonts w:ascii="Times New Roman" w:eastAsia="Times New Roman" w:hAnsi="Times New Roman" w:cs="Times New Roman"/>
          <w:b/>
          <w:bCs/>
          <w:color w:val="222222"/>
        </w:rPr>
        <w:t>Coronoid teeth</w:t>
      </w:r>
      <w:r w:rsidRPr="00A155FA">
        <w:rPr>
          <w:rFonts w:ascii="Times New Roman" w:eastAsia="Times New Roman" w:hAnsi="Times New Roman" w:cs="Times New Roman"/>
          <w:color w:val="222222"/>
        </w:rPr>
        <w:t>. Present (0), absent (1).</w:t>
      </w:r>
    </w:p>
    <w:p w14:paraId="313BC79A" w14:textId="77777777" w:rsidR="00A97E37" w:rsidRPr="00A155FA" w:rsidRDefault="00A97E37" w:rsidP="00D01A5E">
      <w:pPr>
        <w:ind w:left="540" w:hanging="540"/>
        <w:rPr>
          <w:color w:val="222222"/>
        </w:rPr>
      </w:pPr>
    </w:p>
    <w:p w14:paraId="5D6528AC"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(273) </w:t>
      </w:r>
      <w:r w:rsidRPr="00A155FA">
        <w:rPr>
          <w:rFonts w:ascii="Times New Roman" w:eastAsia="Times New Roman" w:hAnsi="Times New Roman" w:cs="Times New Roman"/>
          <w:b/>
          <w:bCs/>
          <w:color w:val="222222"/>
        </w:rPr>
        <w:t>Coronoid teeth</w:t>
      </w:r>
      <w:r w:rsidRPr="00A155FA">
        <w:rPr>
          <w:rFonts w:ascii="Times New Roman" w:eastAsia="Times New Roman" w:hAnsi="Times New Roman" w:cs="Times New Roman"/>
          <w:color w:val="222222"/>
        </w:rPr>
        <w:t>. Larger than marginal (0), equal to marginal (1), smaller than</w:t>
      </w:r>
    </w:p>
    <w:p w14:paraId="0CD64480"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marginal (2).</w:t>
      </w:r>
    </w:p>
    <w:p w14:paraId="130E9933" w14:textId="77777777" w:rsidR="00A97E37" w:rsidRPr="00A155FA" w:rsidRDefault="00A97E37" w:rsidP="00D01A5E">
      <w:pPr>
        <w:ind w:left="540" w:hanging="540"/>
        <w:rPr>
          <w:color w:val="222222"/>
        </w:rPr>
      </w:pPr>
    </w:p>
    <w:p w14:paraId="321803EF"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(274) </w:t>
      </w:r>
      <w:r w:rsidRPr="00A155FA">
        <w:rPr>
          <w:rFonts w:ascii="Times New Roman" w:eastAsia="Times New Roman" w:hAnsi="Times New Roman" w:cs="Times New Roman"/>
          <w:b/>
          <w:bCs/>
          <w:color w:val="222222"/>
        </w:rPr>
        <w:t>Symphysis</w:t>
      </w:r>
      <w:r w:rsidRPr="00A155FA">
        <w:rPr>
          <w:rFonts w:ascii="Times New Roman" w:eastAsia="Times New Roman" w:hAnsi="Times New Roman" w:cs="Times New Roman"/>
          <w:color w:val="222222"/>
        </w:rPr>
        <w:t>. Dentary and splenial (0), dentary alone (1).</w:t>
      </w:r>
    </w:p>
    <w:p w14:paraId="5E5BA976" w14:textId="77777777" w:rsidR="00A97E37" w:rsidRPr="00A155FA" w:rsidRDefault="00A97E37" w:rsidP="00D01A5E">
      <w:pPr>
        <w:ind w:left="540" w:hanging="540"/>
        <w:rPr>
          <w:color w:val="222222"/>
        </w:rPr>
      </w:pPr>
    </w:p>
    <w:p w14:paraId="7D80F233"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(275) </w:t>
      </w:r>
      <w:r w:rsidRPr="00A155FA">
        <w:rPr>
          <w:rFonts w:ascii="Times New Roman" w:eastAsia="Times New Roman" w:hAnsi="Times New Roman" w:cs="Times New Roman"/>
          <w:b/>
          <w:bCs/>
          <w:color w:val="222222"/>
        </w:rPr>
        <w:t>Jaw sculpture</w:t>
      </w:r>
      <w:r w:rsidRPr="00A155FA">
        <w:rPr>
          <w:rFonts w:ascii="Times New Roman" w:eastAsia="Times New Roman" w:hAnsi="Times New Roman" w:cs="Times New Roman"/>
          <w:color w:val="222222"/>
        </w:rPr>
        <w:t>. Present (0), absent (1).</w:t>
      </w:r>
    </w:p>
    <w:p w14:paraId="56D882AA" w14:textId="77777777" w:rsidR="00A97E37" w:rsidRPr="00A155FA" w:rsidRDefault="00A97E37" w:rsidP="00D01A5E">
      <w:pPr>
        <w:ind w:left="540" w:hanging="540"/>
        <w:rPr>
          <w:color w:val="222222"/>
        </w:rPr>
      </w:pPr>
    </w:p>
    <w:p w14:paraId="4B19A294"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(276) </w:t>
      </w:r>
      <w:r w:rsidRPr="00A155FA">
        <w:rPr>
          <w:rFonts w:ascii="Times New Roman" w:eastAsia="Times New Roman" w:hAnsi="Times New Roman" w:cs="Times New Roman"/>
          <w:b/>
          <w:bCs/>
          <w:color w:val="222222"/>
        </w:rPr>
        <w:t>Ossified hyoids</w:t>
      </w:r>
      <w:r w:rsidRPr="00A155FA">
        <w:rPr>
          <w:rFonts w:ascii="Times New Roman" w:eastAsia="Times New Roman" w:hAnsi="Times New Roman" w:cs="Times New Roman"/>
          <w:color w:val="222222"/>
        </w:rPr>
        <w:t>. Present (0), absent (1).</w:t>
      </w:r>
    </w:p>
    <w:p w14:paraId="317ED40B" w14:textId="77777777" w:rsidR="00A97E37" w:rsidRPr="00A155FA" w:rsidRDefault="00A97E37" w:rsidP="00D01A5E">
      <w:pPr>
        <w:ind w:left="540" w:hanging="540"/>
        <w:rPr>
          <w:color w:val="222222"/>
        </w:rPr>
      </w:pPr>
    </w:p>
    <w:p w14:paraId="69998063"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(277) </w:t>
      </w:r>
      <w:proofErr w:type="spellStart"/>
      <w:r w:rsidRPr="00A155FA">
        <w:rPr>
          <w:rFonts w:ascii="Times New Roman" w:eastAsia="Times New Roman" w:hAnsi="Times New Roman" w:cs="Times New Roman"/>
          <w:b/>
          <w:bCs/>
          <w:color w:val="222222"/>
        </w:rPr>
        <w:t>Parahyoid</w:t>
      </w:r>
      <w:proofErr w:type="spellEnd"/>
      <w:r w:rsidRPr="00A155FA">
        <w:rPr>
          <w:rFonts w:ascii="Times New Roman" w:eastAsia="Times New Roman" w:hAnsi="Times New Roman" w:cs="Times New Roman"/>
          <w:color w:val="222222"/>
        </w:rPr>
        <w:t>. Absent (0), present (1).</w:t>
      </w:r>
    </w:p>
    <w:p w14:paraId="40DF405D" w14:textId="77777777" w:rsidR="00A97E37" w:rsidRPr="00A155FA" w:rsidRDefault="00A97E37" w:rsidP="00D01A5E">
      <w:pPr>
        <w:ind w:left="540" w:hanging="540"/>
        <w:rPr>
          <w:color w:val="222222"/>
        </w:rPr>
      </w:pPr>
    </w:p>
    <w:p w14:paraId="4FB506ED"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(278) </w:t>
      </w:r>
      <w:r w:rsidRPr="00A155FA">
        <w:rPr>
          <w:rFonts w:ascii="Times New Roman" w:eastAsia="Times New Roman" w:hAnsi="Times New Roman" w:cs="Times New Roman"/>
          <w:b/>
          <w:bCs/>
          <w:color w:val="222222"/>
        </w:rPr>
        <w:t>Trunk intercentra</w:t>
      </w:r>
      <w:r w:rsidRPr="00A155FA">
        <w:rPr>
          <w:rFonts w:ascii="Times New Roman" w:eastAsia="Times New Roman" w:hAnsi="Times New Roman" w:cs="Times New Roman"/>
          <w:color w:val="222222"/>
        </w:rPr>
        <w:t>. Present (0), absent (1).</w:t>
      </w:r>
    </w:p>
    <w:p w14:paraId="6ED79573" w14:textId="77777777" w:rsidR="00A97E37" w:rsidRPr="00A155FA" w:rsidRDefault="00A97E37" w:rsidP="00D01A5E">
      <w:pPr>
        <w:ind w:left="540" w:hanging="540"/>
        <w:rPr>
          <w:color w:val="222222"/>
        </w:rPr>
      </w:pPr>
    </w:p>
    <w:p w14:paraId="5F8D576F"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(279) </w:t>
      </w:r>
      <w:r w:rsidRPr="00A155FA">
        <w:rPr>
          <w:rFonts w:ascii="Times New Roman" w:eastAsia="Times New Roman" w:hAnsi="Times New Roman" w:cs="Times New Roman"/>
          <w:b/>
          <w:bCs/>
          <w:color w:val="222222"/>
        </w:rPr>
        <w:t>Trunk neural arch to centrum</w:t>
      </w:r>
      <w:r w:rsidRPr="00A155FA">
        <w:rPr>
          <w:rFonts w:ascii="Times New Roman" w:eastAsia="Times New Roman" w:hAnsi="Times New Roman" w:cs="Times New Roman"/>
          <w:color w:val="222222"/>
        </w:rPr>
        <w:t>. Loosely articulated (0), sutured (1), fused (2).</w:t>
      </w:r>
    </w:p>
    <w:p w14:paraId="4C602480" w14:textId="77777777" w:rsidR="00A97E37" w:rsidRPr="00A155FA" w:rsidRDefault="00A97E37" w:rsidP="00D01A5E">
      <w:pPr>
        <w:ind w:left="540" w:hanging="540"/>
        <w:rPr>
          <w:color w:val="222222"/>
        </w:rPr>
      </w:pPr>
    </w:p>
    <w:p w14:paraId="1F6520E9"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(280) </w:t>
      </w:r>
      <w:r w:rsidRPr="00A155FA">
        <w:rPr>
          <w:rFonts w:ascii="Times New Roman" w:eastAsia="Times New Roman" w:hAnsi="Times New Roman" w:cs="Times New Roman"/>
          <w:b/>
          <w:bCs/>
          <w:color w:val="222222"/>
        </w:rPr>
        <w:t>Base of neural spine</w:t>
      </w:r>
      <w:r w:rsidRPr="00A155FA">
        <w:rPr>
          <w:rFonts w:ascii="Times New Roman" w:eastAsia="Times New Roman" w:hAnsi="Times New Roman" w:cs="Times New Roman"/>
          <w:color w:val="222222"/>
        </w:rPr>
        <w:t>. Equal to or wider than haemal (0), smaller than haemal</w:t>
      </w:r>
    </w:p>
    <w:p w14:paraId="05AC5F64"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spine (1).</w:t>
      </w:r>
    </w:p>
    <w:p w14:paraId="40D44383" w14:textId="77777777" w:rsidR="00A97E37" w:rsidRPr="00A155FA" w:rsidRDefault="00A97E37" w:rsidP="00D01A5E">
      <w:pPr>
        <w:ind w:left="540" w:hanging="540"/>
        <w:rPr>
          <w:color w:val="222222"/>
        </w:rPr>
      </w:pPr>
    </w:p>
    <w:p w14:paraId="2A2EDDAB"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(281) </w:t>
      </w:r>
      <w:r w:rsidRPr="00A155FA">
        <w:rPr>
          <w:rFonts w:ascii="Times New Roman" w:eastAsia="Times New Roman" w:hAnsi="Times New Roman" w:cs="Times New Roman"/>
          <w:b/>
          <w:bCs/>
          <w:color w:val="222222"/>
        </w:rPr>
        <w:t>Haemal arches</w:t>
      </w:r>
      <w:r w:rsidRPr="00A155FA">
        <w:rPr>
          <w:rFonts w:ascii="Times New Roman" w:eastAsia="Times New Roman" w:hAnsi="Times New Roman" w:cs="Times New Roman"/>
          <w:color w:val="222222"/>
        </w:rPr>
        <w:t>. Present (0), absent (1).</w:t>
      </w:r>
    </w:p>
    <w:p w14:paraId="62FAC43B" w14:textId="77777777" w:rsidR="00A97E37" w:rsidRPr="00A155FA" w:rsidRDefault="00A97E37" w:rsidP="00D01A5E">
      <w:pPr>
        <w:ind w:left="540" w:hanging="540"/>
        <w:rPr>
          <w:color w:val="222222"/>
        </w:rPr>
      </w:pPr>
    </w:p>
    <w:p w14:paraId="494706D7"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(282) </w:t>
      </w:r>
      <w:r w:rsidRPr="00A155FA">
        <w:rPr>
          <w:rFonts w:ascii="Times New Roman" w:eastAsia="Times New Roman" w:hAnsi="Times New Roman" w:cs="Times New Roman"/>
          <w:b/>
          <w:bCs/>
          <w:color w:val="222222"/>
        </w:rPr>
        <w:t>Haemal arches</w:t>
      </w:r>
      <w:r w:rsidRPr="00A155FA">
        <w:rPr>
          <w:rFonts w:ascii="Times New Roman" w:eastAsia="Times New Roman" w:hAnsi="Times New Roman" w:cs="Times New Roman"/>
          <w:color w:val="222222"/>
        </w:rPr>
        <w:t>. Loosely articulated intercentrum (0), fused to mid-length of</w:t>
      </w:r>
    </w:p>
    <w:p w14:paraId="44DE462A"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centrum (1).</w:t>
      </w:r>
    </w:p>
    <w:p w14:paraId="1E368DDB" w14:textId="77777777" w:rsidR="00A97E37" w:rsidRPr="00A155FA" w:rsidRDefault="00A97E37" w:rsidP="00D01A5E">
      <w:pPr>
        <w:ind w:left="540" w:hanging="540"/>
        <w:rPr>
          <w:color w:val="222222"/>
        </w:rPr>
      </w:pPr>
    </w:p>
    <w:p w14:paraId="2DECC0CF"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(283) </w:t>
      </w:r>
      <w:r w:rsidRPr="00A155FA">
        <w:rPr>
          <w:rFonts w:ascii="Times New Roman" w:eastAsia="Times New Roman" w:hAnsi="Times New Roman" w:cs="Times New Roman"/>
          <w:b/>
          <w:bCs/>
          <w:color w:val="222222"/>
        </w:rPr>
        <w:t>Haemal arches</w:t>
      </w:r>
      <w:r w:rsidRPr="00A155FA">
        <w:rPr>
          <w:rFonts w:ascii="Times New Roman" w:eastAsia="Times New Roman" w:hAnsi="Times New Roman" w:cs="Times New Roman"/>
          <w:color w:val="222222"/>
        </w:rPr>
        <w:t xml:space="preserve">. Longer than or equal to </w:t>
      </w:r>
      <w:proofErr w:type="spellStart"/>
      <w:r w:rsidRPr="00A155FA">
        <w:rPr>
          <w:rFonts w:ascii="Times New Roman" w:eastAsia="Times New Roman" w:hAnsi="Times New Roman" w:cs="Times New Roman"/>
          <w:color w:val="222222"/>
        </w:rPr>
        <w:t>neurals</w:t>
      </w:r>
      <w:proofErr w:type="spellEnd"/>
      <w:r w:rsidRPr="00A155FA">
        <w:rPr>
          <w:rFonts w:ascii="Times New Roman" w:eastAsia="Times New Roman" w:hAnsi="Times New Roman" w:cs="Times New Roman"/>
          <w:color w:val="222222"/>
        </w:rPr>
        <w:t xml:space="preserve"> (0), shorter than </w:t>
      </w:r>
      <w:proofErr w:type="spellStart"/>
      <w:r w:rsidRPr="00A155FA">
        <w:rPr>
          <w:rFonts w:ascii="Times New Roman" w:eastAsia="Times New Roman" w:hAnsi="Times New Roman" w:cs="Times New Roman"/>
          <w:color w:val="222222"/>
        </w:rPr>
        <w:t>neurals</w:t>
      </w:r>
      <w:proofErr w:type="spellEnd"/>
      <w:r w:rsidRPr="00A155FA">
        <w:rPr>
          <w:rFonts w:ascii="Times New Roman" w:eastAsia="Times New Roman" w:hAnsi="Times New Roman" w:cs="Times New Roman"/>
          <w:color w:val="222222"/>
        </w:rPr>
        <w:t xml:space="preserve"> (1).</w:t>
      </w:r>
    </w:p>
    <w:p w14:paraId="6EAD8C27" w14:textId="77777777" w:rsidR="00A97E37" w:rsidRPr="00A155FA" w:rsidRDefault="00A97E37" w:rsidP="00D01A5E">
      <w:pPr>
        <w:ind w:left="540" w:hanging="540"/>
        <w:rPr>
          <w:color w:val="222222"/>
        </w:rPr>
      </w:pPr>
    </w:p>
    <w:p w14:paraId="12E6B4E6"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(284) </w:t>
      </w:r>
      <w:r w:rsidRPr="00A155FA">
        <w:rPr>
          <w:rFonts w:ascii="Times New Roman" w:eastAsia="Times New Roman" w:hAnsi="Times New Roman" w:cs="Times New Roman"/>
          <w:b/>
          <w:bCs/>
          <w:color w:val="222222"/>
        </w:rPr>
        <w:t>Haemal arch shape</w:t>
      </w:r>
      <w:r w:rsidRPr="00A155FA">
        <w:rPr>
          <w:rFonts w:ascii="Times New Roman" w:eastAsia="Times New Roman" w:hAnsi="Times New Roman" w:cs="Times New Roman"/>
          <w:color w:val="222222"/>
        </w:rPr>
        <w:t>. Non-parallel (triangular) (0), parallel (rectangular) (1).</w:t>
      </w:r>
    </w:p>
    <w:p w14:paraId="37B6916E" w14:textId="77777777" w:rsidR="00A97E37" w:rsidRPr="00A155FA" w:rsidRDefault="00A97E37" w:rsidP="00D01A5E">
      <w:pPr>
        <w:ind w:left="540" w:hanging="540"/>
        <w:rPr>
          <w:color w:val="222222"/>
        </w:rPr>
      </w:pPr>
    </w:p>
    <w:p w14:paraId="71F5F370"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(285) </w:t>
      </w:r>
      <w:r w:rsidRPr="00A155FA">
        <w:rPr>
          <w:rFonts w:ascii="Times New Roman" w:eastAsia="Times New Roman" w:hAnsi="Times New Roman" w:cs="Times New Roman"/>
          <w:b/>
          <w:bCs/>
          <w:color w:val="222222"/>
        </w:rPr>
        <w:t>Spinal nerve foramina</w:t>
      </w:r>
      <w:r w:rsidRPr="00A155FA">
        <w:rPr>
          <w:rFonts w:ascii="Times New Roman" w:eastAsia="Times New Roman" w:hAnsi="Times New Roman" w:cs="Times New Roman"/>
          <w:color w:val="222222"/>
        </w:rPr>
        <w:t>. Absent (0), present (1).</w:t>
      </w:r>
    </w:p>
    <w:p w14:paraId="0388FEA9" w14:textId="77777777" w:rsidR="00A97E37" w:rsidRPr="00A155FA" w:rsidRDefault="00A97E37" w:rsidP="00D01A5E">
      <w:pPr>
        <w:ind w:left="540" w:hanging="540"/>
        <w:rPr>
          <w:color w:val="222222"/>
        </w:rPr>
      </w:pPr>
    </w:p>
    <w:p w14:paraId="399E4D52"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(286) </w:t>
      </w:r>
      <w:r w:rsidRPr="00A155FA">
        <w:rPr>
          <w:rFonts w:ascii="Times New Roman" w:eastAsia="Times New Roman" w:hAnsi="Times New Roman" w:cs="Times New Roman"/>
          <w:b/>
          <w:bCs/>
          <w:color w:val="222222"/>
        </w:rPr>
        <w:t>Transverse process</w:t>
      </w:r>
      <w:r w:rsidRPr="00A155FA">
        <w:rPr>
          <w:rFonts w:ascii="Times New Roman" w:eastAsia="Times New Roman" w:hAnsi="Times New Roman" w:cs="Times New Roman"/>
          <w:color w:val="222222"/>
        </w:rPr>
        <w:t>. On arch pedicle (0), on centrum (1).</w:t>
      </w:r>
    </w:p>
    <w:p w14:paraId="090917E9" w14:textId="77777777" w:rsidR="00A97E37" w:rsidRPr="00A155FA" w:rsidRDefault="00A97E37" w:rsidP="00D01A5E">
      <w:pPr>
        <w:ind w:left="540" w:hanging="540"/>
        <w:rPr>
          <w:color w:val="222222"/>
        </w:rPr>
      </w:pPr>
    </w:p>
    <w:p w14:paraId="3CE7064F"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(287) </w:t>
      </w:r>
      <w:r w:rsidRPr="00A155FA">
        <w:rPr>
          <w:rFonts w:ascii="Times New Roman" w:eastAsia="Times New Roman" w:hAnsi="Times New Roman" w:cs="Times New Roman"/>
          <w:b/>
          <w:bCs/>
          <w:color w:val="222222"/>
        </w:rPr>
        <w:t>Atlas-axis intercentra</w:t>
      </w:r>
      <w:r w:rsidRPr="00A155FA">
        <w:rPr>
          <w:rFonts w:ascii="Times New Roman" w:eastAsia="Times New Roman" w:hAnsi="Times New Roman" w:cs="Times New Roman"/>
          <w:color w:val="222222"/>
        </w:rPr>
        <w:t>. Present (0), absent (1).</w:t>
      </w:r>
    </w:p>
    <w:p w14:paraId="05E9D52D" w14:textId="77777777" w:rsidR="00A97E37" w:rsidRPr="00A155FA" w:rsidRDefault="00A97E37" w:rsidP="00D01A5E">
      <w:pPr>
        <w:ind w:left="540" w:hanging="540"/>
        <w:rPr>
          <w:color w:val="222222"/>
        </w:rPr>
      </w:pPr>
    </w:p>
    <w:p w14:paraId="76A3D5F8"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(288) </w:t>
      </w:r>
      <w:r w:rsidRPr="00A155FA">
        <w:rPr>
          <w:rFonts w:ascii="Times New Roman" w:eastAsia="Times New Roman" w:hAnsi="Times New Roman" w:cs="Times New Roman"/>
          <w:b/>
          <w:bCs/>
          <w:color w:val="222222"/>
        </w:rPr>
        <w:t>Atlas anterior centrum</w:t>
      </w:r>
      <w:r w:rsidRPr="00A155FA">
        <w:rPr>
          <w:rFonts w:ascii="Times New Roman" w:eastAsia="Times New Roman" w:hAnsi="Times New Roman" w:cs="Times New Roman"/>
          <w:color w:val="222222"/>
        </w:rPr>
        <w:t>. Same size as posterior (0), laterally expanded (1).</w:t>
      </w:r>
    </w:p>
    <w:p w14:paraId="065474E5" w14:textId="77777777" w:rsidR="00A97E37" w:rsidRPr="00A155FA" w:rsidRDefault="00A97E37" w:rsidP="00D01A5E">
      <w:pPr>
        <w:ind w:left="540" w:hanging="540"/>
        <w:rPr>
          <w:color w:val="222222"/>
        </w:rPr>
      </w:pPr>
    </w:p>
    <w:p w14:paraId="71153AF2"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(289) </w:t>
      </w:r>
      <w:r w:rsidRPr="00A155FA">
        <w:rPr>
          <w:rFonts w:ascii="Times New Roman" w:eastAsia="Times New Roman" w:hAnsi="Times New Roman" w:cs="Times New Roman"/>
          <w:b/>
          <w:bCs/>
          <w:color w:val="222222"/>
        </w:rPr>
        <w:t>Atlas centrum</w:t>
      </w:r>
      <w:r w:rsidRPr="00A155FA">
        <w:rPr>
          <w:rFonts w:ascii="Times New Roman" w:eastAsia="Times New Roman" w:hAnsi="Times New Roman" w:cs="Times New Roman"/>
          <w:color w:val="222222"/>
        </w:rPr>
        <w:t>. Multipartite (0), single notochordal (1), single odontoid (2).</w:t>
      </w:r>
    </w:p>
    <w:p w14:paraId="56835A3D" w14:textId="77777777" w:rsidR="00A97E37" w:rsidRPr="00A155FA" w:rsidRDefault="00A97E37" w:rsidP="00D01A5E">
      <w:pPr>
        <w:ind w:left="540" w:hanging="540"/>
        <w:rPr>
          <w:color w:val="222222"/>
        </w:rPr>
      </w:pPr>
    </w:p>
    <w:p w14:paraId="0829A79C"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(290) </w:t>
      </w:r>
      <w:r w:rsidRPr="00A155FA">
        <w:rPr>
          <w:rFonts w:ascii="Times New Roman" w:eastAsia="Times New Roman" w:hAnsi="Times New Roman" w:cs="Times New Roman"/>
          <w:b/>
          <w:bCs/>
          <w:color w:val="222222"/>
        </w:rPr>
        <w:t>Atlas neural arch</w:t>
      </w:r>
      <w:r w:rsidRPr="00A155FA">
        <w:rPr>
          <w:rFonts w:ascii="Times New Roman" w:eastAsia="Times New Roman" w:hAnsi="Times New Roman" w:cs="Times New Roman"/>
          <w:color w:val="222222"/>
        </w:rPr>
        <w:t>. Loosely articulated (0), sutured to centrum (1), fused to</w:t>
      </w:r>
    </w:p>
    <w:p w14:paraId="410FD028"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centrum (2).</w:t>
      </w:r>
    </w:p>
    <w:p w14:paraId="16B1691F" w14:textId="77777777" w:rsidR="00A97E37" w:rsidRPr="00A155FA" w:rsidRDefault="00A97E37" w:rsidP="00D01A5E">
      <w:pPr>
        <w:ind w:left="540" w:hanging="540"/>
        <w:rPr>
          <w:color w:val="222222"/>
        </w:rPr>
      </w:pPr>
    </w:p>
    <w:p w14:paraId="2F1A94E4"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(291) </w:t>
      </w:r>
      <w:r w:rsidRPr="00A155FA">
        <w:rPr>
          <w:rFonts w:ascii="Times New Roman" w:eastAsia="Times New Roman" w:hAnsi="Times New Roman" w:cs="Times New Roman"/>
          <w:b/>
          <w:bCs/>
          <w:color w:val="222222"/>
        </w:rPr>
        <w:t xml:space="preserve">Atlas </w:t>
      </w:r>
      <w:proofErr w:type="spellStart"/>
      <w:r w:rsidRPr="00A155FA">
        <w:rPr>
          <w:rFonts w:ascii="Times New Roman" w:eastAsia="Times New Roman" w:hAnsi="Times New Roman" w:cs="Times New Roman"/>
          <w:b/>
          <w:bCs/>
          <w:color w:val="222222"/>
        </w:rPr>
        <w:t>parapophyses</w:t>
      </w:r>
      <w:proofErr w:type="spellEnd"/>
      <w:r w:rsidRPr="00A155FA">
        <w:rPr>
          <w:rFonts w:ascii="Times New Roman" w:eastAsia="Times New Roman" w:hAnsi="Times New Roman" w:cs="Times New Roman"/>
          <w:color w:val="222222"/>
        </w:rPr>
        <w:t>. On centrum (0), on transverse process (1), absent (2).</w:t>
      </w:r>
    </w:p>
    <w:p w14:paraId="29CEC55F" w14:textId="77777777" w:rsidR="00A97E37" w:rsidRPr="00A155FA" w:rsidRDefault="00A97E37" w:rsidP="00D01A5E">
      <w:pPr>
        <w:ind w:left="540" w:hanging="540"/>
        <w:rPr>
          <w:color w:val="222222"/>
        </w:rPr>
      </w:pPr>
    </w:p>
    <w:p w14:paraId="7C769F7B"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(292) </w:t>
      </w:r>
      <w:r w:rsidRPr="00A155FA">
        <w:rPr>
          <w:rFonts w:ascii="Times New Roman" w:eastAsia="Times New Roman" w:hAnsi="Times New Roman" w:cs="Times New Roman"/>
          <w:b/>
          <w:bCs/>
          <w:color w:val="222222"/>
        </w:rPr>
        <w:t>Atlas neural arch</w:t>
      </w:r>
      <w:r w:rsidRPr="00A155FA">
        <w:rPr>
          <w:rFonts w:ascii="Times New Roman" w:eastAsia="Times New Roman" w:hAnsi="Times New Roman" w:cs="Times New Roman"/>
          <w:color w:val="222222"/>
        </w:rPr>
        <w:t>. Paired (0), sutured at midline (1), fused at midline (2).</w:t>
      </w:r>
    </w:p>
    <w:p w14:paraId="6DD126F2" w14:textId="77777777" w:rsidR="00A97E37" w:rsidRPr="00A155FA" w:rsidRDefault="00A97E37" w:rsidP="00D01A5E">
      <w:pPr>
        <w:ind w:left="540" w:hanging="540"/>
        <w:rPr>
          <w:color w:val="222222"/>
        </w:rPr>
      </w:pPr>
    </w:p>
    <w:p w14:paraId="0BCFF619"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(293) </w:t>
      </w:r>
      <w:r w:rsidRPr="00A155FA">
        <w:rPr>
          <w:rFonts w:ascii="Times New Roman" w:eastAsia="Times New Roman" w:hAnsi="Times New Roman" w:cs="Times New Roman"/>
          <w:b/>
          <w:bCs/>
          <w:color w:val="222222"/>
        </w:rPr>
        <w:t>Proatlantes</w:t>
      </w:r>
      <w:r w:rsidRPr="00A155FA">
        <w:rPr>
          <w:rFonts w:ascii="Times New Roman" w:eastAsia="Times New Roman" w:hAnsi="Times New Roman" w:cs="Times New Roman"/>
          <w:color w:val="222222"/>
        </w:rPr>
        <w:t>. Present (0), absent (1).</w:t>
      </w:r>
    </w:p>
    <w:p w14:paraId="4420CB03" w14:textId="77777777" w:rsidR="00A97E37" w:rsidRPr="00A155FA" w:rsidRDefault="00A97E37" w:rsidP="00D01A5E">
      <w:pPr>
        <w:ind w:left="540" w:hanging="540"/>
        <w:rPr>
          <w:color w:val="222222"/>
        </w:rPr>
      </w:pPr>
    </w:p>
    <w:p w14:paraId="39191931"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(294) </w:t>
      </w:r>
      <w:r w:rsidRPr="00A155FA">
        <w:rPr>
          <w:rFonts w:ascii="Times New Roman" w:eastAsia="Times New Roman" w:hAnsi="Times New Roman" w:cs="Times New Roman"/>
          <w:b/>
          <w:bCs/>
          <w:color w:val="222222"/>
        </w:rPr>
        <w:t>Second cervical arch</w:t>
      </w:r>
      <w:r w:rsidRPr="00A155FA">
        <w:rPr>
          <w:rFonts w:ascii="Times New Roman" w:eastAsia="Times New Roman" w:hAnsi="Times New Roman" w:cs="Times New Roman"/>
          <w:color w:val="222222"/>
        </w:rPr>
        <w:t>. Expanded to more posterior (0), equal to more posterior</w:t>
      </w:r>
    </w:p>
    <w:p w14:paraId="12E8443F"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(1), shorter than more posterior (2).</w:t>
      </w:r>
    </w:p>
    <w:p w14:paraId="738ED763" w14:textId="77777777" w:rsidR="00A97E37" w:rsidRPr="00A155FA" w:rsidRDefault="00A97E37" w:rsidP="00D01A5E">
      <w:pPr>
        <w:ind w:left="540" w:hanging="540"/>
        <w:rPr>
          <w:color w:val="222222"/>
        </w:rPr>
      </w:pPr>
    </w:p>
    <w:p w14:paraId="49E9DB23"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(295) </w:t>
      </w:r>
      <w:r w:rsidRPr="00A155FA">
        <w:rPr>
          <w:rFonts w:ascii="Times New Roman" w:eastAsia="Times New Roman" w:hAnsi="Times New Roman" w:cs="Times New Roman"/>
          <w:b/>
          <w:bCs/>
          <w:color w:val="222222"/>
        </w:rPr>
        <w:t>Cervical rib distal shape</w:t>
      </w:r>
      <w:r w:rsidRPr="00A155FA">
        <w:rPr>
          <w:rFonts w:ascii="Times New Roman" w:eastAsia="Times New Roman" w:hAnsi="Times New Roman" w:cs="Times New Roman"/>
          <w:color w:val="222222"/>
        </w:rPr>
        <w:t>. Spatulate (0), pointed (1).</w:t>
      </w:r>
    </w:p>
    <w:p w14:paraId="2B88B664" w14:textId="77777777" w:rsidR="00A97E37" w:rsidRPr="00A155FA" w:rsidRDefault="00A97E37" w:rsidP="00D01A5E">
      <w:pPr>
        <w:ind w:left="540" w:hanging="540"/>
        <w:rPr>
          <w:color w:val="222222"/>
        </w:rPr>
      </w:pPr>
    </w:p>
    <w:p w14:paraId="36C9EAA7" w14:textId="6A092B4A"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(296) </w:t>
      </w:r>
      <w:r w:rsidRPr="00A155FA">
        <w:rPr>
          <w:rFonts w:ascii="Times New Roman" w:eastAsia="Times New Roman" w:hAnsi="Times New Roman" w:cs="Times New Roman"/>
          <w:b/>
          <w:bCs/>
          <w:color w:val="222222"/>
        </w:rPr>
        <w:t>Presacral ribs</w:t>
      </w:r>
      <w:r w:rsidRPr="00A155FA">
        <w:rPr>
          <w:rFonts w:ascii="Times New Roman" w:eastAsia="Times New Roman" w:hAnsi="Times New Roman" w:cs="Times New Roman"/>
          <w:color w:val="222222"/>
        </w:rPr>
        <w:t>. Short (0), long (1).</w:t>
      </w:r>
    </w:p>
    <w:p w14:paraId="7B3BD7B7" w14:textId="77777777" w:rsidR="00A97E37" w:rsidRPr="00A155FA" w:rsidRDefault="00A97E37" w:rsidP="00D01A5E">
      <w:pPr>
        <w:ind w:left="540" w:hanging="540"/>
        <w:rPr>
          <w:color w:val="222222"/>
        </w:rPr>
      </w:pPr>
    </w:p>
    <w:p w14:paraId="41CF7986"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(297) </w:t>
      </w:r>
      <w:r w:rsidRPr="00A155FA">
        <w:rPr>
          <w:rFonts w:ascii="Times New Roman" w:eastAsia="Times New Roman" w:hAnsi="Times New Roman" w:cs="Times New Roman"/>
          <w:b/>
          <w:bCs/>
          <w:color w:val="222222"/>
        </w:rPr>
        <w:t>Sacral parapophysis</w:t>
      </w:r>
      <w:r w:rsidRPr="00A155FA">
        <w:rPr>
          <w:rFonts w:ascii="Times New Roman" w:eastAsia="Times New Roman" w:hAnsi="Times New Roman" w:cs="Times New Roman"/>
          <w:color w:val="222222"/>
        </w:rPr>
        <w:t>. On centrum (0), on transverse process (1).</w:t>
      </w:r>
    </w:p>
    <w:p w14:paraId="4F75CED6" w14:textId="77777777" w:rsidR="00A97E37" w:rsidRPr="00A155FA" w:rsidRDefault="00A97E37" w:rsidP="00D01A5E">
      <w:pPr>
        <w:ind w:left="540" w:hanging="540"/>
        <w:rPr>
          <w:color w:val="222222"/>
        </w:rPr>
      </w:pPr>
    </w:p>
    <w:p w14:paraId="758CDAAE"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(298) </w:t>
      </w:r>
      <w:r w:rsidRPr="00A155FA">
        <w:rPr>
          <w:rFonts w:ascii="Times New Roman" w:eastAsia="Times New Roman" w:hAnsi="Times New Roman" w:cs="Times New Roman"/>
          <w:b/>
          <w:bCs/>
          <w:color w:val="222222"/>
        </w:rPr>
        <w:t>Number pairs of caudal ribs</w:t>
      </w:r>
      <w:r w:rsidRPr="00A155FA">
        <w:rPr>
          <w:rFonts w:ascii="Times New Roman" w:eastAsia="Times New Roman" w:hAnsi="Times New Roman" w:cs="Times New Roman"/>
          <w:color w:val="222222"/>
        </w:rPr>
        <w:t>. 5 or more (0), 4 (1), 3 (2), 2 or fewer (3).</w:t>
      </w:r>
    </w:p>
    <w:p w14:paraId="37AE377A" w14:textId="77777777" w:rsidR="00A97E37" w:rsidRPr="00A155FA" w:rsidRDefault="00A97E37" w:rsidP="00D01A5E">
      <w:pPr>
        <w:ind w:left="540" w:hanging="540"/>
        <w:rPr>
          <w:color w:val="222222"/>
        </w:rPr>
      </w:pPr>
    </w:p>
    <w:p w14:paraId="31931D4F"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(299) </w:t>
      </w:r>
      <w:r w:rsidRPr="00A155FA">
        <w:rPr>
          <w:rFonts w:ascii="Times New Roman" w:eastAsia="Times New Roman" w:hAnsi="Times New Roman" w:cs="Times New Roman"/>
          <w:b/>
          <w:bCs/>
          <w:color w:val="222222"/>
        </w:rPr>
        <w:t>Supraglenoid foramen</w:t>
      </w:r>
      <w:r w:rsidRPr="00A155FA">
        <w:rPr>
          <w:rFonts w:ascii="Times New Roman" w:eastAsia="Times New Roman" w:hAnsi="Times New Roman" w:cs="Times New Roman"/>
          <w:color w:val="222222"/>
        </w:rPr>
        <w:t>. Present (0), absent (1).</w:t>
      </w:r>
    </w:p>
    <w:p w14:paraId="73D83F4E" w14:textId="77777777" w:rsidR="00A97E37" w:rsidRPr="00A155FA" w:rsidRDefault="00A97E37" w:rsidP="00D01A5E">
      <w:pPr>
        <w:ind w:left="540" w:hanging="540"/>
        <w:rPr>
          <w:color w:val="222222"/>
        </w:rPr>
      </w:pPr>
    </w:p>
    <w:p w14:paraId="4A018AD9"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(300) </w:t>
      </w:r>
      <w:r w:rsidRPr="00A155FA">
        <w:rPr>
          <w:rFonts w:ascii="Times New Roman" w:eastAsia="Times New Roman" w:hAnsi="Times New Roman" w:cs="Times New Roman"/>
          <w:b/>
          <w:bCs/>
          <w:color w:val="222222"/>
        </w:rPr>
        <w:t>Number coracoid foramina</w:t>
      </w:r>
      <w:r w:rsidRPr="00A155FA">
        <w:rPr>
          <w:rFonts w:ascii="Times New Roman" w:eastAsia="Times New Roman" w:hAnsi="Times New Roman" w:cs="Times New Roman"/>
          <w:color w:val="222222"/>
        </w:rPr>
        <w:t>. 0 (0), 1 (1), 2 or more (2).</w:t>
      </w:r>
    </w:p>
    <w:p w14:paraId="383875E2" w14:textId="77777777" w:rsidR="00A97E37" w:rsidRPr="00A155FA" w:rsidRDefault="00A97E37" w:rsidP="00D01A5E">
      <w:pPr>
        <w:ind w:left="540" w:hanging="540"/>
        <w:rPr>
          <w:color w:val="222222"/>
        </w:rPr>
      </w:pPr>
    </w:p>
    <w:p w14:paraId="690F2AC7"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(301) </w:t>
      </w:r>
      <w:r w:rsidRPr="00A155FA">
        <w:rPr>
          <w:rFonts w:ascii="Times New Roman" w:eastAsia="Times New Roman" w:hAnsi="Times New Roman" w:cs="Times New Roman"/>
          <w:b/>
          <w:bCs/>
          <w:color w:val="222222"/>
        </w:rPr>
        <w:t>Scapulocoracoid ossification</w:t>
      </w:r>
      <w:r w:rsidRPr="00A155FA">
        <w:rPr>
          <w:rFonts w:ascii="Times New Roman" w:eastAsia="Times New Roman" w:hAnsi="Times New Roman" w:cs="Times New Roman"/>
          <w:color w:val="222222"/>
        </w:rPr>
        <w:t>. Both (0), scapula only (1), absent (2).</w:t>
      </w:r>
    </w:p>
    <w:p w14:paraId="05E8FFAB" w14:textId="77777777" w:rsidR="00A97E37" w:rsidRPr="00A155FA" w:rsidRDefault="00A97E37" w:rsidP="00D01A5E">
      <w:pPr>
        <w:ind w:left="540" w:hanging="540"/>
        <w:rPr>
          <w:color w:val="222222"/>
        </w:rPr>
      </w:pPr>
    </w:p>
    <w:p w14:paraId="56A501C3"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(302) </w:t>
      </w:r>
      <w:r w:rsidRPr="00A155FA">
        <w:rPr>
          <w:rFonts w:ascii="Times New Roman" w:eastAsia="Times New Roman" w:hAnsi="Times New Roman" w:cs="Times New Roman"/>
          <w:b/>
          <w:bCs/>
          <w:color w:val="222222"/>
        </w:rPr>
        <w:t>Deltopectoral crest</w:t>
      </w:r>
      <w:r w:rsidRPr="00A155FA">
        <w:rPr>
          <w:rFonts w:ascii="Times New Roman" w:eastAsia="Times New Roman" w:hAnsi="Times New Roman" w:cs="Times New Roman"/>
          <w:color w:val="222222"/>
        </w:rPr>
        <w:t>. Weak (0), intermediate (1), prominent (2).</w:t>
      </w:r>
    </w:p>
    <w:p w14:paraId="134169FD" w14:textId="77777777" w:rsidR="00A97E37" w:rsidRPr="00A155FA" w:rsidRDefault="00A97E37" w:rsidP="00D01A5E">
      <w:pPr>
        <w:ind w:left="540" w:hanging="540"/>
        <w:rPr>
          <w:color w:val="222222"/>
        </w:rPr>
      </w:pPr>
    </w:p>
    <w:p w14:paraId="4F8BC1B6"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(303) </w:t>
      </w:r>
      <w:r w:rsidRPr="00A155FA">
        <w:rPr>
          <w:rFonts w:ascii="Times New Roman" w:eastAsia="Times New Roman" w:hAnsi="Times New Roman" w:cs="Times New Roman"/>
          <w:b/>
          <w:bCs/>
          <w:color w:val="222222"/>
        </w:rPr>
        <w:t>Humerus length</w:t>
      </w:r>
      <w:r w:rsidRPr="00A155FA">
        <w:rPr>
          <w:rFonts w:ascii="Times New Roman" w:eastAsia="Times New Roman" w:hAnsi="Times New Roman" w:cs="Times New Roman"/>
          <w:color w:val="222222"/>
        </w:rPr>
        <w:t>. Long (&gt;4 trunk centra) (0), short (1).</w:t>
      </w:r>
    </w:p>
    <w:p w14:paraId="3F9342CD" w14:textId="77777777" w:rsidR="00A97E37" w:rsidRPr="00A155FA" w:rsidRDefault="00A97E37" w:rsidP="00D01A5E">
      <w:pPr>
        <w:ind w:left="540" w:hanging="540"/>
        <w:rPr>
          <w:color w:val="222222"/>
        </w:rPr>
      </w:pPr>
    </w:p>
    <w:p w14:paraId="0F768A97"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(304) </w:t>
      </w:r>
      <w:proofErr w:type="spellStart"/>
      <w:r w:rsidRPr="00A155FA">
        <w:rPr>
          <w:rFonts w:ascii="Times New Roman" w:eastAsia="Times New Roman" w:hAnsi="Times New Roman" w:cs="Times New Roman"/>
          <w:b/>
          <w:bCs/>
          <w:color w:val="222222"/>
        </w:rPr>
        <w:t>Radius:humerus</w:t>
      </w:r>
      <w:proofErr w:type="spellEnd"/>
      <w:r w:rsidRPr="00A155FA">
        <w:rPr>
          <w:rFonts w:ascii="Times New Roman" w:eastAsia="Times New Roman" w:hAnsi="Times New Roman" w:cs="Times New Roman"/>
          <w:color w:val="222222"/>
        </w:rPr>
        <w:t>. &gt;=0.7 (0), 0.5-0.7 (1), &lt;0.5 (2).</w:t>
      </w:r>
    </w:p>
    <w:p w14:paraId="51AF8DB5" w14:textId="77777777" w:rsidR="00A97E37" w:rsidRPr="00A155FA" w:rsidRDefault="00A97E37" w:rsidP="00D01A5E">
      <w:pPr>
        <w:ind w:left="540" w:hanging="540"/>
        <w:rPr>
          <w:color w:val="222222"/>
        </w:rPr>
      </w:pPr>
    </w:p>
    <w:p w14:paraId="56DC4433"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(305) </w:t>
      </w:r>
      <w:r w:rsidRPr="00A155FA">
        <w:rPr>
          <w:rFonts w:ascii="Times New Roman" w:eastAsia="Times New Roman" w:hAnsi="Times New Roman" w:cs="Times New Roman"/>
          <w:b/>
          <w:bCs/>
          <w:color w:val="222222"/>
        </w:rPr>
        <w:t>Olecranon process</w:t>
      </w:r>
      <w:r w:rsidRPr="00A155FA">
        <w:rPr>
          <w:rFonts w:ascii="Times New Roman" w:eastAsia="Times New Roman" w:hAnsi="Times New Roman" w:cs="Times New Roman"/>
          <w:color w:val="222222"/>
        </w:rPr>
        <w:t>. Unossified (0), ossified (1).</w:t>
      </w:r>
    </w:p>
    <w:p w14:paraId="5B31447F" w14:textId="77777777" w:rsidR="00A97E37" w:rsidRPr="00A155FA" w:rsidRDefault="00A97E37" w:rsidP="00D01A5E">
      <w:pPr>
        <w:ind w:left="540" w:hanging="540"/>
        <w:rPr>
          <w:color w:val="222222"/>
        </w:rPr>
      </w:pPr>
    </w:p>
    <w:p w14:paraId="0C1DB287"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(306) </w:t>
      </w:r>
      <w:r w:rsidRPr="00A155FA">
        <w:rPr>
          <w:rFonts w:ascii="Times New Roman" w:eastAsia="Times New Roman" w:hAnsi="Times New Roman" w:cs="Times New Roman"/>
          <w:b/>
          <w:bCs/>
          <w:color w:val="222222"/>
        </w:rPr>
        <w:t>Basale commune</w:t>
      </w:r>
      <w:r w:rsidRPr="00A155FA">
        <w:rPr>
          <w:rFonts w:ascii="Times New Roman" w:eastAsia="Times New Roman" w:hAnsi="Times New Roman" w:cs="Times New Roman"/>
          <w:color w:val="222222"/>
        </w:rPr>
        <w:t>. Absent (0), present (1).</w:t>
      </w:r>
    </w:p>
    <w:p w14:paraId="6A569837" w14:textId="77777777" w:rsidR="00A97E37" w:rsidRPr="00A155FA" w:rsidRDefault="00A97E37" w:rsidP="00D01A5E">
      <w:pPr>
        <w:ind w:left="540" w:hanging="540"/>
        <w:rPr>
          <w:color w:val="222222"/>
        </w:rPr>
      </w:pPr>
    </w:p>
    <w:p w14:paraId="171A7882"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(307) </w:t>
      </w:r>
      <w:r w:rsidRPr="00A155FA">
        <w:rPr>
          <w:rFonts w:ascii="Times New Roman" w:eastAsia="Times New Roman" w:hAnsi="Times New Roman" w:cs="Times New Roman"/>
          <w:b/>
          <w:bCs/>
          <w:color w:val="222222"/>
        </w:rPr>
        <w:t>Femur</w:t>
      </w:r>
      <w:r w:rsidRPr="00A155FA">
        <w:rPr>
          <w:rFonts w:ascii="Times New Roman" w:eastAsia="Times New Roman" w:hAnsi="Times New Roman" w:cs="Times New Roman"/>
          <w:color w:val="222222"/>
        </w:rPr>
        <w:t>. Long (0), short (1).</w:t>
      </w:r>
    </w:p>
    <w:p w14:paraId="6D8DD6BC" w14:textId="77777777" w:rsidR="00A97E37" w:rsidRPr="00A155FA" w:rsidRDefault="00A97E37" w:rsidP="00D01A5E">
      <w:pPr>
        <w:ind w:left="540" w:hanging="540"/>
        <w:rPr>
          <w:color w:val="222222"/>
        </w:rPr>
      </w:pPr>
    </w:p>
    <w:p w14:paraId="7573DD62"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(308) </w:t>
      </w:r>
      <w:r w:rsidRPr="00A155FA">
        <w:rPr>
          <w:rFonts w:ascii="Times New Roman" w:eastAsia="Times New Roman" w:hAnsi="Times New Roman" w:cs="Times New Roman"/>
          <w:b/>
          <w:bCs/>
          <w:color w:val="222222"/>
        </w:rPr>
        <w:t>Elongate tibiale and fibulare</w:t>
      </w:r>
      <w:r w:rsidRPr="00A155FA">
        <w:rPr>
          <w:rFonts w:ascii="Times New Roman" w:eastAsia="Times New Roman" w:hAnsi="Times New Roman" w:cs="Times New Roman"/>
          <w:color w:val="222222"/>
        </w:rPr>
        <w:t>. Absent (0), present (1).</w:t>
      </w:r>
    </w:p>
    <w:p w14:paraId="7900F8CD" w14:textId="77777777" w:rsidR="00A97E37" w:rsidRPr="00A155FA" w:rsidRDefault="00A97E37" w:rsidP="00D01A5E">
      <w:pPr>
        <w:ind w:left="540" w:hanging="540"/>
        <w:rPr>
          <w:color w:val="222222"/>
        </w:rPr>
      </w:pPr>
    </w:p>
    <w:p w14:paraId="3555C895"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(309) </w:t>
      </w:r>
      <w:r w:rsidRPr="00A155FA">
        <w:rPr>
          <w:rFonts w:ascii="Times New Roman" w:eastAsia="Times New Roman" w:hAnsi="Times New Roman" w:cs="Times New Roman"/>
          <w:b/>
          <w:bCs/>
          <w:color w:val="222222"/>
        </w:rPr>
        <w:t>Number of distal tarsals</w:t>
      </w:r>
      <w:r w:rsidRPr="00A155FA">
        <w:rPr>
          <w:rFonts w:ascii="Times New Roman" w:eastAsia="Times New Roman" w:hAnsi="Times New Roman" w:cs="Times New Roman"/>
          <w:color w:val="222222"/>
        </w:rPr>
        <w:t>. 6 (0), 5 or fewer (1).</w:t>
      </w:r>
    </w:p>
    <w:p w14:paraId="36FCDC90" w14:textId="77777777" w:rsidR="00A97E37" w:rsidRPr="00A155FA" w:rsidRDefault="00A97E37" w:rsidP="00D01A5E">
      <w:pPr>
        <w:ind w:left="540" w:hanging="540"/>
        <w:rPr>
          <w:color w:val="222222"/>
        </w:rPr>
      </w:pPr>
    </w:p>
    <w:p w14:paraId="1DA65163"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(310) </w:t>
      </w:r>
      <w:r w:rsidRPr="00A155FA">
        <w:rPr>
          <w:rFonts w:ascii="Times New Roman" w:eastAsia="Times New Roman" w:hAnsi="Times New Roman" w:cs="Times New Roman"/>
          <w:b/>
          <w:bCs/>
          <w:color w:val="222222"/>
        </w:rPr>
        <w:t>Dorsal margin of splenial only contacts first coronoid</w:t>
      </w:r>
      <w:r w:rsidRPr="00A155FA">
        <w:rPr>
          <w:rFonts w:ascii="Times New Roman" w:eastAsia="Times New Roman" w:hAnsi="Times New Roman" w:cs="Times New Roman"/>
          <w:color w:val="222222"/>
        </w:rPr>
        <w:t>. Absent (0), present (1).</w:t>
      </w:r>
    </w:p>
    <w:p w14:paraId="108D0AF9" w14:textId="77777777" w:rsidR="00A97E37" w:rsidRPr="00A155FA" w:rsidRDefault="00A97E37" w:rsidP="00D01A5E">
      <w:pPr>
        <w:ind w:left="540" w:hanging="540"/>
        <w:rPr>
          <w:color w:val="222222"/>
        </w:rPr>
      </w:pPr>
    </w:p>
    <w:p w14:paraId="0DEABB4A"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(311) </w:t>
      </w:r>
      <w:r w:rsidRPr="00A155FA">
        <w:rPr>
          <w:rFonts w:ascii="Times New Roman" w:eastAsia="Times New Roman" w:hAnsi="Times New Roman" w:cs="Times New Roman"/>
          <w:b/>
          <w:bCs/>
          <w:color w:val="222222"/>
        </w:rPr>
        <w:t xml:space="preserve">Parietal anterior </w:t>
      </w:r>
      <w:proofErr w:type="spellStart"/>
      <w:r w:rsidRPr="00A155FA">
        <w:rPr>
          <w:rFonts w:ascii="Times New Roman" w:eastAsia="Times New Roman" w:hAnsi="Times New Roman" w:cs="Times New Roman"/>
          <w:b/>
          <w:bCs/>
          <w:color w:val="222222"/>
        </w:rPr>
        <w:t>waisting</w:t>
      </w:r>
      <w:proofErr w:type="spellEnd"/>
      <w:r w:rsidRPr="00A155FA">
        <w:rPr>
          <w:rFonts w:ascii="Times New Roman" w:eastAsia="Times New Roman" w:hAnsi="Times New Roman" w:cs="Times New Roman"/>
          <w:color w:val="222222"/>
        </w:rPr>
        <w:t>. Absent (0), present (1).</w:t>
      </w:r>
    </w:p>
    <w:p w14:paraId="011FCEA4" w14:textId="77777777" w:rsidR="00A97E37" w:rsidRPr="00A155FA" w:rsidRDefault="00A97E37" w:rsidP="00D01A5E">
      <w:pPr>
        <w:ind w:left="540" w:hanging="540"/>
        <w:rPr>
          <w:color w:val="222222"/>
        </w:rPr>
      </w:pPr>
    </w:p>
    <w:p w14:paraId="3C472B5E"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(312) </w:t>
      </w:r>
      <w:r w:rsidRPr="00A155FA">
        <w:rPr>
          <w:rFonts w:ascii="Times New Roman" w:eastAsia="Times New Roman" w:hAnsi="Times New Roman" w:cs="Times New Roman"/>
          <w:b/>
          <w:bCs/>
          <w:color w:val="222222"/>
        </w:rPr>
        <w:t>Parietal width relative to frontal</w:t>
      </w:r>
      <w:r w:rsidRPr="00A155FA">
        <w:rPr>
          <w:rFonts w:ascii="Times New Roman" w:eastAsia="Times New Roman" w:hAnsi="Times New Roman" w:cs="Times New Roman"/>
          <w:color w:val="222222"/>
        </w:rPr>
        <w:t>. Greater (0), less than or equal to (1).</w:t>
      </w:r>
    </w:p>
    <w:p w14:paraId="11577B10" w14:textId="77777777" w:rsidR="00A97E37" w:rsidRPr="00A155FA" w:rsidRDefault="00A97E37" w:rsidP="00D01A5E">
      <w:pPr>
        <w:ind w:left="540" w:hanging="540"/>
        <w:rPr>
          <w:color w:val="222222"/>
        </w:rPr>
      </w:pPr>
    </w:p>
    <w:p w14:paraId="6418BF72"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(313) </w:t>
      </w:r>
      <w:r w:rsidRPr="00A155FA">
        <w:rPr>
          <w:rFonts w:ascii="Times New Roman" w:eastAsia="Times New Roman" w:hAnsi="Times New Roman" w:cs="Times New Roman"/>
          <w:b/>
          <w:bCs/>
          <w:color w:val="222222"/>
        </w:rPr>
        <w:t>Skull table</w:t>
      </w:r>
      <w:r w:rsidRPr="00A155FA">
        <w:rPr>
          <w:rFonts w:ascii="Times New Roman" w:eastAsia="Times New Roman" w:hAnsi="Times New Roman" w:cs="Times New Roman"/>
          <w:color w:val="222222"/>
        </w:rPr>
        <w:t>. Rectangular (0), T-shaped (1).</w:t>
      </w:r>
    </w:p>
    <w:p w14:paraId="24755FD1" w14:textId="77777777" w:rsidR="00A97E37" w:rsidRPr="00A155FA" w:rsidRDefault="00A97E37" w:rsidP="00D01A5E">
      <w:pPr>
        <w:ind w:left="540" w:hanging="540"/>
        <w:rPr>
          <w:color w:val="222222"/>
        </w:rPr>
      </w:pPr>
    </w:p>
    <w:p w14:paraId="45E9A1E1"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(314) </w:t>
      </w:r>
      <w:r w:rsidRPr="00A155FA">
        <w:rPr>
          <w:rFonts w:ascii="Times New Roman" w:eastAsia="Times New Roman" w:hAnsi="Times New Roman" w:cs="Times New Roman"/>
          <w:b/>
          <w:bCs/>
          <w:color w:val="222222"/>
        </w:rPr>
        <w:t>Prefrontals</w:t>
      </w:r>
      <w:r w:rsidRPr="00A155FA">
        <w:rPr>
          <w:rFonts w:ascii="Times New Roman" w:eastAsia="Times New Roman" w:hAnsi="Times New Roman" w:cs="Times New Roman"/>
          <w:color w:val="222222"/>
        </w:rPr>
        <w:t>. Present (0), absent (1).</w:t>
      </w:r>
    </w:p>
    <w:p w14:paraId="2EF3FD1F" w14:textId="77777777" w:rsidR="00A97E37" w:rsidRPr="00A155FA" w:rsidRDefault="00A97E37" w:rsidP="00D01A5E">
      <w:pPr>
        <w:ind w:left="540" w:hanging="540"/>
        <w:rPr>
          <w:color w:val="222222"/>
        </w:rPr>
      </w:pPr>
    </w:p>
    <w:p w14:paraId="61425392"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(315) </w:t>
      </w:r>
      <w:r w:rsidRPr="00A155FA">
        <w:rPr>
          <w:rFonts w:ascii="Times New Roman" w:eastAsia="Times New Roman" w:hAnsi="Times New Roman" w:cs="Times New Roman"/>
          <w:b/>
          <w:bCs/>
          <w:color w:val="222222"/>
        </w:rPr>
        <w:t>Postfrontals</w:t>
      </w:r>
      <w:r w:rsidRPr="00A155FA">
        <w:rPr>
          <w:rFonts w:ascii="Times New Roman" w:eastAsia="Times New Roman" w:hAnsi="Times New Roman" w:cs="Times New Roman"/>
          <w:color w:val="222222"/>
        </w:rPr>
        <w:t>. Present (0), absent (1).</w:t>
      </w:r>
    </w:p>
    <w:p w14:paraId="488CE28D" w14:textId="77777777" w:rsidR="00A97E37" w:rsidRPr="00A155FA" w:rsidRDefault="00A97E37" w:rsidP="00D01A5E">
      <w:pPr>
        <w:ind w:left="540" w:hanging="540"/>
        <w:rPr>
          <w:color w:val="222222"/>
        </w:rPr>
      </w:pPr>
    </w:p>
    <w:p w14:paraId="5FDC253F"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(316) </w:t>
      </w:r>
      <w:r w:rsidRPr="00A155FA">
        <w:rPr>
          <w:rFonts w:ascii="Times New Roman" w:eastAsia="Times New Roman" w:hAnsi="Times New Roman" w:cs="Times New Roman"/>
          <w:b/>
          <w:bCs/>
          <w:color w:val="222222"/>
        </w:rPr>
        <w:t>Squamosal-frontal contact</w:t>
      </w:r>
      <w:r w:rsidRPr="00A155FA">
        <w:rPr>
          <w:rFonts w:ascii="Times New Roman" w:eastAsia="Times New Roman" w:hAnsi="Times New Roman" w:cs="Times New Roman"/>
          <w:color w:val="222222"/>
        </w:rPr>
        <w:t>. Contact (0), no contact (1).</w:t>
      </w:r>
    </w:p>
    <w:p w14:paraId="1B8DBC8D" w14:textId="77777777" w:rsidR="00A97E37" w:rsidRPr="00A155FA" w:rsidRDefault="00A97E37" w:rsidP="00D01A5E">
      <w:pPr>
        <w:ind w:left="540" w:hanging="540"/>
        <w:rPr>
          <w:color w:val="222222"/>
        </w:rPr>
      </w:pPr>
    </w:p>
    <w:p w14:paraId="27873ED2"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(317) </w:t>
      </w:r>
      <w:r w:rsidRPr="00A155FA">
        <w:rPr>
          <w:rFonts w:ascii="Times New Roman" w:eastAsia="Times New Roman" w:hAnsi="Times New Roman" w:cs="Times New Roman"/>
          <w:b/>
          <w:bCs/>
          <w:color w:val="222222"/>
        </w:rPr>
        <w:t>Zygokrotaphy</w:t>
      </w:r>
      <w:r w:rsidRPr="00A155FA">
        <w:rPr>
          <w:rFonts w:ascii="Times New Roman" w:eastAsia="Times New Roman" w:hAnsi="Times New Roman" w:cs="Times New Roman"/>
          <w:color w:val="222222"/>
        </w:rPr>
        <w:t xml:space="preserve">. </w:t>
      </w:r>
      <w:proofErr w:type="spellStart"/>
      <w:r w:rsidRPr="00A155FA">
        <w:rPr>
          <w:rFonts w:ascii="Times New Roman" w:eastAsia="Times New Roman" w:hAnsi="Times New Roman" w:cs="Times New Roman"/>
          <w:color w:val="222222"/>
        </w:rPr>
        <w:t>Stegokrotaphy</w:t>
      </w:r>
      <w:proofErr w:type="spellEnd"/>
      <w:r w:rsidRPr="00A155FA">
        <w:rPr>
          <w:rFonts w:ascii="Times New Roman" w:eastAsia="Times New Roman" w:hAnsi="Times New Roman" w:cs="Times New Roman"/>
          <w:color w:val="222222"/>
        </w:rPr>
        <w:t xml:space="preserve"> including roofing bones like tabulars and</w:t>
      </w:r>
    </w:p>
    <w:p w14:paraId="0A81D0B7"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supratemporals (0), zygokrotaphy with muscles approaching skull midline (1), </w:t>
      </w:r>
      <w:proofErr w:type="spellStart"/>
      <w:r w:rsidRPr="00A155FA">
        <w:rPr>
          <w:rFonts w:ascii="Times New Roman" w:eastAsia="Times New Roman" w:hAnsi="Times New Roman" w:cs="Times New Roman"/>
          <w:color w:val="222222"/>
        </w:rPr>
        <w:t>stegokrotaphy</w:t>
      </w:r>
      <w:proofErr w:type="spellEnd"/>
      <w:r w:rsidRPr="00A155FA">
        <w:rPr>
          <w:rFonts w:ascii="Times New Roman" w:eastAsia="Times New Roman" w:hAnsi="Times New Roman" w:cs="Times New Roman"/>
          <w:color w:val="222222"/>
        </w:rPr>
        <w:t xml:space="preserve"> in the absence of roofing bones such as tabulars and supratemporals (2), zygokrotaphy, but muscle does not extend through temporal fossa (3).</w:t>
      </w:r>
    </w:p>
    <w:p w14:paraId="3130A877" w14:textId="77777777" w:rsidR="00A97E37" w:rsidRPr="00A155FA" w:rsidRDefault="00A97E37" w:rsidP="00D01A5E">
      <w:pPr>
        <w:ind w:left="540" w:hanging="540"/>
        <w:rPr>
          <w:color w:val="222222"/>
        </w:rPr>
      </w:pPr>
    </w:p>
    <w:p w14:paraId="32BBA89C"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(318) </w:t>
      </w:r>
      <w:r w:rsidRPr="00A155FA">
        <w:rPr>
          <w:rFonts w:ascii="Times New Roman" w:eastAsia="Times New Roman" w:hAnsi="Times New Roman" w:cs="Times New Roman"/>
          <w:b/>
          <w:bCs/>
          <w:color w:val="222222"/>
        </w:rPr>
        <w:t>Quadrate-maxilla separated by</w:t>
      </w:r>
      <w:r w:rsidRPr="00A155FA">
        <w:rPr>
          <w:rFonts w:ascii="Times New Roman" w:eastAsia="Times New Roman" w:hAnsi="Times New Roman" w:cs="Times New Roman"/>
          <w:color w:val="222222"/>
        </w:rPr>
        <w:t>. Pterygoid (0), small pterygoid and pterygoid process of quadrate (1), by pterygoid process of quadrate only (pterygoid absent) (2).</w:t>
      </w:r>
    </w:p>
    <w:p w14:paraId="6440382B" w14:textId="77777777" w:rsidR="00A97E37" w:rsidRPr="00A155FA" w:rsidRDefault="00A97E37" w:rsidP="00D01A5E">
      <w:pPr>
        <w:ind w:left="540" w:hanging="540"/>
        <w:rPr>
          <w:color w:val="222222"/>
        </w:rPr>
      </w:pPr>
    </w:p>
    <w:p w14:paraId="0EB7BF1D"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(319) </w:t>
      </w:r>
      <w:r w:rsidRPr="00A155FA">
        <w:rPr>
          <w:rFonts w:ascii="Times New Roman" w:eastAsia="Times New Roman" w:hAnsi="Times New Roman" w:cs="Times New Roman"/>
          <w:b/>
          <w:bCs/>
          <w:color w:val="222222"/>
        </w:rPr>
        <w:t>Quadrate-maxillopalatine</w:t>
      </w:r>
      <w:r w:rsidRPr="00A155FA">
        <w:rPr>
          <w:rFonts w:ascii="Times New Roman" w:eastAsia="Times New Roman" w:hAnsi="Times New Roman" w:cs="Times New Roman"/>
          <w:color w:val="222222"/>
        </w:rPr>
        <w:t>. contact laterally (0), do not contact laterally (1).</w:t>
      </w:r>
    </w:p>
    <w:p w14:paraId="3A2B67D2" w14:textId="77777777" w:rsidR="00A97E37" w:rsidRPr="00A155FA" w:rsidRDefault="00A97E37" w:rsidP="00D01A5E">
      <w:pPr>
        <w:ind w:left="540" w:hanging="540"/>
        <w:rPr>
          <w:color w:val="222222"/>
        </w:rPr>
      </w:pPr>
    </w:p>
    <w:p w14:paraId="2E3AA42E"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(320) </w:t>
      </w:r>
      <w:proofErr w:type="spellStart"/>
      <w:r w:rsidRPr="00A155FA">
        <w:rPr>
          <w:rFonts w:ascii="Times New Roman" w:eastAsia="Times New Roman" w:hAnsi="Times New Roman" w:cs="Times New Roman"/>
          <w:b/>
          <w:bCs/>
          <w:color w:val="222222"/>
        </w:rPr>
        <w:t>Ceratobranchials</w:t>
      </w:r>
      <w:proofErr w:type="spellEnd"/>
      <w:r w:rsidRPr="00A155FA">
        <w:rPr>
          <w:rFonts w:ascii="Times New Roman" w:eastAsia="Times New Roman" w:hAnsi="Times New Roman" w:cs="Times New Roman"/>
          <w:color w:val="222222"/>
        </w:rPr>
        <w:t>. 3 and 4 fused enclosing larynx (0), not (1).</w:t>
      </w:r>
    </w:p>
    <w:p w14:paraId="1AB937BA" w14:textId="77777777" w:rsidR="00A97E37" w:rsidRPr="00A155FA" w:rsidRDefault="00A97E37" w:rsidP="00D01A5E">
      <w:pPr>
        <w:ind w:left="540" w:hanging="540"/>
        <w:rPr>
          <w:color w:val="222222"/>
        </w:rPr>
      </w:pPr>
    </w:p>
    <w:p w14:paraId="4E9BAB31"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(321) </w:t>
      </w:r>
      <w:r w:rsidRPr="00A155FA">
        <w:rPr>
          <w:rFonts w:ascii="Times New Roman" w:eastAsia="Times New Roman" w:hAnsi="Times New Roman" w:cs="Times New Roman"/>
          <w:b/>
          <w:bCs/>
          <w:color w:val="222222"/>
        </w:rPr>
        <w:t>Tentacle</w:t>
      </w:r>
      <w:r w:rsidRPr="00A155FA">
        <w:rPr>
          <w:rFonts w:ascii="Times New Roman" w:eastAsia="Times New Roman" w:hAnsi="Times New Roman" w:cs="Times New Roman"/>
          <w:color w:val="222222"/>
        </w:rPr>
        <w:t>. Absent (0), present adjacent to eye (1), between eye</w:t>
      </w:r>
    </w:p>
    <w:p w14:paraId="450361B9"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and naris (2), beneath naris (3).</w:t>
      </w:r>
    </w:p>
    <w:p w14:paraId="2DC8D7C4" w14:textId="77777777" w:rsidR="00A97E37" w:rsidRPr="00A155FA" w:rsidRDefault="00A97E37" w:rsidP="00D01A5E">
      <w:pPr>
        <w:ind w:left="540" w:hanging="540"/>
        <w:rPr>
          <w:color w:val="222222"/>
        </w:rPr>
      </w:pPr>
    </w:p>
    <w:p w14:paraId="0D0A40B7"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(322) </w:t>
      </w:r>
      <w:r w:rsidRPr="00A155FA">
        <w:rPr>
          <w:rFonts w:ascii="Times New Roman" w:eastAsia="Times New Roman" w:hAnsi="Times New Roman" w:cs="Times New Roman"/>
          <w:b/>
          <w:bCs/>
          <w:color w:val="222222"/>
        </w:rPr>
        <w:t>Splenial teeth</w:t>
      </w:r>
      <w:r w:rsidRPr="00A155FA">
        <w:rPr>
          <w:rFonts w:ascii="Times New Roman" w:eastAsia="Times New Roman" w:hAnsi="Times New Roman" w:cs="Times New Roman"/>
          <w:color w:val="222222"/>
        </w:rPr>
        <w:t>. Present (0), absent (1).</w:t>
      </w:r>
    </w:p>
    <w:p w14:paraId="5D615D08" w14:textId="77777777" w:rsidR="00A97E37" w:rsidRPr="00A155FA" w:rsidRDefault="00A97E37" w:rsidP="00D01A5E">
      <w:pPr>
        <w:ind w:left="540" w:hanging="540"/>
        <w:rPr>
          <w:color w:val="222222"/>
        </w:rPr>
      </w:pPr>
    </w:p>
    <w:p w14:paraId="7B3AF0B7"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(323) </w:t>
      </w:r>
      <w:r w:rsidRPr="00A155FA">
        <w:rPr>
          <w:rFonts w:ascii="Times New Roman" w:eastAsia="Times New Roman" w:hAnsi="Times New Roman" w:cs="Times New Roman"/>
          <w:b/>
          <w:bCs/>
          <w:color w:val="222222"/>
        </w:rPr>
        <w:t>Choanal openings</w:t>
      </w:r>
      <w:r w:rsidRPr="00A155FA">
        <w:rPr>
          <w:rFonts w:ascii="Times New Roman" w:eastAsia="Times New Roman" w:hAnsi="Times New Roman" w:cs="Times New Roman"/>
          <w:color w:val="222222"/>
        </w:rPr>
        <w:t>. Small (0), large (1).</w:t>
      </w:r>
    </w:p>
    <w:p w14:paraId="1F31A381" w14:textId="77777777" w:rsidR="00A97E37" w:rsidRPr="00A155FA" w:rsidRDefault="00A97E37" w:rsidP="00D01A5E">
      <w:pPr>
        <w:ind w:left="540" w:hanging="540"/>
        <w:rPr>
          <w:color w:val="222222"/>
        </w:rPr>
      </w:pPr>
    </w:p>
    <w:p w14:paraId="4E5A4BA0"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(324) </w:t>
      </w:r>
      <w:r w:rsidRPr="00A155FA">
        <w:rPr>
          <w:rFonts w:ascii="Times New Roman" w:eastAsia="Times New Roman" w:hAnsi="Times New Roman" w:cs="Times New Roman"/>
          <w:b/>
          <w:bCs/>
          <w:color w:val="222222"/>
        </w:rPr>
        <w:t>Sphenethmoid</w:t>
      </w:r>
      <w:r w:rsidRPr="00A155FA">
        <w:rPr>
          <w:rFonts w:ascii="Times New Roman" w:eastAsia="Times New Roman" w:hAnsi="Times New Roman" w:cs="Times New Roman"/>
          <w:color w:val="222222"/>
        </w:rPr>
        <w:t>. Covered dorsally (0), exposed dorsally (1).</w:t>
      </w:r>
    </w:p>
    <w:p w14:paraId="79142911" w14:textId="77777777" w:rsidR="00A97E37" w:rsidRPr="00A155FA" w:rsidRDefault="00A97E37" w:rsidP="00D01A5E">
      <w:pPr>
        <w:ind w:left="540" w:hanging="540"/>
        <w:rPr>
          <w:color w:val="222222"/>
        </w:rPr>
      </w:pPr>
    </w:p>
    <w:p w14:paraId="15785941"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(325) </w:t>
      </w:r>
      <w:r w:rsidRPr="00A155FA">
        <w:rPr>
          <w:rFonts w:ascii="Times New Roman" w:eastAsia="Times New Roman" w:hAnsi="Times New Roman" w:cs="Times New Roman"/>
          <w:b/>
          <w:bCs/>
          <w:color w:val="222222"/>
        </w:rPr>
        <w:t>Larval stage</w:t>
      </w:r>
      <w:r w:rsidRPr="00A155FA">
        <w:rPr>
          <w:rFonts w:ascii="Times New Roman" w:eastAsia="Times New Roman" w:hAnsi="Times New Roman" w:cs="Times New Roman"/>
          <w:color w:val="222222"/>
        </w:rPr>
        <w:t>. Present (0), absent, direct development (1).</w:t>
      </w:r>
    </w:p>
    <w:p w14:paraId="4504D1A1" w14:textId="77777777" w:rsidR="00A97E37" w:rsidRPr="00A155FA" w:rsidRDefault="00A97E37" w:rsidP="00D01A5E">
      <w:pPr>
        <w:ind w:left="540" w:hanging="540"/>
        <w:rPr>
          <w:color w:val="222222"/>
        </w:rPr>
      </w:pPr>
    </w:p>
    <w:p w14:paraId="64EADE1C"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(326) </w:t>
      </w:r>
      <w:r w:rsidRPr="00A155FA">
        <w:rPr>
          <w:rFonts w:ascii="Times New Roman" w:eastAsia="Times New Roman" w:hAnsi="Times New Roman" w:cs="Times New Roman"/>
          <w:b/>
          <w:bCs/>
          <w:color w:val="222222"/>
        </w:rPr>
        <w:t>Anterior dentary teeth</w:t>
      </w:r>
      <w:r w:rsidRPr="00A155FA">
        <w:rPr>
          <w:rFonts w:ascii="Times New Roman" w:eastAsia="Times New Roman" w:hAnsi="Times New Roman" w:cs="Times New Roman"/>
          <w:color w:val="222222"/>
        </w:rPr>
        <w:t xml:space="preserve">. Bicuspid (0), </w:t>
      </w:r>
      <w:proofErr w:type="spellStart"/>
      <w:r w:rsidRPr="00A155FA">
        <w:rPr>
          <w:rFonts w:ascii="Times New Roman" w:eastAsia="Times New Roman" w:hAnsi="Times New Roman" w:cs="Times New Roman"/>
          <w:color w:val="222222"/>
        </w:rPr>
        <w:t>monocuspid</w:t>
      </w:r>
      <w:proofErr w:type="spellEnd"/>
      <w:r w:rsidRPr="00A155FA">
        <w:rPr>
          <w:rFonts w:ascii="Times New Roman" w:eastAsia="Times New Roman" w:hAnsi="Times New Roman" w:cs="Times New Roman"/>
          <w:color w:val="222222"/>
        </w:rPr>
        <w:t xml:space="preserve"> (1).</w:t>
      </w:r>
    </w:p>
    <w:p w14:paraId="2157C319" w14:textId="77777777" w:rsidR="00A97E37" w:rsidRPr="00A155FA" w:rsidRDefault="00A97E37" w:rsidP="00D01A5E">
      <w:pPr>
        <w:ind w:left="540" w:hanging="540"/>
        <w:rPr>
          <w:color w:val="222222"/>
        </w:rPr>
      </w:pPr>
    </w:p>
    <w:p w14:paraId="3EE45147"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(327) </w:t>
      </w:r>
      <w:r w:rsidRPr="00A155FA">
        <w:rPr>
          <w:rFonts w:ascii="Times New Roman" w:eastAsia="Times New Roman" w:hAnsi="Times New Roman" w:cs="Times New Roman"/>
          <w:b/>
          <w:bCs/>
          <w:color w:val="222222"/>
        </w:rPr>
        <w:t>Nasal septum ossification</w:t>
      </w:r>
      <w:r w:rsidRPr="00A155FA">
        <w:rPr>
          <w:rFonts w:ascii="Times New Roman" w:eastAsia="Times New Roman" w:hAnsi="Times New Roman" w:cs="Times New Roman"/>
          <w:color w:val="222222"/>
        </w:rPr>
        <w:t>. Not ossified (0), 20-35% of the total skull length (1),</w:t>
      </w:r>
    </w:p>
    <w:p w14:paraId="580ED74D"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less than 20% of the total skull length (2).</w:t>
      </w:r>
    </w:p>
    <w:p w14:paraId="4C667BE4" w14:textId="77777777" w:rsidR="00A97E37" w:rsidRPr="00A155FA" w:rsidRDefault="00A97E37" w:rsidP="00D01A5E">
      <w:pPr>
        <w:ind w:left="540" w:hanging="540"/>
        <w:rPr>
          <w:color w:val="222222"/>
        </w:rPr>
      </w:pPr>
    </w:p>
    <w:p w14:paraId="12ABA848"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(328) </w:t>
      </w:r>
      <w:r w:rsidRPr="00A155FA">
        <w:rPr>
          <w:rFonts w:ascii="Times New Roman" w:eastAsia="Times New Roman" w:hAnsi="Times New Roman" w:cs="Times New Roman"/>
          <w:b/>
          <w:bCs/>
          <w:color w:val="222222"/>
        </w:rPr>
        <w:t>Dorsomedial process of the sphenethmoid</w:t>
      </w:r>
      <w:r w:rsidRPr="00A155FA">
        <w:rPr>
          <w:rFonts w:ascii="Times New Roman" w:eastAsia="Times New Roman" w:hAnsi="Times New Roman" w:cs="Times New Roman"/>
          <w:color w:val="222222"/>
        </w:rPr>
        <w:t>. Absent (0), 11% or more of the total</w:t>
      </w:r>
    </w:p>
    <w:p w14:paraId="5E638C73"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skull length (1), 10% or less of the total skull length (2).</w:t>
      </w:r>
    </w:p>
    <w:p w14:paraId="2C0FFDC2" w14:textId="77777777" w:rsidR="00A97E37" w:rsidRPr="00A155FA" w:rsidRDefault="00A97E37" w:rsidP="00D01A5E">
      <w:pPr>
        <w:ind w:left="540" w:hanging="540"/>
        <w:rPr>
          <w:color w:val="222222"/>
        </w:rPr>
      </w:pPr>
    </w:p>
    <w:p w14:paraId="7C86B71E"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(329) </w:t>
      </w:r>
      <w:r w:rsidRPr="00A155FA">
        <w:rPr>
          <w:rFonts w:ascii="Times New Roman" w:eastAsia="Times New Roman" w:hAnsi="Times New Roman" w:cs="Times New Roman"/>
          <w:b/>
          <w:bCs/>
          <w:color w:val="222222"/>
        </w:rPr>
        <w:t>Dorsomedial process of the sphenethmoid</w:t>
      </w:r>
      <w:r w:rsidRPr="00A155FA">
        <w:rPr>
          <w:rFonts w:ascii="Times New Roman" w:eastAsia="Times New Roman" w:hAnsi="Times New Roman" w:cs="Times New Roman"/>
          <w:color w:val="222222"/>
        </w:rPr>
        <w:t>. Thin and rod-like (0), thick and broad</w:t>
      </w:r>
    </w:p>
    <w:p w14:paraId="572BEA37"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(1).</w:t>
      </w:r>
    </w:p>
    <w:p w14:paraId="4AC5249C" w14:textId="77777777" w:rsidR="00A97E37" w:rsidRPr="00A155FA" w:rsidRDefault="00A97E37" w:rsidP="00D01A5E">
      <w:pPr>
        <w:ind w:left="540" w:hanging="540"/>
        <w:rPr>
          <w:color w:val="222222"/>
        </w:rPr>
      </w:pPr>
    </w:p>
    <w:p w14:paraId="081A4C57"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(330) </w:t>
      </w:r>
      <w:r w:rsidRPr="00A155FA">
        <w:rPr>
          <w:rFonts w:ascii="Times New Roman" w:eastAsia="Times New Roman" w:hAnsi="Times New Roman" w:cs="Times New Roman"/>
          <w:b/>
          <w:bCs/>
          <w:color w:val="222222"/>
        </w:rPr>
        <w:t>Dorsal sutural surface of the sphenethmoid</w:t>
      </w:r>
      <w:r w:rsidRPr="00A155FA">
        <w:rPr>
          <w:rFonts w:ascii="Times New Roman" w:eastAsia="Times New Roman" w:hAnsi="Times New Roman" w:cs="Times New Roman"/>
          <w:color w:val="222222"/>
        </w:rPr>
        <w:t>. Narrow or weakly tapered (0), broad</w:t>
      </w:r>
    </w:p>
    <w:p w14:paraId="73EF6D02"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and triangular and strongly tapered (1).</w:t>
      </w:r>
    </w:p>
    <w:p w14:paraId="4335E9E6" w14:textId="77777777" w:rsidR="00A97E37" w:rsidRPr="00A155FA" w:rsidRDefault="00A97E37" w:rsidP="00D01A5E">
      <w:pPr>
        <w:ind w:left="540" w:hanging="540"/>
        <w:rPr>
          <w:color w:val="222222"/>
        </w:rPr>
      </w:pPr>
    </w:p>
    <w:p w14:paraId="065B0648"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(331) </w:t>
      </w:r>
      <w:r w:rsidRPr="00A155FA">
        <w:rPr>
          <w:rFonts w:ascii="Times New Roman" w:eastAsia="Times New Roman" w:hAnsi="Times New Roman" w:cs="Times New Roman"/>
          <w:b/>
          <w:bCs/>
          <w:color w:val="222222"/>
        </w:rPr>
        <w:t>Sola nasi</w:t>
      </w:r>
      <w:r w:rsidRPr="00A155FA">
        <w:rPr>
          <w:rFonts w:ascii="Times New Roman" w:eastAsia="Times New Roman" w:hAnsi="Times New Roman" w:cs="Times New Roman"/>
          <w:color w:val="222222"/>
        </w:rPr>
        <w:t>. Absent (0), present and connected to the nasal septum ventrally (1),</w:t>
      </w:r>
    </w:p>
    <w:p w14:paraId="6D0CB6F2"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present, rod-like or tubular (2).</w:t>
      </w:r>
    </w:p>
    <w:p w14:paraId="1BD343FF" w14:textId="77777777" w:rsidR="00A97E37" w:rsidRPr="00A155FA" w:rsidRDefault="00A97E37" w:rsidP="00D01A5E">
      <w:pPr>
        <w:ind w:left="540" w:hanging="540"/>
        <w:rPr>
          <w:color w:val="222222"/>
        </w:rPr>
      </w:pPr>
    </w:p>
    <w:p w14:paraId="12E45EA3"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(332) </w:t>
      </w:r>
      <w:r w:rsidRPr="00A155FA">
        <w:rPr>
          <w:rFonts w:ascii="Times New Roman" w:eastAsia="Times New Roman" w:hAnsi="Times New Roman" w:cs="Times New Roman"/>
          <w:b/>
          <w:bCs/>
          <w:color w:val="222222"/>
        </w:rPr>
        <w:t>Length of the lateral walls of the sphenethmoid</w:t>
      </w:r>
      <w:r w:rsidRPr="00A155FA">
        <w:rPr>
          <w:rFonts w:ascii="Times New Roman" w:eastAsia="Times New Roman" w:hAnsi="Times New Roman" w:cs="Times New Roman"/>
          <w:color w:val="222222"/>
        </w:rPr>
        <w:t>. 14% or less than the total skull</w:t>
      </w:r>
    </w:p>
    <w:p w14:paraId="5E0F5440"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length (0), 15% or greater of the total skull length (1).</w:t>
      </w:r>
    </w:p>
    <w:p w14:paraId="0D200E91" w14:textId="77777777" w:rsidR="00A97E37" w:rsidRPr="00A155FA" w:rsidRDefault="00A97E37" w:rsidP="00D01A5E">
      <w:pPr>
        <w:ind w:left="540" w:hanging="540"/>
        <w:rPr>
          <w:color w:val="222222"/>
        </w:rPr>
      </w:pPr>
    </w:p>
    <w:p w14:paraId="21DB990F"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(333) </w:t>
      </w:r>
      <w:r w:rsidRPr="00A155FA">
        <w:rPr>
          <w:rFonts w:ascii="Times New Roman" w:eastAsia="Times New Roman" w:hAnsi="Times New Roman" w:cs="Times New Roman"/>
          <w:b/>
          <w:bCs/>
          <w:color w:val="222222"/>
        </w:rPr>
        <w:t>Floor of sphenethmoid</w:t>
      </w:r>
      <w:r w:rsidRPr="00A155FA">
        <w:rPr>
          <w:rFonts w:ascii="Times New Roman" w:eastAsia="Times New Roman" w:hAnsi="Times New Roman" w:cs="Times New Roman"/>
          <w:color w:val="222222"/>
        </w:rPr>
        <w:t xml:space="preserve">. Deeply incised and U-shaped in outline (0), shallowly incised with broad coverage of </w:t>
      </w:r>
      <w:proofErr w:type="spellStart"/>
      <w:r w:rsidRPr="00A155FA">
        <w:rPr>
          <w:rFonts w:ascii="Times New Roman" w:eastAsia="Times New Roman" w:hAnsi="Times New Roman" w:cs="Times New Roman"/>
          <w:color w:val="222222"/>
        </w:rPr>
        <w:t>os</w:t>
      </w:r>
      <w:proofErr w:type="spellEnd"/>
      <w:r w:rsidRPr="00A155FA">
        <w:rPr>
          <w:rFonts w:ascii="Times New Roman" w:eastAsia="Times New Roman" w:hAnsi="Times New Roman" w:cs="Times New Roman"/>
          <w:color w:val="222222"/>
        </w:rPr>
        <w:t xml:space="preserve"> </w:t>
      </w:r>
      <w:proofErr w:type="spellStart"/>
      <w:r w:rsidRPr="00A155FA">
        <w:rPr>
          <w:rFonts w:ascii="Times New Roman" w:eastAsia="Times New Roman" w:hAnsi="Times New Roman" w:cs="Times New Roman"/>
          <w:color w:val="222222"/>
        </w:rPr>
        <w:t>basale</w:t>
      </w:r>
      <w:proofErr w:type="spellEnd"/>
      <w:r w:rsidRPr="00A155FA">
        <w:rPr>
          <w:rFonts w:ascii="Times New Roman" w:eastAsia="Times New Roman" w:hAnsi="Times New Roman" w:cs="Times New Roman"/>
          <w:color w:val="222222"/>
        </w:rPr>
        <w:t xml:space="preserve"> (1), deeply incised and U-shaped, but with midline extension (2).</w:t>
      </w:r>
    </w:p>
    <w:p w14:paraId="008B99C3" w14:textId="77777777" w:rsidR="00A97E37" w:rsidRPr="00A155FA" w:rsidRDefault="00A97E37" w:rsidP="00D01A5E">
      <w:pPr>
        <w:ind w:left="540" w:hanging="540"/>
        <w:rPr>
          <w:color w:val="222222"/>
        </w:rPr>
      </w:pPr>
    </w:p>
    <w:p w14:paraId="069681FE"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(334) </w:t>
      </w:r>
      <w:r w:rsidRPr="00A155FA">
        <w:rPr>
          <w:rFonts w:ascii="Times New Roman" w:eastAsia="Times New Roman" w:hAnsi="Times New Roman" w:cs="Times New Roman"/>
          <w:b/>
          <w:bCs/>
          <w:color w:val="222222"/>
        </w:rPr>
        <w:t>Parasphenoid margins</w:t>
      </w:r>
      <w:r w:rsidRPr="00A155FA">
        <w:rPr>
          <w:rFonts w:ascii="Times New Roman" w:eastAsia="Times New Roman" w:hAnsi="Times New Roman" w:cs="Times New Roman"/>
          <w:color w:val="222222"/>
        </w:rPr>
        <w:t>. Absence of lateral constriction posterior to basicranial articulations (0), weak constriction posterior to basicranial articulations present (1), strong constriction posterior to basicranial articulations, reaching to the carotid foramina (2).</w:t>
      </w:r>
    </w:p>
    <w:p w14:paraId="5705B0EF" w14:textId="77777777" w:rsidR="00A97E37" w:rsidRPr="00A155FA" w:rsidRDefault="00A97E37" w:rsidP="00D01A5E">
      <w:pPr>
        <w:ind w:left="540" w:hanging="540"/>
        <w:rPr>
          <w:color w:val="222222"/>
        </w:rPr>
      </w:pPr>
    </w:p>
    <w:p w14:paraId="1061A6FD"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(335) </w:t>
      </w:r>
      <w:r w:rsidRPr="00A155FA">
        <w:rPr>
          <w:rFonts w:ascii="Times New Roman" w:eastAsia="Times New Roman" w:hAnsi="Times New Roman" w:cs="Times New Roman"/>
          <w:b/>
          <w:bCs/>
          <w:color w:val="222222"/>
        </w:rPr>
        <w:t xml:space="preserve">Skull roof exposure of the </w:t>
      </w:r>
      <w:proofErr w:type="spellStart"/>
      <w:r w:rsidRPr="00A155FA">
        <w:rPr>
          <w:rFonts w:ascii="Times New Roman" w:eastAsia="Times New Roman" w:hAnsi="Times New Roman" w:cs="Times New Roman"/>
          <w:b/>
          <w:bCs/>
          <w:color w:val="222222"/>
        </w:rPr>
        <w:t>os</w:t>
      </w:r>
      <w:proofErr w:type="spellEnd"/>
      <w:r w:rsidRPr="00A155FA">
        <w:rPr>
          <w:rFonts w:ascii="Times New Roman" w:eastAsia="Times New Roman" w:hAnsi="Times New Roman" w:cs="Times New Roman"/>
          <w:b/>
          <w:bCs/>
          <w:color w:val="222222"/>
        </w:rPr>
        <w:t xml:space="preserve"> </w:t>
      </w:r>
      <w:proofErr w:type="spellStart"/>
      <w:r w:rsidRPr="00A155FA">
        <w:rPr>
          <w:rFonts w:ascii="Times New Roman" w:eastAsia="Times New Roman" w:hAnsi="Times New Roman" w:cs="Times New Roman"/>
          <w:b/>
          <w:bCs/>
          <w:color w:val="222222"/>
        </w:rPr>
        <w:t>basale</w:t>
      </w:r>
      <w:proofErr w:type="spellEnd"/>
      <w:r w:rsidRPr="00A155FA">
        <w:rPr>
          <w:rFonts w:ascii="Times New Roman" w:eastAsia="Times New Roman" w:hAnsi="Times New Roman" w:cs="Times New Roman"/>
          <w:color w:val="222222"/>
        </w:rPr>
        <w:t>. Moderate exposure at the dorsal midline (0), little to no exposure near the dorsal midline (1), very wide exposure near the dorsal midline (2).</w:t>
      </w:r>
    </w:p>
    <w:p w14:paraId="0D4FEA31" w14:textId="77777777" w:rsidR="00A97E37" w:rsidRPr="00A155FA" w:rsidRDefault="00A97E37" w:rsidP="00D01A5E">
      <w:pPr>
        <w:ind w:left="540" w:hanging="540"/>
        <w:rPr>
          <w:color w:val="222222"/>
        </w:rPr>
      </w:pPr>
    </w:p>
    <w:p w14:paraId="4DD808B5"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(336) </w:t>
      </w:r>
      <w:r w:rsidRPr="00A155FA">
        <w:rPr>
          <w:rFonts w:ascii="Times New Roman" w:eastAsia="Times New Roman" w:hAnsi="Times New Roman" w:cs="Times New Roman"/>
          <w:b/>
          <w:bCs/>
          <w:color w:val="222222"/>
        </w:rPr>
        <w:t>Fenestra vestibuli</w:t>
      </w:r>
      <w:r w:rsidRPr="00A155FA">
        <w:rPr>
          <w:rFonts w:ascii="Times New Roman" w:eastAsia="Times New Roman" w:hAnsi="Times New Roman" w:cs="Times New Roman"/>
          <w:color w:val="222222"/>
        </w:rPr>
        <w:t>. Large, subcircular (0), anteroposteriorly elongate, oval (1), very small, subcircular (2).</w:t>
      </w:r>
    </w:p>
    <w:p w14:paraId="73D2D65A" w14:textId="77777777" w:rsidR="00A97E37" w:rsidRPr="00A155FA" w:rsidRDefault="00A97E37" w:rsidP="00D01A5E">
      <w:pPr>
        <w:ind w:left="540" w:hanging="540"/>
        <w:rPr>
          <w:color w:val="222222"/>
        </w:rPr>
      </w:pPr>
    </w:p>
    <w:p w14:paraId="7A762949"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(337) </w:t>
      </w:r>
      <w:r w:rsidRPr="00A155FA">
        <w:rPr>
          <w:rFonts w:ascii="Times New Roman" w:eastAsia="Times New Roman" w:hAnsi="Times New Roman" w:cs="Times New Roman"/>
          <w:b/>
          <w:bCs/>
          <w:color w:val="222222"/>
        </w:rPr>
        <w:t xml:space="preserve">Canal for palatal ramus of the facial nerve in </w:t>
      </w:r>
      <w:proofErr w:type="spellStart"/>
      <w:r w:rsidRPr="00A155FA">
        <w:rPr>
          <w:rFonts w:ascii="Times New Roman" w:eastAsia="Times New Roman" w:hAnsi="Times New Roman" w:cs="Times New Roman"/>
          <w:b/>
          <w:bCs/>
          <w:color w:val="222222"/>
        </w:rPr>
        <w:t>antotic</w:t>
      </w:r>
      <w:proofErr w:type="spellEnd"/>
      <w:r w:rsidRPr="00A155FA">
        <w:rPr>
          <w:rFonts w:ascii="Times New Roman" w:eastAsia="Times New Roman" w:hAnsi="Times New Roman" w:cs="Times New Roman"/>
          <w:b/>
          <w:bCs/>
          <w:color w:val="222222"/>
        </w:rPr>
        <w:t xml:space="preserve"> region</w:t>
      </w:r>
      <w:r w:rsidRPr="00A155FA">
        <w:rPr>
          <w:rFonts w:ascii="Times New Roman" w:eastAsia="Times New Roman" w:hAnsi="Times New Roman" w:cs="Times New Roman"/>
          <w:color w:val="222222"/>
        </w:rPr>
        <w:t>. Absent (0), present (1).</w:t>
      </w:r>
    </w:p>
    <w:p w14:paraId="221AD99F" w14:textId="77777777" w:rsidR="00A97E37" w:rsidRPr="00A155FA" w:rsidRDefault="00A97E37" w:rsidP="00D01A5E">
      <w:pPr>
        <w:ind w:left="540" w:hanging="540"/>
        <w:rPr>
          <w:color w:val="222222"/>
        </w:rPr>
      </w:pPr>
    </w:p>
    <w:p w14:paraId="7B1B653A"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(338) </w:t>
      </w:r>
      <w:r w:rsidRPr="00A155FA">
        <w:rPr>
          <w:rFonts w:ascii="Times New Roman" w:eastAsia="Times New Roman" w:hAnsi="Times New Roman" w:cs="Times New Roman"/>
          <w:b/>
          <w:bCs/>
          <w:color w:val="222222"/>
        </w:rPr>
        <w:t>Footplate of stapes</w:t>
      </w:r>
      <w:r w:rsidRPr="00A155FA">
        <w:rPr>
          <w:rFonts w:ascii="Times New Roman" w:eastAsia="Times New Roman" w:hAnsi="Times New Roman" w:cs="Times New Roman"/>
          <w:color w:val="222222"/>
        </w:rPr>
        <w:t>. Fills the fenestra vestibule (0), much smaller than the fenestra vestibule (1).</w:t>
      </w:r>
    </w:p>
    <w:p w14:paraId="65075250" w14:textId="77777777" w:rsidR="00A97E37" w:rsidRPr="00A155FA" w:rsidRDefault="00A97E37" w:rsidP="00D01A5E">
      <w:pPr>
        <w:ind w:left="540" w:hanging="540"/>
        <w:rPr>
          <w:color w:val="222222"/>
        </w:rPr>
      </w:pPr>
    </w:p>
    <w:p w14:paraId="64EDA4CC"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(339) </w:t>
      </w:r>
      <w:r w:rsidRPr="00A155FA">
        <w:rPr>
          <w:rFonts w:ascii="Times New Roman" w:eastAsia="Times New Roman" w:hAnsi="Times New Roman" w:cs="Times New Roman"/>
          <w:b/>
          <w:bCs/>
          <w:color w:val="222222"/>
        </w:rPr>
        <w:t>Columellar process</w:t>
      </w:r>
      <w:r w:rsidRPr="00A155FA">
        <w:rPr>
          <w:rFonts w:ascii="Times New Roman" w:eastAsia="Times New Roman" w:hAnsi="Times New Roman" w:cs="Times New Roman"/>
          <w:color w:val="222222"/>
        </w:rPr>
        <w:t>. No ridge present (0), ridge on distal columellar process (1).</w:t>
      </w:r>
    </w:p>
    <w:p w14:paraId="0BD808DE" w14:textId="77777777" w:rsidR="00A97E37" w:rsidRPr="00A155FA" w:rsidRDefault="00A97E37" w:rsidP="00D01A5E">
      <w:pPr>
        <w:ind w:left="540" w:hanging="540"/>
        <w:rPr>
          <w:color w:val="222222"/>
        </w:rPr>
      </w:pPr>
    </w:p>
    <w:p w14:paraId="79D8EF8E"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(340) </w:t>
      </w:r>
      <w:r w:rsidRPr="00A155FA">
        <w:rPr>
          <w:rFonts w:ascii="Times New Roman" w:eastAsia="Times New Roman" w:hAnsi="Times New Roman" w:cs="Times New Roman"/>
          <w:b/>
          <w:bCs/>
          <w:color w:val="222222"/>
        </w:rPr>
        <w:t>Shape of optic foramen</w:t>
      </w:r>
      <w:r w:rsidRPr="00A155FA">
        <w:rPr>
          <w:rFonts w:ascii="Times New Roman" w:eastAsia="Times New Roman" w:hAnsi="Times New Roman" w:cs="Times New Roman"/>
          <w:color w:val="222222"/>
        </w:rPr>
        <w:t>. Large, subcircular opening (0), narrow and slit-like</w:t>
      </w:r>
    </w:p>
    <w:p w14:paraId="126B22A9"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opening (1), oblique anterior margin in the sphenethmoid (2), oblique posterior margin in</w:t>
      </w:r>
    </w:p>
    <w:p w14:paraId="331D5B7A"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the </w:t>
      </w:r>
      <w:proofErr w:type="spellStart"/>
      <w:r w:rsidRPr="00A155FA">
        <w:rPr>
          <w:rFonts w:ascii="Times New Roman" w:eastAsia="Times New Roman" w:hAnsi="Times New Roman" w:cs="Times New Roman"/>
          <w:color w:val="222222"/>
        </w:rPr>
        <w:t>os</w:t>
      </w:r>
      <w:proofErr w:type="spellEnd"/>
      <w:r w:rsidRPr="00A155FA">
        <w:rPr>
          <w:rFonts w:ascii="Times New Roman" w:eastAsia="Times New Roman" w:hAnsi="Times New Roman" w:cs="Times New Roman"/>
          <w:color w:val="222222"/>
        </w:rPr>
        <w:t xml:space="preserve"> </w:t>
      </w:r>
      <w:proofErr w:type="spellStart"/>
      <w:r w:rsidRPr="00A155FA">
        <w:rPr>
          <w:rFonts w:ascii="Times New Roman" w:eastAsia="Times New Roman" w:hAnsi="Times New Roman" w:cs="Times New Roman"/>
          <w:color w:val="222222"/>
        </w:rPr>
        <w:t>basale</w:t>
      </w:r>
      <w:proofErr w:type="spellEnd"/>
      <w:r w:rsidRPr="00A155FA">
        <w:rPr>
          <w:rFonts w:ascii="Times New Roman" w:eastAsia="Times New Roman" w:hAnsi="Times New Roman" w:cs="Times New Roman"/>
          <w:color w:val="222222"/>
        </w:rPr>
        <w:t xml:space="preserve"> (3).</w:t>
      </w:r>
    </w:p>
    <w:p w14:paraId="084B2600" w14:textId="77777777" w:rsidR="00A97E37" w:rsidRPr="00A155FA" w:rsidRDefault="00A97E37" w:rsidP="00D01A5E">
      <w:pPr>
        <w:ind w:left="540" w:hanging="540"/>
        <w:rPr>
          <w:color w:val="222222"/>
        </w:rPr>
      </w:pPr>
    </w:p>
    <w:p w14:paraId="45FD76D6"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(341) </w:t>
      </w:r>
      <w:r w:rsidRPr="00A155FA">
        <w:rPr>
          <w:rFonts w:ascii="Times New Roman" w:eastAsia="Times New Roman" w:hAnsi="Times New Roman" w:cs="Times New Roman"/>
          <w:b/>
          <w:bCs/>
          <w:color w:val="222222"/>
        </w:rPr>
        <w:t>Anterior wall of sphenethmoid</w:t>
      </w:r>
      <w:r w:rsidRPr="00A155FA">
        <w:rPr>
          <w:rFonts w:ascii="Times New Roman" w:eastAsia="Times New Roman" w:hAnsi="Times New Roman" w:cs="Times New Roman"/>
          <w:color w:val="222222"/>
        </w:rPr>
        <w:t>. Unossified (0), ossified, one pair of foramina (1),</w:t>
      </w:r>
    </w:p>
    <w:p w14:paraId="27C4C95C" w14:textId="77777777" w:rsidR="00A97E37" w:rsidRPr="00A155FA" w:rsidRDefault="00A97E37" w:rsidP="00D01A5E">
      <w:pPr>
        <w:pStyle w:val="ListParagraph"/>
        <w:ind w:left="540"/>
        <w:rPr>
          <w:rFonts w:ascii="Times New Roman" w:eastAsia="Times New Roman" w:hAnsi="Times New Roman" w:cs="Times New Roman"/>
          <w:color w:val="222222"/>
        </w:rPr>
      </w:pPr>
      <w:r w:rsidRPr="00A155FA">
        <w:rPr>
          <w:rFonts w:ascii="Times New Roman" w:eastAsia="Times New Roman" w:hAnsi="Times New Roman" w:cs="Times New Roman"/>
          <w:color w:val="222222"/>
        </w:rPr>
        <w:t>ossified, two pairs of foramina (dorsal and ventral) (2).</w:t>
      </w:r>
    </w:p>
    <w:p w14:paraId="436D8B30" w14:textId="77777777" w:rsidR="00A97E37" w:rsidRPr="00A155FA" w:rsidRDefault="00A97E37" w:rsidP="00D01A5E">
      <w:pPr>
        <w:ind w:left="540" w:hanging="540"/>
        <w:rPr>
          <w:color w:val="222222"/>
        </w:rPr>
      </w:pPr>
    </w:p>
    <w:p w14:paraId="5C819630"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(342) </w:t>
      </w:r>
      <w:r w:rsidRPr="00A155FA">
        <w:rPr>
          <w:rFonts w:ascii="Times New Roman" w:eastAsia="Times New Roman" w:hAnsi="Times New Roman" w:cs="Times New Roman"/>
          <w:b/>
          <w:bCs/>
          <w:color w:val="222222"/>
        </w:rPr>
        <w:t>Anterolateral process of sphenethmoid</w:t>
      </w:r>
      <w:r w:rsidRPr="00A155FA">
        <w:rPr>
          <w:rFonts w:ascii="Times New Roman" w:eastAsia="Times New Roman" w:hAnsi="Times New Roman" w:cs="Times New Roman"/>
          <w:color w:val="222222"/>
        </w:rPr>
        <w:t>. Absent (0), present (1).</w:t>
      </w:r>
    </w:p>
    <w:p w14:paraId="726BA2E6" w14:textId="77777777" w:rsidR="00A97E37" w:rsidRPr="00A155FA" w:rsidRDefault="00A97E37" w:rsidP="00D01A5E">
      <w:pPr>
        <w:ind w:left="540" w:hanging="540"/>
        <w:rPr>
          <w:color w:val="222222"/>
        </w:rPr>
      </w:pPr>
    </w:p>
    <w:p w14:paraId="26554E3D"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(343) </w:t>
      </w:r>
      <w:r w:rsidRPr="00A155FA">
        <w:rPr>
          <w:rFonts w:ascii="Times New Roman" w:eastAsia="Times New Roman" w:hAnsi="Times New Roman" w:cs="Times New Roman"/>
          <w:b/>
          <w:bCs/>
          <w:color w:val="222222"/>
        </w:rPr>
        <w:t>Parasphenoid cultriform process</w:t>
      </w:r>
      <w:r w:rsidRPr="00A155FA">
        <w:rPr>
          <w:rFonts w:ascii="Times New Roman" w:eastAsia="Times New Roman" w:hAnsi="Times New Roman" w:cs="Times New Roman"/>
          <w:color w:val="222222"/>
        </w:rPr>
        <w:t>. Narrow, tapering anteriorly throughout its length (0), parallel-sided (1); narrowest at mid-length and then flaring anteriorly or continuously flaring anteriorly from the base (2).</w:t>
      </w:r>
    </w:p>
    <w:p w14:paraId="31A7373A" w14:textId="77777777" w:rsidR="00A97E37" w:rsidRPr="00A155FA" w:rsidRDefault="00A97E37" w:rsidP="00D01A5E">
      <w:pPr>
        <w:ind w:left="540" w:hanging="540"/>
        <w:rPr>
          <w:color w:val="222222"/>
        </w:rPr>
      </w:pPr>
    </w:p>
    <w:p w14:paraId="76FE8754"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(344) </w:t>
      </w:r>
      <w:r w:rsidRPr="00A155FA">
        <w:rPr>
          <w:rFonts w:ascii="Times New Roman" w:eastAsia="Times New Roman" w:hAnsi="Times New Roman" w:cs="Times New Roman"/>
          <w:b/>
          <w:bCs/>
          <w:color w:val="222222"/>
        </w:rPr>
        <w:t>Dentary marginal dentition</w:t>
      </w:r>
      <w:r w:rsidRPr="00A155FA">
        <w:rPr>
          <w:rFonts w:ascii="Times New Roman" w:eastAsia="Times New Roman" w:hAnsi="Times New Roman" w:cs="Times New Roman"/>
          <w:color w:val="222222"/>
        </w:rPr>
        <w:t>. Single row (0), multiple rows (1).</w:t>
      </w:r>
    </w:p>
    <w:p w14:paraId="1D9AAADD" w14:textId="77777777" w:rsidR="00A97E37" w:rsidRPr="00A155FA" w:rsidRDefault="00A97E37" w:rsidP="00D01A5E">
      <w:pPr>
        <w:ind w:left="540" w:hanging="540"/>
        <w:rPr>
          <w:color w:val="222222"/>
        </w:rPr>
      </w:pPr>
    </w:p>
    <w:p w14:paraId="519991D0"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(345) </w:t>
      </w:r>
      <w:r w:rsidRPr="00A155FA">
        <w:rPr>
          <w:rFonts w:ascii="Times New Roman" w:eastAsia="Times New Roman" w:hAnsi="Times New Roman" w:cs="Times New Roman"/>
          <w:b/>
          <w:bCs/>
          <w:color w:val="222222"/>
        </w:rPr>
        <w:t>Dorsolateral osteoderms fused to ribs</w:t>
      </w:r>
      <w:r w:rsidRPr="00A155FA">
        <w:rPr>
          <w:rFonts w:ascii="Times New Roman" w:eastAsia="Times New Roman" w:hAnsi="Times New Roman" w:cs="Times New Roman"/>
          <w:color w:val="222222"/>
        </w:rPr>
        <w:t>. Absent (0), present (1).</w:t>
      </w:r>
    </w:p>
    <w:p w14:paraId="0B7BB4E1" w14:textId="77777777" w:rsidR="00A97E37" w:rsidRPr="00A155FA" w:rsidRDefault="00A97E37" w:rsidP="00D01A5E">
      <w:pPr>
        <w:ind w:left="540" w:hanging="540"/>
        <w:rPr>
          <w:color w:val="222222"/>
        </w:rPr>
      </w:pPr>
    </w:p>
    <w:p w14:paraId="23D6C6D3"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(346) </w:t>
      </w:r>
      <w:r w:rsidRPr="00A155FA">
        <w:rPr>
          <w:rFonts w:ascii="Times New Roman" w:eastAsia="Times New Roman" w:hAnsi="Times New Roman" w:cs="Times New Roman"/>
          <w:b/>
          <w:bCs/>
          <w:color w:val="222222"/>
        </w:rPr>
        <w:t>Ectopterygoid</w:t>
      </w:r>
      <w:r w:rsidRPr="00A155FA">
        <w:rPr>
          <w:rFonts w:ascii="Times New Roman" w:eastAsia="Times New Roman" w:hAnsi="Times New Roman" w:cs="Times New Roman"/>
          <w:color w:val="222222"/>
        </w:rPr>
        <w:t>. Present (0), absent (1).</w:t>
      </w:r>
    </w:p>
    <w:p w14:paraId="01965124" w14:textId="77777777" w:rsidR="00A97E37" w:rsidRPr="00A155FA" w:rsidRDefault="00A97E37" w:rsidP="00D01A5E">
      <w:pPr>
        <w:ind w:left="540" w:hanging="540"/>
        <w:rPr>
          <w:color w:val="222222"/>
        </w:rPr>
      </w:pPr>
    </w:p>
    <w:p w14:paraId="7EB3864D"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(347) </w:t>
      </w:r>
      <w:r w:rsidRPr="00A155FA">
        <w:rPr>
          <w:rFonts w:ascii="Times New Roman" w:eastAsia="Times New Roman" w:hAnsi="Times New Roman" w:cs="Times New Roman"/>
          <w:b/>
          <w:bCs/>
          <w:color w:val="222222"/>
        </w:rPr>
        <w:t>Interclavicle</w:t>
      </w:r>
      <w:r w:rsidRPr="00A155FA">
        <w:rPr>
          <w:rFonts w:ascii="Times New Roman" w:eastAsia="Times New Roman" w:hAnsi="Times New Roman" w:cs="Times New Roman"/>
          <w:color w:val="222222"/>
        </w:rPr>
        <w:t>. Present (0), absent (1).</w:t>
      </w:r>
    </w:p>
    <w:p w14:paraId="483428F7" w14:textId="77777777" w:rsidR="00A97E37" w:rsidRPr="00A155FA" w:rsidRDefault="00A97E37" w:rsidP="00D01A5E">
      <w:pPr>
        <w:ind w:left="540" w:hanging="540"/>
        <w:rPr>
          <w:color w:val="222222"/>
        </w:rPr>
      </w:pPr>
    </w:p>
    <w:p w14:paraId="14146DD1"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(348) </w:t>
      </w:r>
      <w:r w:rsidRPr="00A155FA">
        <w:rPr>
          <w:rFonts w:ascii="Times New Roman" w:eastAsia="Times New Roman" w:hAnsi="Times New Roman" w:cs="Times New Roman"/>
          <w:b/>
          <w:bCs/>
          <w:color w:val="222222"/>
        </w:rPr>
        <w:t>Cleithrum</w:t>
      </w:r>
      <w:r w:rsidRPr="00A155FA">
        <w:rPr>
          <w:rFonts w:ascii="Times New Roman" w:eastAsia="Times New Roman" w:hAnsi="Times New Roman" w:cs="Times New Roman"/>
          <w:color w:val="222222"/>
        </w:rPr>
        <w:t>. Present (0), absent (1).</w:t>
      </w:r>
    </w:p>
    <w:p w14:paraId="6EC5957C" w14:textId="77777777" w:rsidR="00A97E37" w:rsidRPr="00A155FA" w:rsidRDefault="00A97E37" w:rsidP="00D01A5E">
      <w:pPr>
        <w:ind w:left="540" w:hanging="540"/>
        <w:rPr>
          <w:color w:val="222222"/>
        </w:rPr>
      </w:pPr>
    </w:p>
    <w:p w14:paraId="2D04967B"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(349) </w:t>
      </w:r>
      <w:r w:rsidRPr="00A155FA">
        <w:rPr>
          <w:rFonts w:ascii="Times New Roman" w:eastAsia="Times New Roman" w:hAnsi="Times New Roman" w:cs="Times New Roman"/>
          <w:b/>
          <w:bCs/>
          <w:color w:val="222222"/>
        </w:rPr>
        <w:t>Vomer</w:t>
      </w:r>
      <w:r w:rsidRPr="00A155FA">
        <w:rPr>
          <w:rFonts w:ascii="Times New Roman" w:eastAsia="Times New Roman" w:hAnsi="Times New Roman" w:cs="Times New Roman"/>
          <w:color w:val="222222"/>
        </w:rPr>
        <w:t>. Quadrangular plate, bordering choana medially (0), irregular shape, choana posteromedially expanded (1).</w:t>
      </w:r>
    </w:p>
    <w:p w14:paraId="240DBDD5" w14:textId="77777777" w:rsidR="00A97E37" w:rsidRPr="00A155FA" w:rsidRDefault="00A97E37" w:rsidP="00D01A5E">
      <w:pPr>
        <w:ind w:left="540" w:hanging="540"/>
        <w:rPr>
          <w:color w:val="222222"/>
        </w:rPr>
      </w:pPr>
    </w:p>
    <w:p w14:paraId="3E38635B"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(350) </w:t>
      </w:r>
      <w:r w:rsidRPr="00A155FA">
        <w:rPr>
          <w:rFonts w:ascii="Times New Roman" w:eastAsia="Times New Roman" w:hAnsi="Times New Roman" w:cs="Times New Roman"/>
          <w:b/>
          <w:bCs/>
          <w:color w:val="222222"/>
        </w:rPr>
        <w:t>Premaxilla</w:t>
      </w:r>
      <w:r w:rsidRPr="00A155FA">
        <w:rPr>
          <w:rFonts w:ascii="Times New Roman" w:eastAsia="Times New Roman" w:hAnsi="Times New Roman" w:cs="Times New Roman"/>
          <w:color w:val="222222"/>
        </w:rPr>
        <w:t>. Alary process blade-like (0), or elongate and slender (1).</w:t>
      </w:r>
    </w:p>
    <w:p w14:paraId="14485EC5" w14:textId="77777777" w:rsidR="00A97E37" w:rsidRPr="00A155FA" w:rsidRDefault="00A97E37" w:rsidP="00D01A5E">
      <w:pPr>
        <w:ind w:left="540" w:hanging="540"/>
        <w:rPr>
          <w:color w:val="222222"/>
        </w:rPr>
      </w:pPr>
    </w:p>
    <w:p w14:paraId="376874B3"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(351) </w:t>
      </w:r>
      <w:r w:rsidRPr="00A155FA">
        <w:rPr>
          <w:rFonts w:ascii="Times New Roman" w:eastAsia="Times New Roman" w:hAnsi="Times New Roman" w:cs="Times New Roman"/>
          <w:b/>
          <w:bCs/>
          <w:color w:val="222222"/>
        </w:rPr>
        <w:t>Continuous</w:t>
      </w:r>
      <w:r w:rsidRPr="00A155FA">
        <w:rPr>
          <w:rFonts w:ascii="Times New Roman" w:eastAsia="Times New Roman" w:hAnsi="Times New Roman" w:cs="Times New Roman"/>
          <w:color w:val="222222"/>
        </w:rPr>
        <w:t xml:space="preserve"> </w:t>
      </w:r>
      <w:r w:rsidRPr="00A155FA">
        <w:rPr>
          <w:rFonts w:ascii="Times New Roman" w:eastAsia="Times New Roman" w:hAnsi="Times New Roman" w:cs="Times New Roman"/>
          <w:b/>
          <w:bCs/>
          <w:color w:val="222222"/>
        </w:rPr>
        <w:t>tooth row lateral to choana</w:t>
      </w:r>
      <w:r w:rsidRPr="00A155FA">
        <w:rPr>
          <w:rFonts w:ascii="Times New Roman" w:eastAsia="Times New Roman" w:hAnsi="Times New Roman" w:cs="Times New Roman"/>
          <w:color w:val="222222"/>
        </w:rPr>
        <w:t>. Absent (0), or present (1).</w:t>
      </w:r>
    </w:p>
    <w:p w14:paraId="3D51B54B" w14:textId="77777777" w:rsidR="00A97E37" w:rsidRPr="00A155FA" w:rsidRDefault="00A97E37" w:rsidP="00D01A5E"/>
    <w:p w14:paraId="02A4D5EB" w14:textId="77777777" w:rsidR="00A97E37" w:rsidRPr="00A155FA" w:rsidRDefault="00A97E37" w:rsidP="005229E5">
      <w:pPr>
        <w:pStyle w:val="ListParagraph"/>
        <w:numPr>
          <w:ilvl w:val="0"/>
          <w:numId w:val="11"/>
        </w:numPr>
        <w:ind w:left="540" w:hanging="540"/>
        <w:rPr>
          <w:rFonts w:ascii="Times New Roman" w:hAnsi="Times New Roman" w:cs="Times New Roman"/>
        </w:rPr>
      </w:pPr>
      <w:r w:rsidRPr="00A155FA">
        <w:rPr>
          <w:rFonts w:ascii="Times New Roman" w:eastAsia="Times New Roman" w:hAnsi="Times New Roman" w:cs="Times New Roman"/>
          <w:color w:val="222222"/>
        </w:rPr>
        <w:t xml:space="preserve">(353) </w:t>
      </w:r>
      <w:r w:rsidRPr="00A155FA">
        <w:rPr>
          <w:rFonts w:ascii="Times New Roman" w:eastAsia="Times New Roman" w:hAnsi="Times New Roman" w:cs="Times New Roman"/>
          <w:b/>
          <w:bCs/>
          <w:color w:val="222222"/>
        </w:rPr>
        <w:t>Quadrate ramus of pterygoid</w:t>
      </w:r>
      <w:r w:rsidRPr="00A155FA">
        <w:rPr>
          <w:rFonts w:ascii="Times New Roman" w:eastAsia="Times New Roman" w:hAnsi="Times New Roman" w:cs="Times New Roman"/>
          <w:color w:val="222222"/>
        </w:rPr>
        <w:t xml:space="preserve">. Forming rod or elongate sheet (0), or greatly abbreviated </w:t>
      </w:r>
      <w:r w:rsidRPr="00A155FA">
        <w:rPr>
          <w:rFonts w:ascii="Times New Roman" w:hAnsi="Times New Roman" w:cs="Times New Roman"/>
        </w:rPr>
        <w:t>and entirely flat (1).</w:t>
      </w:r>
    </w:p>
    <w:p w14:paraId="08AF396B" w14:textId="77777777" w:rsidR="00A97E37" w:rsidRPr="00A155FA" w:rsidRDefault="00A97E37" w:rsidP="00D01A5E">
      <w:pPr>
        <w:ind w:left="540" w:hanging="540"/>
        <w:rPr>
          <w:color w:val="222222"/>
        </w:rPr>
      </w:pPr>
    </w:p>
    <w:p w14:paraId="453A7552" w14:textId="77777777" w:rsidR="00A97E37" w:rsidRPr="00A155FA" w:rsidRDefault="00A97E37" w:rsidP="005229E5">
      <w:pPr>
        <w:pStyle w:val="ListParagraph"/>
        <w:numPr>
          <w:ilvl w:val="0"/>
          <w:numId w:val="11"/>
        </w:numPr>
        <w:ind w:left="540" w:hanging="540"/>
        <w:rPr>
          <w:rFonts w:ascii="Times New Roman" w:hAnsi="Times New Roman" w:cs="Times New Roman"/>
          <w:color w:val="222222"/>
        </w:rPr>
      </w:pPr>
      <w:r w:rsidRPr="00A155FA">
        <w:rPr>
          <w:rFonts w:ascii="Times New Roman" w:eastAsia="Times New Roman" w:hAnsi="Times New Roman" w:cs="Times New Roman"/>
          <w:color w:val="222222"/>
        </w:rPr>
        <w:t xml:space="preserve">(354) </w:t>
      </w:r>
      <w:r w:rsidRPr="00A155FA">
        <w:rPr>
          <w:rFonts w:ascii="Times New Roman" w:eastAsia="Times New Roman" w:hAnsi="Times New Roman" w:cs="Times New Roman"/>
          <w:b/>
          <w:bCs/>
          <w:color w:val="222222"/>
        </w:rPr>
        <w:t>Squamosal</w:t>
      </w:r>
      <w:r w:rsidRPr="00A155FA">
        <w:rPr>
          <w:rFonts w:ascii="Times New Roman" w:eastAsia="Times New Roman" w:hAnsi="Times New Roman" w:cs="Times New Roman"/>
          <w:color w:val="222222"/>
        </w:rPr>
        <w:t xml:space="preserve">. Extending posterior, with end level with that of quadrate and quadratojugal </w:t>
      </w:r>
      <w:r w:rsidRPr="00A155FA">
        <w:rPr>
          <w:rFonts w:ascii="Times New Roman" w:hAnsi="Times New Roman" w:cs="Times New Roman"/>
          <w:color w:val="222222"/>
        </w:rPr>
        <w:t>(0), or much shorter than quadratojugal (1).</w:t>
      </w:r>
    </w:p>
    <w:p w14:paraId="6EB3A524" w14:textId="77777777" w:rsidR="00A97E37" w:rsidRPr="00A155FA" w:rsidRDefault="00A97E37" w:rsidP="00D01A5E">
      <w:pPr>
        <w:ind w:left="540" w:hanging="540"/>
        <w:rPr>
          <w:color w:val="222222"/>
        </w:rPr>
      </w:pPr>
    </w:p>
    <w:p w14:paraId="7CD3493D"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(355) </w:t>
      </w:r>
      <w:r w:rsidRPr="00A155FA">
        <w:rPr>
          <w:rFonts w:ascii="Times New Roman" w:eastAsia="Times New Roman" w:hAnsi="Times New Roman" w:cs="Times New Roman"/>
          <w:b/>
          <w:bCs/>
          <w:color w:val="222222"/>
        </w:rPr>
        <w:t>Palatine</w:t>
      </w:r>
      <w:r w:rsidRPr="00A155FA">
        <w:rPr>
          <w:rFonts w:ascii="Times New Roman" w:eastAsia="Times New Roman" w:hAnsi="Times New Roman" w:cs="Times New Roman"/>
          <w:color w:val="222222"/>
        </w:rPr>
        <w:t>. With distinct tusk pair (0), or patch of tiny denticles on palatine replacing tusks (1).</w:t>
      </w:r>
    </w:p>
    <w:p w14:paraId="50ADB068" w14:textId="77777777" w:rsidR="00A97E37" w:rsidRPr="00A155FA" w:rsidRDefault="00A97E37" w:rsidP="00D01A5E">
      <w:pPr>
        <w:ind w:left="540" w:hanging="540"/>
        <w:rPr>
          <w:color w:val="222222"/>
        </w:rPr>
      </w:pPr>
    </w:p>
    <w:p w14:paraId="32555A60"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(356) </w:t>
      </w:r>
      <w:r w:rsidRPr="00A155FA">
        <w:rPr>
          <w:rFonts w:ascii="Times New Roman" w:eastAsia="Times New Roman" w:hAnsi="Times New Roman" w:cs="Times New Roman"/>
          <w:b/>
          <w:bCs/>
          <w:color w:val="222222"/>
        </w:rPr>
        <w:t>Palatine in adults</w:t>
      </w:r>
      <w:r w:rsidRPr="00A155FA">
        <w:rPr>
          <w:rFonts w:ascii="Times New Roman" w:eastAsia="Times New Roman" w:hAnsi="Times New Roman" w:cs="Times New Roman"/>
          <w:color w:val="222222"/>
        </w:rPr>
        <w:t>. Present and distinct from maxilla (0), present but fused to maxilla to form maxillopalatine (1), absent (2).</w:t>
      </w:r>
    </w:p>
    <w:p w14:paraId="0F78F17D" w14:textId="77777777" w:rsidR="00A97E37" w:rsidRPr="00A155FA" w:rsidRDefault="00A97E37" w:rsidP="00D01A5E">
      <w:pPr>
        <w:ind w:left="540" w:hanging="540"/>
        <w:rPr>
          <w:color w:val="222222"/>
        </w:rPr>
      </w:pPr>
    </w:p>
    <w:p w14:paraId="2DD50F5E"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(357) </w:t>
      </w:r>
      <w:r w:rsidRPr="00A155FA">
        <w:rPr>
          <w:rFonts w:ascii="Times New Roman" w:eastAsia="Times New Roman" w:hAnsi="Times New Roman" w:cs="Times New Roman"/>
          <w:b/>
          <w:bCs/>
          <w:color w:val="222222"/>
        </w:rPr>
        <w:t>Batrachian operculum (separate ossification or chondrification of ear capsule)</w:t>
      </w:r>
      <w:r w:rsidRPr="00A155FA">
        <w:rPr>
          <w:rFonts w:ascii="Times New Roman" w:eastAsia="Times New Roman" w:hAnsi="Times New Roman" w:cs="Times New Roman"/>
          <w:color w:val="222222"/>
        </w:rPr>
        <w:t>. Absent (0), or present (1).</w:t>
      </w:r>
    </w:p>
    <w:p w14:paraId="61BB6383" w14:textId="77777777" w:rsidR="00A97E37" w:rsidRPr="00A155FA" w:rsidRDefault="00A97E37" w:rsidP="00D01A5E">
      <w:pPr>
        <w:ind w:left="540" w:hanging="540"/>
        <w:rPr>
          <w:color w:val="222222"/>
        </w:rPr>
      </w:pPr>
    </w:p>
    <w:p w14:paraId="6CE574AD"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(358) </w:t>
      </w:r>
      <w:r w:rsidRPr="00A155FA">
        <w:rPr>
          <w:rFonts w:ascii="Times New Roman" w:eastAsia="Times New Roman" w:hAnsi="Times New Roman" w:cs="Times New Roman"/>
          <w:b/>
          <w:bCs/>
          <w:color w:val="222222"/>
        </w:rPr>
        <w:t>Neurocranium</w:t>
      </w:r>
      <w:r w:rsidRPr="00A155FA">
        <w:rPr>
          <w:rFonts w:ascii="Times New Roman" w:eastAsia="Times New Roman" w:hAnsi="Times New Roman" w:cs="Times New Roman"/>
          <w:color w:val="222222"/>
        </w:rPr>
        <w:t>. Formed by separate ossifications (0), or co-ossified (1) (</w:t>
      </w:r>
      <w:proofErr w:type="spellStart"/>
      <w:r w:rsidRPr="00A155FA">
        <w:rPr>
          <w:rFonts w:ascii="Times New Roman" w:eastAsia="Times New Roman" w:hAnsi="Times New Roman" w:cs="Times New Roman"/>
          <w:color w:val="222222"/>
        </w:rPr>
        <w:t>os</w:t>
      </w:r>
      <w:proofErr w:type="spellEnd"/>
      <w:r w:rsidRPr="00A155FA">
        <w:rPr>
          <w:rFonts w:ascii="Times New Roman" w:eastAsia="Times New Roman" w:hAnsi="Times New Roman" w:cs="Times New Roman"/>
          <w:color w:val="222222"/>
        </w:rPr>
        <w:t xml:space="preserve"> </w:t>
      </w:r>
      <w:proofErr w:type="spellStart"/>
      <w:r w:rsidRPr="00A155FA">
        <w:rPr>
          <w:rFonts w:ascii="Times New Roman" w:eastAsia="Times New Roman" w:hAnsi="Times New Roman" w:cs="Times New Roman"/>
          <w:color w:val="222222"/>
        </w:rPr>
        <w:t>basale</w:t>
      </w:r>
      <w:proofErr w:type="spellEnd"/>
      <w:r w:rsidRPr="00A155FA">
        <w:rPr>
          <w:rFonts w:ascii="Times New Roman" w:eastAsia="Times New Roman" w:hAnsi="Times New Roman" w:cs="Times New Roman"/>
          <w:color w:val="222222"/>
        </w:rPr>
        <w:t xml:space="preserve">). </w:t>
      </w:r>
    </w:p>
    <w:p w14:paraId="39B9F3C1" w14:textId="77777777" w:rsidR="00A97E37" w:rsidRPr="00A155FA" w:rsidRDefault="00A97E37" w:rsidP="00D01A5E">
      <w:pPr>
        <w:ind w:left="540" w:hanging="540"/>
        <w:rPr>
          <w:color w:val="222222"/>
        </w:rPr>
      </w:pPr>
    </w:p>
    <w:p w14:paraId="2DC903F6"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(359) </w:t>
      </w:r>
      <w:r w:rsidRPr="00A155FA">
        <w:rPr>
          <w:rFonts w:ascii="Times New Roman" w:eastAsia="Times New Roman" w:hAnsi="Times New Roman" w:cs="Times New Roman"/>
          <w:b/>
          <w:bCs/>
          <w:color w:val="222222"/>
        </w:rPr>
        <w:t>Squamosal</w:t>
      </w:r>
      <w:r w:rsidRPr="00A155FA">
        <w:rPr>
          <w:rFonts w:ascii="Times New Roman" w:eastAsia="Times New Roman" w:hAnsi="Times New Roman" w:cs="Times New Roman"/>
          <w:color w:val="222222"/>
        </w:rPr>
        <w:t xml:space="preserve">. Plate-like or triradiate (0), or forming simple, straight transverse strut (1). </w:t>
      </w:r>
    </w:p>
    <w:p w14:paraId="13A9CDD6" w14:textId="77777777" w:rsidR="00A97E37" w:rsidRPr="00A155FA" w:rsidRDefault="00A97E37" w:rsidP="00D01A5E">
      <w:pPr>
        <w:ind w:left="540" w:hanging="540"/>
        <w:rPr>
          <w:color w:val="222222"/>
        </w:rPr>
      </w:pPr>
    </w:p>
    <w:p w14:paraId="744A3992"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(360) </w:t>
      </w:r>
      <w:r w:rsidRPr="00A155FA">
        <w:rPr>
          <w:rFonts w:ascii="Times New Roman" w:eastAsia="Times New Roman" w:hAnsi="Times New Roman" w:cs="Times New Roman"/>
          <w:b/>
          <w:bCs/>
          <w:color w:val="222222"/>
        </w:rPr>
        <w:t>Parietal</w:t>
      </w:r>
      <w:r w:rsidRPr="00A155FA">
        <w:rPr>
          <w:rFonts w:ascii="Times New Roman" w:eastAsia="Times New Roman" w:hAnsi="Times New Roman" w:cs="Times New Roman"/>
          <w:color w:val="222222"/>
        </w:rPr>
        <w:t>. Rectangular or quadrangular plate (0), or L-shaped (1).</w:t>
      </w:r>
    </w:p>
    <w:p w14:paraId="5E8F8408" w14:textId="77777777" w:rsidR="00A97E37" w:rsidRPr="00A155FA" w:rsidRDefault="00A97E37" w:rsidP="00D01A5E">
      <w:pPr>
        <w:ind w:left="540" w:hanging="540"/>
        <w:rPr>
          <w:color w:val="222222"/>
        </w:rPr>
      </w:pPr>
    </w:p>
    <w:p w14:paraId="42C9199F" w14:textId="77777777" w:rsidR="00A97E37" w:rsidRPr="00A155FA" w:rsidRDefault="00A97E37" w:rsidP="005229E5">
      <w:pPr>
        <w:pStyle w:val="ListParagraph"/>
        <w:numPr>
          <w:ilvl w:val="0"/>
          <w:numId w:val="11"/>
        </w:numPr>
        <w:ind w:left="540" w:hanging="540"/>
        <w:rPr>
          <w:rFonts w:ascii="Times New Roman" w:hAnsi="Times New Roman" w:cs="Times New Roman"/>
          <w:color w:val="222222"/>
        </w:rPr>
      </w:pPr>
      <w:r w:rsidRPr="00A155FA">
        <w:rPr>
          <w:rFonts w:ascii="Times New Roman" w:eastAsia="Times New Roman" w:hAnsi="Times New Roman" w:cs="Times New Roman"/>
          <w:color w:val="222222"/>
        </w:rPr>
        <w:t xml:space="preserve">(new) </w:t>
      </w:r>
      <w:r w:rsidRPr="00A155FA">
        <w:rPr>
          <w:rFonts w:ascii="Times New Roman" w:eastAsia="Times New Roman" w:hAnsi="Times New Roman" w:cs="Times New Roman"/>
          <w:b/>
          <w:bCs/>
          <w:color w:val="222222"/>
        </w:rPr>
        <w:t>Cranio-mandibular articulation surface of the mandible</w:t>
      </w:r>
      <w:r w:rsidRPr="00A155FA">
        <w:rPr>
          <w:rFonts w:ascii="Times New Roman" w:eastAsia="Times New Roman" w:hAnsi="Times New Roman" w:cs="Times New Roman"/>
          <w:color w:val="222222"/>
        </w:rPr>
        <w:t>. D</w:t>
      </w:r>
      <w:r w:rsidRPr="00A155FA">
        <w:rPr>
          <w:rFonts w:ascii="Times New Roman" w:hAnsi="Times New Roman" w:cs="Times New Roman"/>
          <w:color w:val="222222"/>
        </w:rPr>
        <w:t>orsally facing planar circular or subcircular pad (0), transversely oriented u-shaped fossa (1).</w:t>
      </w:r>
    </w:p>
    <w:p w14:paraId="37E8C620" w14:textId="77777777" w:rsidR="00A97E37" w:rsidRPr="00A155FA" w:rsidRDefault="00A97E37" w:rsidP="00D01A5E">
      <w:pPr>
        <w:pStyle w:val="ListParagraph"/>
        <w:ind w:left="540" w:hanging="540"/>
        <w:rPr>
          <w:rFonts w:ascii="Times New Roman" w:eastAsia="Times New Roman" w:hAnsi="Times New Roman" w:cs="Times New Roman"/>
          <w:color w:val="222222"/>
        </w:rPr>
      </w:pPr>
    </w:p>
    <w:p w14:paraId="78057989" w14:textId="77777777" w:rsidR="00A97E37" w:rsidRPr="00A155FA" w:rsidRDefault="00A97E37" w:rsidP="005229E5">
      <w:pPr>
        <w:pStyle w:val="ListParagraph"/>
        <w:numPr>
          <w:ilvl w:val="0"/>
          <w:numId w:val="11"/>
        </w:numPr>
        <w:ind w:left="540" w:hanging="540"/>
        <w:rPr>
          <w:rFonts w:ascii="Times New Roman" w:eastAsia="Times New Roman" w:hAnsi="Times New Roman" w:cs="Times New Roman"/>
          <w:color w:val="222222"/>
        </w:rPr>
      </w:pPr>
      <w:r w:rsidRPr="00A155FA">
        <w:rPr>
          <w:rFonts w:ascii="Times New Roman" w:eastAsia="Times New Roman" w:hAnsi="Times New Roman" w:cs="Times New Roman"/>
          <w:color w:val="222222"/>
        </w:rPr>
        <w:t xml:space="preserve">(new) </w:t>
      </w:r>
      <w:r w:rsidRPr="00A155FA">
        <w:rPr>
          <w:rFonts w:ascii="Times New Roman" w:eastAsia="Times New Roman" w:hAnsi="Times New Roman" w:cs="Times New Roman"/>
          <w:b/>
          <w:bCs/>
          <w:color w:val="222222"/>
        </w:rPr>
        <w:t>Pseudoangular</w:t>
      </w:r>
      <w:r w:rsidRPr="00A155FA">
        <w:rPr>
          <w:rFonts w:ascii="Times New Roman" w:eastAsia="Times New Roman" w:hAnsi="Times New Roman" w:cs="Times New Roman"/>
          <w:color w:val="222222"/>
        </w:rPr>
        <w:t>. Absent (0), present (1).</w:t>
      </w:r>
    </w:p>
    <w:p w14:paraId="05147AA7" w14:textId="77777777" w:rsidR="00A97E37" w:rsidRPr="00A155FA" w:rsidRDefault="00A97E37" w:rsidP="00D01A5E">
      <w:pPr>
        <w:pStyle w:val="ListParagraph"/>
        <w:ind w:left="0"/>
        <w:rPr>
          <w:rFonts w:ascii="Times New Roman" w:eastAsia="Times New Roman" w:hAnsi="Times New Roman" w:cs="Times New Roman"/>
          <w:color w:val="222222"/>
        </w:rPr>
      </w:pPr>
    </w:p>
    <w:p w14:paraId="7DB21222" w14:textId="77777777" w:rsidR="00A97E37" w:rsidRPr="00A155FA" w:rsidRDefault="00A97E37" w:rsidP="00D01A5E">
      <w:pPr>
        <w:pStyle w:val="ListParagraph"/>
        <w:ind w:left="0"/>
        <w:rPr>
          <w:rFonts w:ascii="Times New Roman" w:eastAsia="Times New Roman" w:hAnsi="Times New Roman" w:cs="Times New Roman"/>
          <w:b/>
          <w:bCs/>
          <w:color w:val="222222"/>
        </w:rPr>
      </w:pPr>
      <w:r w:rsidRPr="00A155FA">
        <w:rPr>
          <w:rFonts w:ascii="Times New Roman" w:eastAsia="Times New Roman" w:hAnsi="Times New Roman" w:cs="Times New Roman"/>
          <w:b/>
          <w:bCs/>
          <w:color w:val="222222"/>
        </w:rPr>
        <w:t>Omitted characters</w:t>
      </w:r>
    </w:p>
    <w:p w14:paraId="336EAEC5" w14:textId="002E203E" w:rsidR="00A97E37" w:rsidRPr="00A155FA" w:rsidRDefault="00A97E37" w:rsidP="005229E5">
      <w:pPr>
        <w:pStyle w:val="ListParagraph"/>
        <w:numPr>
          <w:ilvl w:val="0"/>
          <w:numId w:val="62"/>
        </w:numPr>
        <w:rPr>
          <w:rFonts w:ascii="Times New Roman" w:eastAsia="Times New Roman" w:hAnsi="Times New Roman" w:cs="Times New Roman"/>
          <w:color w:val="222222"/>
        </w:rPr>
      </w:pPr>
      <w:r w:rsidRPr="00A155FA">
        <w:rPr>
          <w:rFonts w:ascii="Times New Roman" w:eastAsia="Times New Roman" w:hAnsi="Times New Roman" w:cs="Times New Roman"/>
          <w:b/>
          <w:bCs/>
          <w:color w:val="222222"/>
        </w:rPr>
        <w:t>14.</w:t>
      </w:r>
      <w:r w:rsidRPr="00A155FA">
        <w:rPr>
          <w:rFonts w:ascii="Times New Roman" w:eastAsia="Times New Roman" w:hAnsi="Times New Roman" w:cs="Times New Roman"/>
          <w:color w:val="222222"/>
        </w:rPr>
        <w:t xml:space="preserve"> </w:t>
      </w:r>
      <w:r w:rsidRPr="00A155FA">
        <w:rPr>
          <w:rFonts w:ascii="Times New Roman" w:eastAsia="Times New Roman" w:hAnsi="Times New Roman" w:cs="Times New Roman"/>
          <w:b/>
          <w:bCs/>
          <w:color w:val="222222"/>
        </w:rPr>
        <w:t>Premaxillary fontanelle</w:t>
      </w:r>
      <w:r w:rsidRPr="00A155FA">
        <w:rPr>
          <w:rFonts w:ascii="Times New Roman" w:eastAsia="Times New Roman" w:hAnsi="Times New Roman" w:cs="Times New Roman"/>
          <w:color w:val="222222"/>
        </w:rPr>
        <w:t>. Premaxillae with or without small opening (0), or encircling large fenestra extending posteriorly between the nasals (1).</w:t>
      </w:r>
    </w:p>
    <w:p w14:paraId="38337E54" w14:textId="77777777" w:rsidR="00A97E37" w:rsidRPr="00A155FA" w:rsidRDefault="00A97E37" w:rsidP="00A97E37">
      <w:pPr>
        <w:pStyle w:val="ListParagraph"/>
        <w:numPr>
          <w:ilvl w:val="1"/>
          <w:numId w:val="62"/>
        </w:numPr>
        <w:rPr>
          <w:rFonts w:ascii="Times New Roman" w:eastAsia="Times New Roman" w:hAnsi="Times New Roman" w:cs="Times New Roman"/>
          <w:color w:val="222222"/>
        </w:rPr>
      </w:pPr>
      <w:r w:rsidRPr="00A155FA">
        <w:rPr>
          <w:rFonts w:ascii="Times New Roman" w:eastAsia="Times New Roman" w:hAnsi="Times New Roman" w:cs="Times New Roman"/>
          <w:color w:val="222222"/>
        </w:rPr>
        <w:t>This character was combined with character 13.</w:t>
      </w:r>
    </w:p>
    <w:p w14:paraId="2A823049" w14:textId="77777777" w:rsidR="00A97E37" w:rsidRPr="00A97E37" w:rsidRDefault="00A97E37" w:rsidP="00A30351">
      <w:pPr>
        <w:pStyle w:val="ListParagraph"/>
        <w:numPr>
          <w:ilvl w:val="0"/>
          <w:numId w:val="62"/>
        </w:numPr>
        <w:spacing w:before="100" w:beforeAutospacing="1" w:after="100" w:afterAutospacing="1"/>
        <w:rPr>
          <w:rFonts w:ascii="Times New Roman" w:hAnsi="Times New Roman" w:cs="Times New Roman"/>
        </w:rPr>
      </w:pPr>
      <w:r w:rsidRPr="00A155FA">
        <w:rPr>
          <w:rFonts w:ascii="Times New Roman" w:hAnsi="Times New Roman" w:cs="Times New Roman"/>
          <w:b/>
          <w:bCs/>
          <w:color w:val="212121"/>
        </w:rPr>
        <w:t xml:space="preserve">61. Intertemporal and postorbital. </w:t>
      </w:r>
      <w:r w:rsidRPr="00A155FA">
        <w:rPr>
          <w:rFonts w:ascii="Times New Roman" w:hAnsi="Times New Roman" w:cs="Times New Roman"/>
          <w:color w:val="212121"/>
        </w:rPr>
        <w:t xml:space="preserve">Postorbital lateral to postfrontal (0), or expanding medially to replace intertemporal, contacting parietal (1). </w:t>
      </w:r>
    </w:p>
    <w:p w14:paraId="5F833D34" w14:textId="77777777" w:rsidR="00A97E37" w:rsidRPr="00A155FA" w:rsidRDefault="00A97E37" w:rsidP="00A97E37">
      <w:pPr>
        <w:pStyle w:val="ListParagraph"/>
        <w:numPr>
          <w:ilvl w:val="1"/>
          <w:numId w:val="62"/>
        </w:numPr>
        <w:spacing w:before="100" w:beforeAutospacing="1" w:after="100" w:afterAutospacing="1"/>
        <w:rPr>
          <w:rFonts w:ascii="Times New Roman" w:hAnsi="Times New Roman" w:cs="Times New Roman"/>
        </w:rPr>
      </w:pPr>
      <w:r w:rsidRPr="00A155FA">
        <w:rPr>
          <w:rFonts w:ascii="Times New Roman" w:hAnsi="Times New Roman" w:cs="Times New Roman"/>
          <w:color w:val="212121"/>
        </w:rPr>
        <w:t xml:space="preserve">The position of this </w:t>
      </w:r>
      <w:r>
        <w:rPr>
          <w:rFonts w:ascii="Times New Roman" w:hAnsi="Times New Roman" w:cs="Times New Roman"/>
          <w:color w:val="212121"/>
        </w:rPr>
        <w:t xml:space="preserve">specific </w:t>
      </w:r>
      <w:r w:rsidRPr="00A155FA">
        <w:rPr>
          <w:rFonts w:ascii="Times New Roman" w:hAnsi="Times New Roman" w:cs="Times New Roman"/>
          <w:color w:val="212121"/>
        </w:rPr>
        <w:t>character (referring to parietal-postorbital contact) was maintained but its language was replaced with that of the equivalent original character 232</w:t>
      </w:r>
      <w:r>
        <w:rPr>
          <w:rFonts w:ascii="Times New Roman" w:hAnsi="Times New Roman" w:cs="Times New Roman"/>
          <w:color w:val="212121"/>
        </w:rPr>
        <w:t>, whose position was not replaced</w:t>
      </w:r>
      <w:r w:rsidRPr="00A155FA">
        <w:rPr>
          <w:rFonts w:ascii="Times New Roman" w:hAnsi="Times New Roman" w:cs="Times New Roman"/>
          <w:color w:val="212121"/>
        </w:rPr>
        <w:t>.</w:t>
      </w:r>
    </w:p>
    <w:p w14:paraId="48CFE82E" w14:textId="25D75550" w:rsidR="00A97E37" w:rsidRPr="00A155FA" w:rsidRDefault="00A97E37" w:rsidP="005229E5">
      <w:pPr>
        <w:pStyle w:val="ListParagraph"/>
        <w:numPr>
          <w:ilvl w:val="0"/>
          <w:numId w:val="62"/>
        </w:numPr>
        <w:rPr>
          <w:rFonts w:ascii="Times New Roman" w:hAnsi="Times New Roman" w:cs="Times New Roman"/>
          <w:color w:val="222222"/>
        </w:rPr>
      </w:pPr>
      <w:r w:rsidRPr="00A155FA">
        <w:rPr>
          <w:rFonts w:ascii="Times New Roman" w:hAnsi="Times New Roman" w:cs="Times New Roman"/>
          <w:b/>
          <w:bCs/>
          <w:color w:val="222222"/>
        </w:rPr>
        <w:t xml:space="preserve">78. Dentition (upper jaw). </w:t>
      </w:r>
      <w:r w:rsidRPr="00A155FA">
        <w:rPr>
          <w:rFonts w:ascii="Times New Roman" w:hAnsi="Times New Roman" w:cs="Times New Roman"/>
          <w:color w:val="222222"/>
        </w:rPr>
        <w:t xml:space="preserve">Conical to slightly curved inwards (0), or caniniform (1). </w:t>
      </w:r>
    </w:p>
    <w:p w14:paraId="6B0B02F3" w14:textId="7EB3EBCC" w:rsidR="00A97E37" w:rsidRPr="00A155FA" w:rsidRDefault="00A97E37" w:rsidP="00A30351">
      <w:pPr>
        <w:pStyle w:val="ListParagraph"/>
        <w:numPr>
          <w:ilvl w:val="0"/>
          <w:numId w:val="62"/>
        </w:numPr>
        <w:rPr>
          <w:rFonts w:ascii="Times New Roman" w:eastAsia="Times New Roman" w:hAnsi="Times New Roman" w:cs="Times New Roman"/>
          <w:color w:val="222222"/>
        </w:rPr>
      </w:pPr>
      <w:r w:rsidRPr="00A155FA">
        <w:rPr>
          <w:rFonts w:ascii="Times New Roman" w:eastAsia="Times New Roman" w:hAnsi="Times New Roman" w:cs="Times New Roman"/>
          <w:b/>
          <w:bCs/>
          <w:color w:val="222222"/>
        </w:rPr>
        <w:t>81.</w:t>
      </w:r>
      <w:r w:rsidRPr="00A155FA">
        <w:rPr>
          <w:rFonts w:ascii="Times New Roman" w:eastAsia="Times New Roman" w:hAnsi="Times New Roman" w:cs="Times New Roman"/>
          <w:color w:val="222222"/>
        </w:rPr>
        <w:t xml:space="preserve"> </w:t>
      </w:r>
      <w:r w:rsidRPr="00A155FA">
        <w:rPr>
          <w:rFonts w:ascii="Times New Roman" w:eastAsia="Times New Roman" w:hAnsi="Times New Roman" w:cs="Times New Roman"/>
          <w:b/>
          <w:bCs/>
          <w:color w:val="222222"/>
        </w:rPr>
        <w:t>Dentition (vomer)</w:t>
      </w:r>
      <w:r w:rsidRPr="00A155FA">
        <w:rPr>
          <w:rFonts w:ascii="Times New Roman" w:eastAsia="Times New Roman" w:hAnsi="Times New Roman" w:cs="Times New Roman"/>
          <w:color w:val="222222"/>
        </w:rPr>
        <w:t>. Tooth patches present at least in small specimens (0), or dentition entirely restricted to vomerine fangs (1).</w:t>
      </w:r>
    </w:p>
    <w:p w14:paraId="207D271B" w14:textId="4BC6238E" w:rsidR="00A97E37" w:rsidRPr="00A155FA" w:rsidRDefault="00A97E37" w:rsidP="005229E5">
      <w:pPr>
        <w:pStyle w:val="ListParagraph"/>
        <w:numPr>
          <w:ilvl w:val="0"/>
          <w:numId w:val="62"/>
        </w:numPr>
        <w:rPr>
          <w:rFonts w:ascii="Times New Roman" w:hAnsi="Times New Roman" w:cs="Times New Roman"/>
          <w:color w:val="222222"/>
        </w:rPr>
      </w:pPr>
      <w:r w:rsidRPr="00A155FA">
        <w:rPr>
          <w:rFonts w:ascii="Times New Roman" w:hAnsi="Times New Roman" w:cs="Times New Roman"/>
          <w:b/>
          <w:bCs/>
          <w:color w:val="222222"/>
        </w:rPr>
        <w:t>115.</w:t>
      </w:r>
      <w:r w:rsidRPr="00A155FA">
        <w:rPr>
          <w:rFonts w:ascii="Times New Roman" w:hAnsi="Times New Roman" w:cs="Times New Roman"/>
          <w:color w:val="222222"/>
        </w:rPr>
        <w:t xml:space="preserve"> </w:t>
      </w:r>
      <w:r w:rsidRPr="00A155FA">
        <w:rPr>
          <w:rFonts w:ascii="Times New Roman" w:hAnsi="Times New Roman" w:cs="Times New Roman"/>
          <w:b/>
          <w:bCs/>
          <w:color w:val="222222"/>
        </w:rPr>
        <w:t>Cultriform process (dentition)</w:t>
      </w:r>
      <w:r w:rsidRPr="00A155FA">
        <w:rPr>
          <w:rFonts w:ascii="Times New Roman" w:hAnsi="Times New Roman" w:cs="Times New Roman"/>
          <w:color w:val="222222"/>
        </w:rPr>
        <w:t>.</w:t>
      </w:r>
      <w:r w:rsidRPr="00A155FA">
        <w:rPr>
          <w:rFonts w:ascii="Times New Roman" w:hAnsi="Times New Roman" w:cs="Times New Roman"/>
          <w:b/>
          <w:bCs/>
          <w:color w:val="222222"/>
        </w:rPr>
        <w:t xml:space="preserve"> </w:t>
      </w:r>
      <w:r w:rsidRPr="00A155FA">
        <w:rPr>
          <w:rFonts w:ascii="Times New Roman" w:hAnsi="Times New Roman" w:cs="Times New Roman"/>
          <w:color w:val="222222"/>
        </w:rPr>
        <w:t>Main shaft edentulous except for base</w:t>
      </w:r>
      <w:r w:rsidRPr="00A155FA">
        <w:rPr>
          <w:rFonts w:ascii="Times New Roman" w:hAnsi="Times New Roman" w:cs="Times New Roman"/>
          <w:b/>
          <w:bCs/>
          <w:color w:val="222222"/>
        </w:rPr>
        <w:t xml:space="preserve"> </w:t>
      </w:r>
      <w:r w:rsidRPr="00A155FA">
        <w:rPr>
          <w:rFonts w:ascii="Times New Roman" w:hAnsi="Times New Roman" w:cs="Times New Roman"/>
          <w:color w:val="222222"/>
        </w:rPr>
        <w:t xml:space="preserve">(0), or with elongate tooth patch (1). </w:t>
      </w:r>
    </w:p>
    <w:p w14:paraId="7C51EFFA" w14:textId="77777777" w:rsidR="00A97E37" w:rsidRPr="00A155FA" w:rsidRDefault="00A97E37" w:rsidP="00A97E37">
      <w:pPr>
        <w:pStyle w:val="ListParagraph"/>
        <w:numPr>
          <w:ilvl w:val="1"/>
          <w:numId w:val="62"/>
        </w:numPr>
        <w:rPr>
          <w:rFonts w:ascii="Times New Roman" w:hAnsi="Times New Roman" w:cs="Times New Roman"/>
          <w:color w:val="222222"/>
        </w:rPr>
      </w:pPr>
      <w:r w:rsidRPr="00A155FA">
        <w:rPr>
          <w:rFonts w:ascii="Times New Roman" w:hAnsi="Times New Roman" w:cs="Times New Roman"/>
          <w:color w:val="222222"/>
        </w:rPr>
        <w:t>This character was combined with character 87.</w:t>
      </w:r>
    </w:p>
    <w:p w14:paraId="6E703A5C" w14:textId="2D3C44F8" w:rsidR="00A97E37" w:rsidRPr="00A155FA" w:rsidRDefault="00A97E37" w:rsidP="005229E5">
      <w:pPr>
        <w:pStyle w:val="ListParagraph"/>
        <w:numPr>
          <w:ilvl w:val="0"/>
          <w:numId w:val="62"/>
        </w:numPr>
        <w:rPr>
          <w:rFonts w:ascii="Times New Roman" w:eastAsia="Times New Roman" w:hAnsi="Times New Roman" w:cs="Times New Roman"/>
          <w:b/>
          <w:bCs/>
          <w:color w:val="222222"/>
        </w:rPr>
      </w:pPr>
      <w:r w:rsidRPr="00A155FA">
        <w:rPr>
          <w:rFonts w:ascii="Times New Roman" w:eastAsia="Times New Roman" w:hAnsi="Times New Roman" w:cs="Times New Roman"/>
          <w:b/>
          <w:bCs/>
          <w:color w:val="222222"/>
        </w:rPr>
        <w:t>253.</w:t>
      </w:r>
      <w:r w:rsidRPr="00A155FA">
        <w:rPr>
          <w:rFonts w:ascii="Times New Roman" w:eastAsia="Times New Roman" w:hAnsi="Times New Roman" w:cs="Times New Roman"/>
          <w:color w:val="222222"/>
        </w:rPr>
        <w:t xml:space="preserve"> </w:t>
      </w:r>
      <w:r w:rsidRPr="00A155FA">
        <w:rPr>
          <w:rFonts w:ascii="Times New Roman" w:eastAsia="Times New Roman" w:hAnsi="Times New Roman" w:cs="Times New Roman"/>
          <w:b/>
          <w:bCs/>
          <w:color w:val="222222"/>
        </w:rPr>
        <w:t>Denticles on parasphenoid.</w:t>
      </w:r>
      <w:r w:rsidRPr="00A155FA">
        <w:rPr>
          <w:rFonts w:ascii="Times New Roman" w:eastAsia="Times New Roman" w:hAnsi="Times New Roman" w:cs="Times New Roman"/>
          <w:color w:val="222222"/>
        </w:rPr>
        <w:t xml:space="preserve"> Present (0), absent (1).</w:t>
      </w:r>
    </w:p>
    <w:p w14:paraId="627BD507" w14:textId="2F7DD563" w:rsidR="00A97E37" w:rsidRPr="00A155FA" w:rsidRDefault="00A97E37" w:rsidP="005229E5">
      <w:pPr>
        <w:pStyle w:val="ListParagraph"/>
        <w:numPr>
          <w:ilvl w:val="0"/>
          <w:numId w:val="62"/>
        </w:numPr>
        <w:rPr>
          <w:rFonts w:ascii="Times New Roman" w:hAnsi="Times New Roman" w:cs="Times New Roman"/>
          <w:color w:val="222222"/>
        </w:rPr>
      </w:pPr>
      <w:r w:rsidRPr="00A155FA">
        <w:rPr>
          <w:rFonts w:ascii="Times New Roman" w:hAnsi="Times New Roman" w:cs="Times New Roman"/>
          <w:b/>
          <w:bCs/>
          <w:color w:val="222222"/>
        </w:rPr>
        <w:t>352.</w:t>
      </w:r>
      <w:r w:rsidRPr="00A155FA">
        <w:rPr>
          <w:rFonts w:ascii="Times New Roman" w:hAnsi="Times New Roman" w:cs="Times New Roman"/>
          <w:color w:val="222222"/>
        </w:rPr>
        <w:t xml:space="preserve"> </w:t>
      </w:r>
      <w:r w:rsidRPr="00A155FA">
        <w:rPr>
          <w:rFonts w:ascii="Times New Roman" w:hAnsi="Times New Roman" w:cs="Times New Roman"/>
          <w:b/>
          <w:bCs/>
          <w:color w:val="222222"/>
        </w:rPr>
        <w:t>Denticle field on basal plate.</w:t>
      </w:r>
      <w:r w:rsidRPr="00A155FA">
        <w:rPr>
          <w:rFonts w:ascii="Times New Roman" w:hAnsi="Times New Roman" w:cs="Times New Roman"/>
          <w:color w:val="222222"/>
        </w:rPr>
        <w:t xml:space="preserve"> Present or not (0), or greatly expanded anteriorly along cultriform process (1).</w:t>
      </w:r>
    </w:p>
    <w:p w14:paraId="43A86641" w14:textId="77777777" w:rsidR="00A97E37" w:rsidRPr="00A97E37" w:rsidRDefault="00A97E37" w:rsidP="00A97E37">
      <w:pPr>
        <w:pStyle w:val="ListParagraph"/>
        <w:numPr>
          <w:ilvl w:val="1"/>
          <w:numId w:val="62"/>
        </w:numPr>
        <w:rPr>
          <w:rFonts w:ascii="Times New Roman" w:hAnsi="Times New Roman" w:cs="Times New Roman"/>
          <w:color w:val="222222"/>
        </w:rPr>
      </w:pPr>
      <w:r w:rsidRPr="00A155FA">
        <w:rPr>
          <w:rFonts w:ascii="Times New Roman" w:hAnsi="Times New Roman" w:cs="Times New Roman"/>
          <w:color w:val="222222"/>
        </w:rPr>
        <w:t>This character was combined with character 87.</w:t>
      </w:r>
    </w:p>
    <w:p w14:paraId="2E6796FE" w14:textId="77777777" w:rsidR="00A97E37" w:rsidRDefault="00A97E37"/>
    <w:bookmarkEnd w:id="37"/>
    <w:p w14:paraId="07CD0E23" w14:textId="71452AFD" w:rsidR="00D01A5E" w:rsidRDefault="00D01A5E" w:rsidP="00D01A5E"/>
    <w:p w14:paraId="058F2BD1" w14:textId="77777777" w:rsidR="00A97E37" w:rsidRDefault="00A97E37" w:rsidP="00D01A5E"/>
    <w:p w14:paraId="60A40903" w14:textId="57839111" w:rsidR="00D01A5E" w:rsidRDefault="00D01A5E" w:rsidP="00D01A5E">
      <w:pPr>
        <w:rPr>
          <w:b/>
          <w:bCs/>
          <w:color w:val="222222"/>
        </w:rPr>
      </w:pPr>
      <w:r w:rsidRPr="004C7A9E">
        <w:rPr>
          <w:b/>
          <w:bCs/>
          <w:color w:val="222222"/>
        </w:rPr>
        <w:t>Nexus script for input into TNT 1.5</w:t>
      </w:r>
    </w:p>
    <w:p w14:paraId="6D612465" w14:textId="77777777" w:rsidR="005A3E86" w:rsidRPr="004C7A9E" w:rsidRDefault="005A3E86" w:rsidP="00D01A5E">
      <w:pPr>
        <w:rPr>
          <w:b/>
          <w:bCs/>
          <w:color w:val="222222"/>
        </w:rPr>
      </w:pPr>
    </w:p>
    <w:p w14:paraId="19C1FA6E" w14:textId="77777777" w:rsidR="005A3E86" w:rsidRPr="005A3E86" w:rsidRDefault="005A3E86" w:rsidP="005A3E86">
      <w:pPr>
        <w:rPr>
          <w:rFonts w:ascii="Courier New" w:hAnsi="Courier New" w:cs="Courier New"/>
          <w:color w:val="222222"/>
        </w:rPr>
      </w:pPr>
      <w:r w:rsidRPr="005A3E86">
        <w:rPr>
          <w:rFonts w:ascii="Courier New" w:hAnsi="Courier New" w:cs="Courier New"/>
          <w:color w:val="222222"/>
        </w:rPr>
        <w:t>#NEXUS</w:t>
      </w:r>
    </w:p>
    <w:p w14:paraId="41B11EBC" w14:textId="77777777" w:rsidR="005A3E86" w:rsidRPr="005A3E86" w:rsidRDefault="005A3E86" w:rsidP="005A3E86">
      <w:pPr>
        <w:rPr>
          <w:rFonts w:ascii="Courier New" w:hAnsi="Courier New" w:cs="Courier New"/>
          <w:color w:val="222222"/>
        </w:rPr>
      </w:pPr>
    </w:p>
    <w:p w14:paraId="42F4E4CB" w14:textId="77777777" w:rsidR="005A3E86" w:rsidRPr="005A3E86" w:rsidRDefault="005A3E86" w:rsidP="005A3E86">
      <w:pPr>
        <w:rPr>
          <w:rFonts w:ascii="Courier New" w:hAnsi="Courier New" w:cs="Courier New"/>
          <w:color w:val="222222"/>
        </w:rPr>
      </w:pPr>
      <w:r w:rsidRPr="005A3E86">
        <w:rPr>
          <w:rFonts w:ascii="Courier New" w:hAnsi="Courier New" w:cs="Courier New"/>
          <w:color w:val="222222"/>
        </w:rPr>
        <w:t>BEGIN TAXA;</w:t>
      </w:r>
    </w:p>
    <w:p w14:paraId="47FA190F" w14:textId="77777777" w:rsidR="005A3E86" w:rsidRPr="005A3E86" w:rsidRDefault="005A3E86" w:rsidP="005A3E86">
      <w:pPr>
        <w:rPr>
          <w:rFonts w:ascii="Courier New" w:hAnsi="Courier New" w:cs="Courier New"/>
          <w:color w:val="222222"/>
        </w:rPr>
      </w:pPr>
      <w:r w:rsidRPr="005A3E86">
        <w:rPr>
          <w:rFonts w:ascii="Courier New" w:hAnsi="Courier New" w:cs="Courier New"/>
          <w:color w:val="222222"/>
        </w:rPr>
        <w:tab/>
        <w:t>TITLE Taxa;</w:t>
      </w:r>
    </w:p>
    <w:p w14:paraId="60A04211" w14:textId="77777777" w:rsidR="005A3E86" w:rsidRPr="005A3E86" w:rsidRDefault="005A3E86" w:rsidP="005A3E86">
      <w:pPr>
        <w:rPr>
          <w:rFonts w:ascii="Courier New" w:hAnsi="Courier New" w:cs="Courier New"/>
          <w:color w:val="222222"/>
        </w:rPr>
      </w:pPr>
      <w:r w:rsidRPr="005A3E86">
        <w:rPr>
          <w:rFonts w:ascii="Courier New" w:hAnsi="Courier New" w:cs="Courier New"/>
          <w:color w:val="222222"/>
        </w:rPr>
        <w:tab/>
        <w:t>DIMENSIONS NTAX=63;</w:t>
      </w:r>
    </w:p>
    <w:p w14:paraId="7F137C69" w14:textId="77777777" w:rsidR="005A3E86" w:rsidRPr="005A3E86" w:rsidRDefault="005A3E86" w:rsidP="005A3E86">
      <w:pPr>
        <w:rPr>
          <w:rFonts w:ascii="Courier New" w:hAnsi="Courier New" w:cs="Courier New"/>
          <w:color w:val="222222"/>
        </w:rPr>
      </w:pPr>
      <w:r w:rsidRPr="005A3E86">
        <w:rPr>
          <w:rFonts w:ascii="Courier New" w:hAnsi="Courier New" w:cs="Courier New"/>
          <w:color w:val="222222"/>
        </w:rPr>
        <w:tab/>
        <w:t>TAXLABELS</w:t>
      </w:r>
    </w:p>
    <w:p w14:paraId="2998BA1D" w14:textId="79BADD60" w:rsidR="005A3E86" w:rsidRPr="005A3E86" w:rsidRDefault="005A3E86" w:rsidP="005A3E86">
      <w:pPr>
        <w:rPr>
          <w:rFonts w:ascii="Courier New" w:hAnsi="Courier New" w:cs="Courier New"/>
          <w:color w:val="222222"/>
        </w:rPr>
      </w:pPr>
      <w:r w:rsidRPr="005A3E86">
        <w:rPr>
          <w:rFonts w:ascii="Courier New" w:hAnsi="Courier New" w:cs="Courier New"/>
          <w:color w:val="222222"/>
        </w:rPr>
        <w:tab/>
      </w:r>
      <w:r w:rsidRPr="005A3E86">
        <w:rPr>
          <w:rFonts w:ascii="Courier New" w:hAnsi="Courier New" w:cs="Courier New"/>
          <w:color w:val="222222"/>
        </w:rPr>
        <w:tab/>
      </w:r>
      <w:proofErr w:type="spellStart"/>
      <w:r w:rsidRPr="005A3E86">
        <w:rPr>
          <w:rFonts w:ascii="Courier New" w:hAnsi="Courier New" w:cs="Courier New"/>
          <w:color w:val="222222"/>
        </w:rPr>
        <w:t>Proterogryinus_scheelei</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Greererpeton_burkemorani</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Brachydectes</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Batropetes</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Rhynchonkos</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Edops_craigi</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Cochleosaurus_bohemicus</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Dendrerpeton_helogenes</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Balanerpeton_woodi</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Trimerorhachis_insignis</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Acanthostomatops_vorax</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Zatrachys_serratus</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Micromelerpeton_credneri</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Apateon_pedestris</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Micropholis_stowi</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Platyrhinops_lyelli</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Doleserpeton_annectens</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Amphibamus_grandiceps</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Gerobatrachus_hottoni</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Dissorophus_multicinctus</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Cacops_aspidephorus</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Broiliellus_texensis</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Acheloma_cumminsi</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Phonerpeton_pricei</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Onchiodon_labyrinthicus</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Eryops_megacephalus</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Sclerocephalus_haeuseri</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Glanochthon_latirostris</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Archegosaurus_decheni</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Uranocentrodon_senekalensis</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Lydekkerina_huxleyi</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Siderops_kehli</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Batrachosuchus_browni</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Plagiosuchus_pustuliferus</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Sangaia_lavina</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Gerrothorax_pulcherrimus</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Edingerella_madagascariensis</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Benthosuchus_sushkini</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Trematosaurus_brauni</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Trematolestes_hagdorni</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Lyrocephaliscus_euri</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Callistomordax_kugleri</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Metoposaurus_krasiejowensis</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Parotosuchus_nasutus</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Paracyclotosaurus_davidi</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Cyclotosaurus_intermedius</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Mastodonsaurus_giganteus</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Chinlestegophis_jenkinsi</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Rileymillerus_cosgriffi</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Triadobatrachus_massinoti</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Leptodactylus_mystacinus</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Xenopus_tropicalis</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Celtedens_ibericus</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Karaurus_sharovi</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Kokartus_honorarius</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Ambystoma_opacum</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Hynobius</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Cryptobranchus_allegheniensis</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Triassurus_sixtelae</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Ichthyophis_bannannicus</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Epicrionops_bicolor</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Eocaecilia_micropodia</w:t>
      </w:r>
      <w:proofErr w:type="spellEnd"/>
      <w:r w:rsidRPr="005A3E86">
        <w:rPr>
          <w:rFonts w:ascii="Courier New" w:hAnsi="Courier New" w:cs="Courier New"/>
          <w:color w:val="222222"/>
        </w:rPr>
        <w:t xml:space="preserve"> </w:t>
      </w:r>
      <w:proofErr w:type="spellStart"/>
      <w:r w:rsidRPr="005A3E86">
        <w:rPr>
          <w:rFonts w:ascii="Courier New" w:hAnsi="Courier New" w:cs="Courier New"/>
          <w:color w:val="222222"/>
        </w:rPr>
        <w:t>Funcusvermis_gilmorei</w:t>
      </w:r>
      <w:proofErr w:type="spellEnd"/>
      <w:r w:rsidRPr="005A3E86">
        <w:rPr>
          <w:rFonts w:ascii="Courier New" w:hAnsi="Courier New" w:cs="Courier New"/>
          <w:color w:val="222222"/>
        </w:rPr>
        <w:t xml:space="preserve"> </w:t>
      </w:r>
    </w:p>
    <w:p w14:paraId="6328A8A6" w14:textId="77777777" w:rsidR="005A3E86" w:rsidRPr="005A3E86" w:rsidRDefault="005A3E86" w:rsidP="005A3E86">
      <w:pPr>
        <w:rPr>
          <w:rFonts w:ascii="Courier New" w:hAnsi="Courier New" w:cs="Courier New"/>
          <w:color w:val="222222"/>
        </w:rPr>
      </w:pPr>
      <w:r w:rsidRPr="005A3E86">
        <w:rPr>
          <w:rFonts w:ascii="Courier New" w:hAnsi="Courier New" w:cs="Courier New"/>
          <w:color w:val="222222"/>
        </w:rPr>
        <w:tab/>
        <w:t>;</w:t>
      </w:r>
    </w:p>
    <w:p w14:paraId="29DAD866" w14:textId="77777777" w:rsidR="005A3E86" w:rsidRPr="005A3E86" w:rsidRDefault="005A3E86" w:rsidP="005A3E86">
      <w:pPr>
        <w:rPr>
          <w:rFonts w:ascii="Courier New" w:hAnsi="Courier New" w:cs="Courier New"/>
          <w:color w:val="222222"/>
        </w:rPr>
      </w:pPr>
    </w:p>
    <w:p w14:paraId="0FFAB00E" w14:textId="4BAC90B4" w:rsidR="00D01A5E" w:rsidRPr="005A3E86" w:rsidRDefault="005A3E86" w:rsidP="005A3E86">
      <w:pPr>
        <w:rPr>
          <w:rFonts w:ascii="Courier New" w:hAnsi="Courier New" w:cs="Courier New"/>
          <w:color w:val="222222"/>
        </w:rPr>
      </w:pPr>
      <w:r w:rsidRPr="005A3E86">
        <w:rPr>
          <w:rFonts w:ascii="Courier New" w:hAnsi="Courier New" w:cs="Courier New"/>
          <w:color w:val="222222"/>
        </w:rPr>
        <w:t>END;</w:t>
      </w:r>
    </w:p>
    <w:p w14:paraId="48B41DB6" w14:textId="77777777" w:rsidR="005A3E86" w:rsidRPr="005A3E86" w:rsidRDefault="005A3E86" w:rsidP="005A3E86">
      <w:pPr>
        <w:rPr>
          <w:rFonts w:ascii="Courier New" w:hAnsi="Courier New" w:cs="Courier New"/>
        </w:rPr>
      </w:pPr>
      <w:r w:rsidRPr="005A3E86">
        <w:rPr>
          <w:rFonts w:ascii="Courier New" w:hAnsi="Courier New" w:cs="Courier New"/>
        </w:rPr>
        <w:t>BEGIN CHARACTERS;</w:t>
      </w:r>
    </w:p>
    <w:p w14:paraId="40E49C5E" w14:textId="77777777" w:rsidR="005A3E86" w:rsidRPr="005A3E86" w:rsidRDefault="005A3E86" w:rsidP="005A3E86">
      <w:pPr>
        <w:rPr>
          <w:rFonts w:ascii="Courier New" w:hAnsi="Courier New" w:cs="Courier New"/>
        </w:rPr>
      </w:pPr>
      <w:r w:rsidRPr="005A3E86">
        <w:rPr>
          <w:rFonts w:ascii="Courier New" w:hAnsi="Courier New" w:cs="Courier New"/>
        </w:rPr>
        <w:tab/>
        <w:t xml:space="preserve">TITLE  </w:t>
      </w:r>
      <w:proofErr w:type="spellStart"/>
      <w:r w:rsidRPr="005A3E86">
        <w:rPr>
          <w:rFonts w:ascii="Courier New" w:hAnsi="Courier New" w:cs="Courier New"/>
        </w:rPr>
        <w:t>Character_Matrix</w:t>
      </w:r>
      <w:proofErr w:type="spellEnd"/>
      <w:r w:rsidRPr="005A3E86">
        <w:rPr>
          <w:rFonts w:ascii="Courier New" w:hAnsi="Courier New" w:cs="Courier New"/>
        </w:rPr>
        <w:t>;</w:t>
      </w:r>
    </w:p>
    <w:p w14:paraId="1D4FA668" w14:textId="77777777" w:rsidR="005A3E86" w:rsidRPr="005A3E86" w:rsidRDefault="005A3E86" w:rsidP="005A3E86">
      <w:pPr>
        <w:rPr>
          <w:rFonts w:ascii="Courier New" w:hAnsi="Courier New" w:cs="Courier New"/>
        </w:rPr>
      </w:pPr>
      <w:r w:rsidRPr="005A3E86">
        <w:rPr>
          <w:rFonts w:ascii="Courier New" w:hAnsi="Courier New" w:cs="Courier New"/>
        </w:rPr>
        <w:tab/>
        <w:t>DIMENSIONS  NCHAR=355;</w:t>
      </w:r>
    </w:p>
    <w:p w14:paraId="13AF989C" w14:textId="77777777" w:rsidR="005A3E86" w:rsidRPr="005A3E86" w:rsidRDefault="005A3E86" w:rsidP="005A3E86">
      <w:pPr>
        <w:rPr>
          <w:rFonts w:ascii="Courier New" w:hAnsi="Courier New" w:cs="Courier New"/>
        </w:rPr>
      </w:pPr>
      <w:r w:rsidRPr="005A3E86">
        <w:rPr>
          <w:rFonts w:ascii="Courier New" w:hAnsi="Courier New" w:cs="Courier New"/>
        </w:rPr>
        <w:tab/>
        <w:t>FORMAT DATATYPE = STANDARD RESPECTCASE GAP = - MISSING = ? SYMBOLS = "  0 1 2 3";</w:t>
      </w:r>
    </w:p>
    <w:p w14:paraId="527E4E52" w14:textId="77777777" w:rsidR="005A3E86" w:rsidRPr="005A3E86" w:rsidRDefault="005A3E86" w:rsidP="005A3E86">
      <w:pPr>
        <w:rPr>
          <w:rFonts w:ascii="Courier New" w:hAnsi="Courier New" w:cs="Courier New"/>
        </w:rPr>
      </w:pPr>
      <w:r w:rsidRPr="005A3E86">
        <w:rPr>
          <w:rFonts w:ascii="Courier New" w:hAnsi="Courier New" w:cs="Courier New"/>
        </w:rPr>
        <w:tab/>
        <w:t>MATRIX</w:t>
      </w:r>
    </w:p>
    <w:p w14:paraId="528F7BBA"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Proterogryinus_scheelei</w:t>
      </w:r>
      <w:proofErr w:type="spellEnd"/>
      <w:r w:rsidRPr="005A3E86">
        <w:rPr>
          <w:rFonts w:ascii="Courier New" w:hAnsi="Courier New" w:cs="Courier New"/>
        </w:rPr>
        <w:t xml:space="preserve">        0000000000000000000000?000?000000-0000000000000000000001??00000000010000-00000000??00000-??0???1??0?000-00000000000-00000??0000000000000000?(1 2)0000????000?000010000000000--000000000000000?0000010000001000000--001000?01?000?000000010000000100200000?10?0000000000(0 1)0?00?0010000000001000000000001000200?100001?10000100-?0?00?1????????????????000000?000000000000</w:t>
      </w:r>
    </w:p>
    <w:p w14:paraId="658A6389"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Greererpeton_burkemorani</w:t>
      </w:r>
      <w:proofErr w:type="spellEnd"/>
      <w:r w:rsidRPr="005A3E86">
        <w:rPr>
          <w:rFonts w:ascii="Courier New" w:hAnsi="Courier New" w:cs="Courier New"/>
        </w:rPr>
        <w:t xml:space="preserve">       00000000000001000000001000?01000001000000001000001-00--000000001-00000000000000000000001100000010000000-00000000000-00000000000000000000000020110000001000000000000000(0 1)000000000000000000?0000010000011000000--002000011000012?3-0000000000000000?000110000000000001(0 1)?0010100100000000000000?00011001101111000??00000100-?0?00?1??????00????????0000000000000000000</w:t>
      </w:r>
    </w:p>
    <w:p w14:paraId="09197E3A" w14:textId="77777777" w:rsidR="005A3E86" w:rsidRPr="005A3E86" w:rsidRDefault="005A3E86" w:rsidP="005A3E86">
      <w:pPr>
        <w:rPr>
          <w:rFonts w:ascii="Courier New" w:hAnsi="Courier New" w:cs="Courier New"/>
        </w:rPr>
      </w:pPr>
      <w:r w:rsidRPr="005A3E86">
        <w:rPr>
          <w:rFonts w:ascii="Courier New" w:hAnsi="Courier New" w:cs="Courier New"/>
        </w:rPr>
        <w:tab/>
        <w:t>Brachydectes                   000000000000000100000010-0?11001---00000-0-00----1--------1-1001-0--0100-1000000?001---0-00-000100000-1-00000000000100---00------00000000000101-00001000000000----000301--00000?00000101000110001000010001000--03301--0101010201-1-01000-00022011000011101?1011002?1-00021--1101100000?0?02??0???1?31000100-0-??0000111--?0-0?110???0??0-0???0??00010000000-000?00?</w:t>
      </w:r>
    </w:p>
    <w:p w14:paraId="320C296C" w14:textId="77777777" w:rsidR="005A3E86" w:rsidRPr="005A3E86" w:rsidRDefault="005A3E86" w:rsidP="005A3E86">
      <w:pPr>
        <w:rPr>
          <w:rFonts w:ascii="Courier New" w:hAnsi="Courier New" w:cs="Courier New"/>
        </w:rPr>
      </w:pPr>
      <w:r w:rsidRPr="005A3E86">
        <w:rPr>
          <w:rFonts w:ascii="Courier New" w:hAnsi="Courier New" w:cs="Courier New"/>
        </w:rPr>
        <w:tab/>
        <w:t>Batropetes                     1000000-000?00000?00001010?01001---0000010001000-1-----000111001-0--01---1?00?0-?0?0?00--00-00??0??1?00-00200000000?00????0????0?00000000000-0--00001000030000????000301--00010?-1000110000010011000010000000--13111-1010101?111-00012--001?22001??101?001?000000102-00-3--?1101100000?0?02110?001?011000210001-00100100-?0?0??10???0??0????????000?0010?0-?001000?</w:t>
      </w:r>
    </w:p>
    <w:p w14:paraId="179DF079" w14:textId="77777777" w:rsidR="005A3E86" w:rsidRPr="005A3E86" w:rsidRDefault="005A3E86" w:rsidP="005A3E86">
      <w:pPr>
        <w:rPr>
          <w:rFonts w:ascii="Courier New" w:hAnsi="Courier New" w:cs="Courier New"/>
        </w:rPr>
      </w:pPr>
      <w:r w:rsidRPr="005A3E86">
        <w:rPr>
          <w:rFonts w:ascii="Courier New" w:hAnsi="Courier New" w:cs="Courier New"/>
        </w:rPr>
        <w:tab/>
        <w:t>Rhynchonkos                    00000000000000000000000010?01001---0000000000000-1-----001101001-00-0100-1000000?0000000-00-001?0000000-0000000000010000000?0000000000000000001-000010000???????????????????????????????????????????????????????3?01-00101100011-0001000000022001000000001?0000002-1-000102-110????????????????????????????????-01100100-?0-0??-0???0??0-0???0??00?0??000000000000?</w:t>
      </w:r>
    </w:p>
    <w:p w14:paraId="211F1C70"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Edops_craigi</w:t>
      </w:r>
      <w:proofErr w:type="spellEnd"/>
      <w:r w:rsidRPr="005A3E86">
        <w:rPr>
          <w:rFonts w:ascii="Courier New" w:hAnsi="Courier New" w:cs="Courier New"/>
        </w:rPr>
        <w:t xml:space="preserve">                   00000000101001000000000000001101---10000001000100000000010000000000000010000000000000100-100100000010010000100000000000000000000000000?00000000000111000???????????000?0?00000????????????11000?1???01????00???00?0000102000000000000000000111000000000?01000000000???0001-00??00?????00???????????????2?1??0??001000100-?0?00?12??1???0??0000??2000000000000000000</w:t>
      </w:r>
    </w:p>
    <w:p w14:paraId="4192BD4B"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Cochleosaurus_bohemicus</w:t>
      </w:r>
      <w:proofErr w:type="spellEnd"/>
      <w:r w:rsidRPr="005A3E86">
        <w:rPr>
          <w:rFonts w:ascii="Courier New" w:hAnsi="Courier New" w:cs="Courier New"/>
        </w:rPr>
        <w:t xml:space="preserve">        000000101010(0 1)10000(0 1)0000000011101---00000001000100000000110000000000101010100000000000100-10010000001001000010000000010000000000000000010000000000????000?1000000000000100000000000000001001101?1100001100?000--0010000102000000100000000000100000?000000??0100001001(0 1)?0001-10??0?????????????00???????????1?????(0 1)1000100-?010001??????00????????1000000000000000001</w:t>
      </w:r>
    </w:p>
    <w:p w14:paraId="3574C076"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Dendrerpeton_helogenes</w:t>
      </w:r>
      <w:proofErr w:type="spellEnd"/>
      <w:r w:rsidRPr="005A3E86">
        <w:rPr>
          <w:rFonts w:ascii="Courier New" w:hAnsi="Courier New" w:cs="Courier New"/>
        </w:rPr>
        <w:t xml:space="preserve">         00000000010010000000000000001001---00000000000000000000000000000000000010100000000000100-10-00000000010-000100000000000000000000000000?00000000000110000?10000000000000000000000000000000?1010011000011000000--0000000010000000000100000000000000?00000000?1000000111?00?1?10100000001000000?0?000000102011000?000000100-?0?00?1??????00???00??00000000000000000001</w:t>
      </w:r>
    </w:p>
    <w:p w14:paraId="5B083D04"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Balanerpeton_woodi</w:t>
      </w:r>
      <w:proofErr w:type="spellEnd"/>
      <w:r w:rsidRPr="005A3E86">
        <w:rPr>
          <w:rFonts w:ascii="Courier New" w:hAnsi="Courier New" w:cs="Courier New"/>
        </w:rPr>
        <w:t xml:space="preserve">             0000000001000100001000000?100001---00000000000000000000000000000000000010000000000000100-10-00010000010-000100000000100000000000000000?00000000000110000?1000000000000100000000000000000001010011000011000000--000000101000010000010000000000000000000000001100010000?0001-10100000000000000?0000000??020110001?00000100-?0100?1??????00?????????000000000000000001</w:t>
      </w:r>
    </w:p>
    <w:p w14:paraId="6619AD99"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Trimerorhachis_insignis</w:t>
      </w:r>
      <w:proofErr w:type="spellEnd"/>
      <w:r w:rsidRPr="005A3E86">
        <w:rPr>
          <w:rFonts w:ascii="Courier New" w:hAnsi="Courier New" w:cs="Courier New"/>
        </w:rPr>
        <w:t xml:space="preserve">        00000000010001000010001011?0(0 1)00000(1 2)00(0 1)000000000000200000000010000000000101000000010(0 1)0101110000010000100-000101000000000000000100000000?00000000?00110111000000000000001000000010000000010?1101101000000001000--001000001000000000000000000010000000001111001?00000011?00002100000?0????0???(0 1)?0??01??0-1(1 2)??1-0?-?00000100-1010001??????00?1?0????2000000000000000000</w:t>
      </w:r>
    </w:p>
    <w:p w14:paraId="0225BD0C"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Acanthostomatops_vorax</w:t>
      </w:r>
      <w:proofErr w:type="spellEnd"/>
      <w:r w:rsidRPr="005A3E86">
        <w:rPr>
          <w:rFonts w:ascii="Courier New" w:hAnsi="Courier New" w:cs="Courier New"/>
        </w:rPr>
        <w:t xml:space="preserve">         00000001110011000000000000001101---000000000110000010000101010000000010----0000000020100-100020000000110-01100000--0100000000000000--2100000100?0011100102100000000000100000010000000001011101101011010?01100--0001000010000000000100001000100000-000001??11???????(0 1)?????1-??0000?001000??????0??0?0???10?0000-?10100100-?011-01??????00????????2000000000000000001</w:t>
      </w:r>
    </w:p>
    <w:p w14:paraId="7CD22F80"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Zatrachys_serratus</w:t>
      </w:r>
      <w:proofErr w:type="spellEnd"/>
      <w:r w:rsidRPr="005A3E86">
        <w:rPr>
          <w:rFonts w:ascii="Courier New" w:hAnsi="Courier New" w:cs="Courier New"/>
        </w:rPr>
        <w:t xml:space="preserve">             00000001111021000010001000?01101---000000000110000010000001010000000010101?0000000020100-100020000(0 1)0011000110000000010000000001000010110000000001???000????????????????????????????????????????????????????????00?00000100000001000000010001??0000000001???1?000?0?01-0?01-?0???????????????????????????????????(0 1)1?00100??0?????????????????????2??0??000000000000?</w:t>
      </w:r>
    </w:p>
    <w:p w14:paraId="26753FE9"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Micromelerpeton_credneri</w:t>
      </w:r>
      <w:proofErr w:type="spellEnd"/>
      <w:r w:rsidRPr="005A3E86">
        <w:rPr>
          <w:rFonts w:ascii="Courier New" w:hAnsi="Courier New" w:cs="Courier New"/>
        </w:rPr>
        <w:t xml:space="preserve">       0000000001000000011000000110000000100(0 1)101100110000000010011000000010?00100?00000101(0 2)0100-10002010010-10-001100000001(0 1)000001000(0 1)0000??1?00000000000111???00000000000001100000010000000001011100101010010?11010--02100010100011001001000000001???????0000????1???????(0 1)????(0 1)1-??????????????????????0????????????-?(0 1)0?00100??0???0?????????????????(1 2)?0000000000000000?</w:t>
      </w:r>
    </w:p>
    <w:p w14:paraId="7B21822A"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Apateon_pedestris</w:t>
      </w:r>
      <w:proofErr w:type="spellEnd"/>
      <w:r w:rsidRPr="005A3E86">
        <w:rPr>
          <w:rFonts w:ascii="Courier New" w:hAnsi="Courier New" w:cs="Courier New"/>
        </w:rPr>
        <w:t xml:space="preserve">              00000000010010000100000121000001---0001011001100000100?0011000000010?10101?100?000010100-10000010010-10-0021000000-1000000100010100??2?00000001100111011120000??000002100010010000000000022111??1010010?11000--0211001010001120100100000000101000?101110?01110000?????1?????00000?????00?????????0??0?10020000-?10000100-1011-01??????00????????000000000000000000?</w:t>
      </w:r>
    </w:p>
    <w:p w14:paraId="4F8B921F"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Micropholis_stowi</w:t>
      </w:r>
      <w:proofErr w:type="spellEnd"/>
      <w:r w:rsidRPr="005A3E86">
        <w:rPr>
          <w:rFonts w:ascii="Courier New" w:hAnsi="Courier New" w:cs="Courier New"/>
        </w:rPr>
        <w:t xml:space="preserve">              00100000010000000110000001100(0 1)01---0001011001100000000000110(0 1)00(0 1)001011010100000000(0 1)20100-10002011010-10-0?(1 2)1000000-1100000101010000102100000001?10111011?21000000000011000100100000000000?2110011000011000000--020?0000120010?0000?000001000(0 1)0000?00000100011000001110010??100000?????00?0002??100??1?100110001?11000100-?0?00?1??????00????????1000000000000000001</w:t>
      </w:r>
    </w:p>
    <w:p w14:paraId="38719BAF"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Platyrhinops_lyelli</w:t>
      </w:r>
      <w:proofErr w:type="spellEnd"/>
      <w:r w:rsidRPr="005A3E86">
        <w:rPr>
          <w:rFonts w:ascii="Courier New" w:hAnsi="Courier New" w:cs="Courier New"/>
        </w:rPr>
        <w:t xml:space="preserve">            000000000100000001(0 1)0000011100001---00000010011000000101001100000001010010001000100020110-10000010010-10-0011100000-01000001010100001021000000000001110?1?1?00000000001100010010000000000022110011010011000100--011000?01?00010002000000100000000??000001??0110000001???0?1-?01002?00?0000102?21?00?0??0?011000??01000100-?0?00?0??????00????????2000000000000000001</w:t>
      </w:r>
    </w:p>
    <w:p w14:paraId="796E5C0B"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Doleserpeton_annectens</w:t>
      </w:r>
      <w:proofErr w:type="spellEnd"/>
      <w:r w:rsidRPr="005A3E86">
        <w:rPr>
          <w:rFonts w:ascii="Courier New" w:hAnsi="Courier New" w:cs="Courier New"/>
        </w:rPr>
        <w:t xml:space="preserve">         00000000010010000100000021100001---0001011001100000100100110000000101001000100111000?110-10001011110-10-0021000000-0100??01????0?001021000?002-?001110?1?10000000000021000100100000000000?2112011000011000?00--03?0001010001?001201000010000000001000010?0011000000(0 1)0?01(0 1)02?0100??00??000?1222???0?????????0?0??01000100-?0??0?0??????00???00??0000?000000110000000</w:t>
      </w:r>
    </w:p>
    <w:p w14:paraId="19CDF92D"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Amphibamus_grandiceps</w:t>
      </w:r>
      <w:proofErr w:type="spellEnd"/>
      <w:r w:rsidRPr="005A3E86">
        <w:rPr>
          <w:rFonts w:ascii="Courier New" w:hAnsi="Courier New" w:cs="Courier New"/>
        </w:rPr>
        <w:t xml:space="preserve">          00000000010000000110000021100001---000100100110000011010011000000010100100?1001110021110-10001011110-10-0021000000-?100100101010000102?000?0000000111011?3?0000000000210001001000000000?0221100110000110?0000--031100?01000000002010000100000000??00000100111000??????0??????1000?00?0000?00?21?00?00?01010??0??01000100-?010-01??????00????????200000000011000000?</w:t>
      </w:r>
    </w:p>
    <w:p w14:paraId="0DDCEB79"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Gerobatrachus_hottoni</w:t>
      </w:r>
      <w:proofErr w:type="spellEnd"/>
      <w:r w:rsidRPr="005A3E86">
        <w:rPr>
          <w:rFonts w:ascii="Courier New" w:hAnsi="Courier New" w:cs="Courier New"/>
        </w:rPr>
        <w:t xml:space="preserve">          00?????00100?000011000?02???000????0011011001??0000?0??0?11000000010?00?????00?010-??110-1000?010110-10-?????0000??00001001?1010000????00?000???0????????310000000000210001001?????????????11201????011??0?00--?3110?1012001010120??000100000?0???1101????0110?????(0 1)???1????1??02????????12??21?00??????0?11????01100110-?0?0?????????????????????0000010?00?0000-?</w:t>
      </w:r>
    </w:p>
    <w:p w14:paraId="6F42364E"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Dissorophus_multicinctus</w:t>
      </w:r>
      <w:proofErr w:type="spellEnd"/>
      <w:r w:rsidRPr="005A3E86">
        <w:rPr>
          <w:rFonts w:ascii="Courier New" w:hAnsi="Courier New" w:cs="Courier New"/>
        </w:rPr>
        <w:t xml:space="preserve">       00000000010010000100000001101001---000101100110000010110011000000010110101000000000?1100-1000?010010-110001000000000100000100000000101?000000000001100?0?10001000000001000001100000000001?2112011011111000??11100100000100010000100000001001000000000110100100001??11000?1??0??00?????00?110?21111000001011?00??01000100-?0?00?1???1???0????0???0?00000000000000001</w:t>
      </w:r>
    </w:p>
    <w:p w14:paraId="5A2A34C3"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Cacops_aspidephorus</w:t>
      </w:r>
      <w:proofErr w:type="spellEnd"/>
      <w:r w:rsidRPr="005A3E86">
        <w:rPr>
          <w:rFonts w:ascii="Courier New" w:hAnsi="Courier New" w:cs="Courier New"/>
        </w:rPr>
        <w:t xml:space="preserve">            00000000010010000100000000?00101---0001011001100000101100110000000101101000000000000?100-100021100?0?11000100000000010000?1000010001011000000000001100?0?210010000000000--001100000001001?2112011011111000??110000000000200100002000000100010100(0 1)000000010011000100(1 2)???001-10??00?000??0011(1 2)?(1 2)10?1??0?0(1 2)????0??110000100-?0100?1????????-???????1000000000000000001</w:t>
      </w:r>
    </w:p>
    <w:p w14:paraId="2037025F"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Broiliellus_texensis</w:t>
      </w:r>
      <w:proofErr w:type="spellEnd"/>
      <w:r w:rsidRPr="005A3E86">
        <w:rPr>
          <w:rFonts w:ascii="Courier New" w:hAnsi="Courier New" w:cs="Courier New"/>
        </w:rPr>
        <w:t xml:space="preserve">           00000000010000000100000001100001---000101100110000010110011000000010110101?000000001?100-1000?010010-11000100000000010000010000?000101?0000000??001100?0?2?001000000001000001100000000001?21?20?101111100???1110011000010001000120000000000101000?000000?0011000101???11???00??0????????????????????????????????1000010???0?????????????????????2?0000000000000000?</w:t>
      </w:r>
    </w:p>
    <w:p w14:paraId="7962AEB4"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Acheloma_cumminsi</w:t>
      </w:r>
      <w:proofErr w:type="spellEnd"/>
      <w:r w:rsidRPr="005A3E86">
        <w:rPr>
          <w:rFonts w:ascii="Courier New" w:hAnsi="Courier New" w:cs="Courier New"/>
        </w:rPr>
        <w:t xml:space="preserve">              00000000010010001100000-01?00101---10010110011000000011001100000001011010000000000000100-100021110000110001000000000100000100001000101?0000000??001100?0?2?000000000001000001100000000001?2102011011111000?00--000000001?001020000000000000011000000000????1?0?0100(0 1)??01???00?00000000000112?01?00????0???10?01?00000100-?0110?10?????00????0??00000000000000000001</w:t>
      </w:r>
    </w:p>
    <w:p w14:paraId="59D5386F"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Phonerpeton_pricei</w:t>
      </w:r>
      <w:proofErr w:type="spellEnd"/>
      <w:r w:rsidRPr="005A3E86">
        <w:rPr>
          <w:rFonts w:ascii="Courier New" w:hAnsi="Courier New" w:cs="Courier New"/>
        </w:rPr>
        <w:t xml:space="preserve">             00000000010010001100000-01?00001---1001011001100000001100110000000101101000000000001?100-100011100000110001000000000100000100001000101?000000000001100?0?2???000000000??00001??????????01?21020??011111000?00--00?000001?001020000000000000011000000000????1?0?01000??01???00?0000000000????????00????0???10?0??00000100-?0110?10?????00????0??00000000000000000000</w:t>
      </w:r>
    </w:p>
    <w:p w14:paraId="63E2DCB4"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Onchiodon_labyrinthicus</w:t>
      </w:r>
      <w:proofErr w:type="spellEnd"/>
      <w:r w:rsidRPr="005A3E86">
        <w:rPr>
          <w:rFonts w:ascii="Courier New" w:hAnsi="Courier New" w:cs="Courier New"/>
        </w:rPr>
        <w:t xml:space="preserve">        000000000101010000(0 1)0100000001101---100000010100000100000101000000000000100?0000000000100-11000010000011001110010000010000001000000010110000000000011001001000100000000101000000100000000001102011011111020000--001000000?0000000000000000000100000000000?001100000001??101-00??000????????????????????0????????001000100-?0?00010???0000????0??00000000000000000000</w:t>
      </w:r>
    </w:p>
    <w:p w14:paraId="1139D231"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Eryops_megacephalus</w:t>
      </w:r>
      <w:proofErr w:type="spellEnd"/>
      <w:r w:rsidRPr="005A3E86">
        <w:rPr>
          <w:rFonts w:ascii="Courier New" w:hAnsi="Courier New" w:cs="Courier New"/>
        </w:rPr>
        <w:t xml:space="preserve">            00000000010101000000100000?01101---100000010100(0 1)0010000110100000000000010000000000000100-110000100000110011100100000100000010000000101100000000000110010?10001000000001010000001000000001?1102011011111020000--001000000?0000000?00000000000000000000??0?001100000001????1-?0??0000000000110?(0 2)0?01?0??0???1???0?01000100-?0?0(0 1)?100-?0?00????0??00000000000000000000</w:t>
      </w:r>
    </w:p>
    <w:p w14:paraId="72414B62"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Sclerocephalus_haeuseri</w:t>
      </w:r>
      <w:proofErr w:type="spellEnd"/>
      <w:r w:rsidRPr="005A3E86">
        <w:rPr>
          <w:rFonts w:ascii="Courier New" w:hAnsi="Courier New" w:cs="Courier New"/>
        </w:rPr>
        <w:t xml:space="preserve">        0000000001010100001000000000100(0 1)00011000001000000010000010100000010000010000000000010100-11000010000010-0111000000001000000001000001011000000000011100110110010000000010100000100100000000110001100001(0 1)020000--001000010?0000000000000000001010000000000?00100011000101001-10000000000??01?0?(0 1)?000?00202???010-001000100-?0?0001?????000??????0?200000000000000000?</w:t>
      </w:r>
    </w:p>
    <w:p w14:paraId="4DF5E789"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Glanochthon_latirostris</w:t>
      </w:r>
      <w:proofErr w:type="spellEnd"/>
      <w:r w:rsidRPr="005A3E86">
        <w:rPr>
          <w:rFonts w:ascii="Courier New" w:hAnsi="Courier New" w:cs="Courier New"/>
        </w:rPr>
        <w:t xml:space="preserve">        00000000110101000010000000?0100000?110000010000000100000101000000100000100?0000000000100-11000010000010-011100000000100000000100000101100000000000110010010001000000001010000010010000010011010010000100?1000--00?000010?0000000001000000001100000000000?0?1000????(0 1)?????1???1?00?????01?????????0??0?1111001?-?01000100-?0?0001??????00????????2?0000000000000000?</w:t>
      </w:r>
    </w:p>
    <w:p w14:paraId="6DC05333"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Archegosaurus_decheni</w:t>
      </w:r>
      <w:proofErr w:type="spellEnd"/>
      <w:r w:rsidRPr="005A3E86">
        <w:rPr>
          <w:rFonts w:ascii="Courier New" w:hAnsi="Courier New" w:cs="Courier New"/>
        </w:rPr>
        <w:t xml:space="preserve">          0000000011010000001000000000110000101(0 1)00001000000010000010100000010000010000000000001100-11000010000000-011100000000100000000100000101100000000001110010010001000000000010000010010000?10011111010000100?1000--000000010?0000000000000000001000000001010000110001000111101-000000001010000?0?00001?002001000100101000100-?010001??????00?2?0?1002000000000000000001</w:t>
      </w:r>
    </w:p>
    <w:p w14:paraId="0644C2F8"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Uranocentrodon_senekalensis</w:t>
      </w:r>
      <w:proofErr w:type="spellEnd"/>
      <w:r w:rsidRPr="005A3E86">
        <w:rPr>
          <w:rFonts w:ascii="Courier New" w:hAnsi="Courier New" w:cs="Courier New"/>
        </w:rPr>
        <w:t xml:space="preserve">    000000001100000000(0 1)0000001001100001010010010000100200001101000100200000100001000010001011100000100000111011100010000000000000100000101?0000010??00110010000100000000000000000010010100000?11111010000111?0000--00?000010?0000000000000000001???001?0?0??00?10???????????????????????????????????????????????????11000100??0????????????????????????000000000000000?</w:t>
      </w:r>
    </w:p>
    <w:p w14:paraId="16F845E4"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Lydekkerina_huxleyi</w:t>
      </w:r>
      <w:proofErr w:type="spellEnd"/>
      <w:r w:rsidRPr="005A3E86">
        <w:rPr>
          <w:rFonts w:ascii="Courier New" w:hAnsi="Courier New" w:cs="Courier New"/>
        </w:rPr>
        <w:t xml:space="preserve">            00000000010000000010000001?010000110(0 1)00000100001002000011010101001000101000110000100(0 1)101010000010010-111011100011000000(0 1)10000100000101?1000000000011101??1?100000000001000000010010100000?1100011010011120000--00?0000(0 1)0?0000000000000000001000001000010100101001000(0 1)011001001?00?????010?????1??1??0102111?10?010000100-?0100?1??????00????????2000000000000000001</w:t>
      </w:r>
    </w:p>
    <w:p w14:paraId="4D9DEC3B"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Siderops_kehli</w:t>
      </w:r>
      <w:proofErr w:type="spellEnd"/>
      <w:r w:rsidRPr="005A3E86">
        <w:rPr>
          <w:rFonts w:ascii="Courier New" w:hAnsi="Courier New" w:cs="Courier New"/>
        </w:rPr>
        <w:t xml:space="preserve">                 000000000????01100?1---011?01??00?-0?00?0-?10??0?0??00?1?????0100?0?0?010201100001011101010000010010-1110111100011-0011101??0100010112?110000100001110???10100000001?-100000001?010100010?11111010000101111?0--0011000???000??0000?00?0?00????0001010110001100011000(0 1)?1100200??000000100000202?1?1????101???1?-?01000100-?010-?1??????00?1??????0000000?01000000001</w:t>
      </w:r>
    </w:p>
    <w:p w14:paraId="3E7C7A50"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Batrachosuchus_browni</w:t>
      </w:r>
      <w:proofErr w:type="spellEnd"/>
      <w:r w:rsidRPr="005A3E86">
        <w:rPr>
          <w:rFonts w:ascii="Courier New" w:hAnsi="Courier New" w:cs="Courier New"/>
        </w:rPr>
        <w:t xml:space="preserve">          000000000????0110?01---011?010000?-010000-11000011-00--???101001-?0?010102?110000001110??10000010010-1110111100011-10111010?0100010112????????????12?0???????????????????????????????????????????????????????--?0?1000???000?101-00000000001???001010111??110???????????????0???????????????????????????????????01000100-?0?0-????????00????????1??0??0?0100000000?</w:t>
      </w:r>
    </w:p>
    <w:p w14:paraId="486D1199"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Plagiosuchus_pustuliferus</w:t>
      </w:r>
      <w:proofErr w:type="spellEnd"/>
      <w:r w:rsidRPr="005A3E86">
        <w:rPr>
          <w:rFonts w:ascii="Courier New" w:hAnsi="Courier New" w:cs="Courier New"/>
        </w:rPr>
        <w:t xml:space="preserve">      01100000010000110010000111?0001000-01-------1----1-10--1001?1001-?01010112?1100001010100-10000010010-111011110000100011101000100010111?11000001-0????1??021100????????100001001010110-110?11010010000101110020010?100-1100011-01-1-000000001??0001010110?1010000000(0 1)?01021-0000???????????????????????????????-010111130-?0100?1??????00????????10?0000001000000001</w:t>
      </w:r>
    </w:p>
    <w:p w14:paraId="1B48FFD0"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Sangaia_lavina</w:t>
      </w:r>
      <w:proofErr w:type="spellEnd"/>
      <w:r w:rsidRPr="005A3E86">
        <w:rPr>
          <w:rFonts w:ascii="Courier New" w:hAnsi="Courier New" w:cs="Courier New"/>
        </w:rPr>
        <w:t xml:space="preserve">                 100000000????0000010000011?010000?2010000010000011-00--?101011000?0?010101?110000?01??0??????????????1110?11???010-?000???0????0?00102???????????????0??????????????????????????????????????????????????????????0?10001100000000-00000000001000001?00???????0???????????????????????????????????????????????????11000100-?0??0???????????????????????????10??0000??</w:t>
      </w:r>
    </w:p>
    <w:p w14:paraId="5A8A913F"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Gerrothorax_pulcherrimus</w:t>
      </w:r>
      <w:proofErr w:type="spellEnd"/>
      <w:r w:rsidRPr="005A3E86">
        <w:rPr>
          <w:rFonts w:ascii="Courier New" w:hAnsi="Courier New" w:cs="Courier New"/>
        </w:rPr>
        <w:t xml:space="preserve">       00100000010000100010000111?00010001010101010100001-10--1(0 1)0101001-?00010112011000010(0 1)1100-10000010010-1110121100011-0011101000100000112?11000020000120111021100????????100001001010110-100?11010010111111110020010110011100010103-0000000000100000101011001010000000001110020000?0?????00?1222211?1??????1?????-010100100-?010(0 1)?10111?000?11012100000000001000000001</w:t>
      </w:r>
    </w:p>
    <w:p w14:paraId="10F3110E"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Edingerella_madagascariensis</w:t>
      </w:r>
      <w:proofErr w:type="spellEnd"/>
      <w:r w:rsidRPr="005A3E86">
        <w:rPr>
          <w:rFonts w:ascii="Courier New" w:hAnsi="Courier New" w:cs="Courier New"/>
        </w:rPr>
        <w:t xml:space="preserve">   00000000010000000010000001?0100001201000101000010020000010101010010101010001100001010101010000010010-111011110001000000001000100000101?1001000010011100????1000000000011?0000010010100110?111110??????????100--00?100010?001?000000000000001000001000110?1?1000000010011002001?00?????00??????????????100??????111000100-?0100?10??????0????????2000000000000000001</w:t>
      </w:r>
    </w:p>
    <w:p w14:paraId="57E20087"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Benthosuchus_sushkini</w:t>
      </w:r>
      <w:proofErr w:type="spellEnd"/>
      <w:r w:rsidRPr="005A3E86">
        <w:rPr>
          <w:rFonts w:ascii="Courier New" w:hAnsi="Courier New" w:cs="Courier New"/>
        </w:rPr>
        <w:t xml:space="preserve">          00000000110000000010000001?0100001201000001000010020000110101010010001010001100002001101010000010010-1111111110010-0000011000100000102?10010000100111??????100000001--11?0000010010110110?110110?00001011??????000000010?000?000000000000001000001000110?00100000001101000100??0???????????????????????????????011000100-?0100?122111000?1?1?2101000000000000000001</w:t>
      </w:r>
    </w:p>
    <w:p w14:paraId="143B2EF6"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Trematosaurus_brauni</w:t>
      </w:r>
      <w:proofErr w:type="spellEnd"/>
      <w:r w:rsidRPr="005A3E86">
        <w:rPr>
          <w:rFonts w:ascii="Courier New" w:hAnsi="Courier New" w:cs="Courier New"/>
        </w:rPr>
        <w:t xml:space="preserve">           000011001100000000(0 1)0000011?01(0 1)00012010000010000010200001(0 1)01010100100010101?1100000001101110000010010-1111111120001000101010001000001(0 1)1?1001120??0011?????????????????????????0100201101??????????????1?????????00??00010?000100000000000000???000?000110101100?0?00(0 1)?0??????????????????????????????????????????(0 1)(0 1)100100??0?0-???---?-?0-?????--0??00?0000000000001</w:t>
      </w:r>
    </w:p>
    <w:p w14:paraId="3D8546C5"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Trematolestes_hagdorni</w:t>
      </w:r>
      <w:proofErr w:type="spellEnd"/>
      <w:r w:rsidRPr="005A3E86">
        <w:rPr>
          <w:rFonts w:ascii="Courier New" w:hAnsi="Courier New" w:cs="Courier New"/>
        </w:rPr>
        <w:t xml:space="preserve">         00001100110000000000010011?000000110100000(0 1)1000010200000(0 1)01010100100010101?1110000000101110000010010-11111111200010?01010100010000011111001120??0011011??10100010000000101000010020110110?11111011000101111?0--00000001120101000000000000001100001000110?0110000000110100??0000??????????????????1????????0???-010100100-?01?-01??????00????????0000000000000000001</w:t>
      </w:r>
    </w:p>
    <w:p w14:paraId="3CF8BE45"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Lyrocephaliscus_euri</w:t>
      </w:r>
      <w:proofErr w:type="spellEnd"/>
      <w:r w:rsidRPr="005A3E86">
        <w:rPr>
          <w:rFonts w:ascii="Courier New" w:hAnsi="Courier New" w:cs="Courier New"/>
        </w:rPr>
        <w:t xml:space="preserve">           10001100010000000000000011?01000012011100010000010200001101010100101000101011?0001000001110000010010-111110012000101011101000100000111???????????011????????000????0101100???0?????1????????????????????????????0?000010?000000000000000001????001000??000110??????????????????00?????01???0?0?1????????????????01000100-?0?0-????????00?1?00???1?00000000000000001</w:t>
      </w:r>
    </w:p>
    <w:p w14:paraId="2DA83A94"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Callistomordax_kugleri</w:t>
      </w:r>
      <w:proofErr w:type="spellEnd"/>
      <w:r w:rsidRPr="005A3E86">
        <w:rPr>
          <w:rFonts w:ascii="Courier New" w:hAnsi="Courier New" w:cs="Courier New"/>
        </w:rPr>
        <w:t xml:space="preserve">         0000110001000001001?011011?01000011010000001000010200001001010101100011101?1110000010101110000010010-1111111120001-?011101000100001111?100112(1 2)1?0????11?010100111100101101000010010110210011011011000101111?0--00100001100101001000000000001100001000110?01100101000(0 1)010002001?000000100011???1??1?11001100?10-001000100-?010-?10?????00????????1000000000000000001</w:t>
      </w:r>
    </w:p>
    <w:p w14:paraId="29DC0D9E"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Metoposaurus_krasiejowensis</w:t>
      </w:r>
      <w:proofErr w:type="spellEnd"/>
      <w:r w:rsidRPr="005A3E86">
        <w:rPr>
          <w:rFonts w:ascii="Courier New" w:hAnsi="Courier New" w:cs="Courier New"/>
        </w:rPr>
        <w:t xml:space="preserve">    000011000100000100(0 1)0011011?0100001201(0 1)(0 1)000(0 1)(0 1)000010200001(0 1)01(0 1)1010110101110201110001011101110100010010-1110111100011-001110100010000111211?0111(0 1)110011101??1011011111110(0 1)100000010010110210?11011000000101111?0--00000001(0 1)20001001000000000001000001011110101110001000?01101-001?000000100011222???1??0-11??0-0--?01000100-?010-?10---?-?0-?????--2000000000000000001</w:t>
      </w:r>
    </w:p>
    <w:p w14:paraId="7A0335AB"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Parotosuchus_nasutus</w:t>
      </w:r>
      <w:proofErr w:type="spellEnd"/>
      <w:r w:rsidRPr="005A3E86">
        <w:rPr>
          <w:rFonts w:ascii="Courier New" w:hAnsi="Courier New" w:cs="Courier New"/>
        </w:rPr>
        <w:t xml:space="preserve">           00000000110000000000000001?0100001101010101000010020000110101010010001010001100001011101010100010010-1110111110010-0000011000100000102?10010111100111?0???????0??????????????0??????1????????????????1?????0???00?000010?0011000000000000001000001010111???10??????(0 1)????????????????????????????????????????????11000100-?0?0?????????20????????0??0000000000000001</w:t>
      </w:r>
    </w:p>
    <w:p w14:paraId="682EE811"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Paracyclotosaurus_davidi</w:t>
      </w:r>
      <w:proofErr w:type="spellEnd"/>
      <w:r w:rsidRPr="005A3E86">
        <w:rPr>
          <w:rFonts w:ascii="Courier New" w:hAnsi="Courier New" w:cs="Courier New"/>
        </w:rPr>
        <w:t xml:space="preserve">       00010000110000000000000001?0100001201010101000010020000110101010210101010001100001011100-10100010010-111011111000100010011000100000101?1002020??0011000??10110000001--1110000010010110110?11111000000111?1000--000000010?0011000000000000001000001010111?0010001100(0 1)?010???00??000010100010??????10?0?12121?10-011000100-?0100?1?1111020?1?0??1??000000000000000001</w:t>
      </w:r>
    </w:p>
    <w:p w14:paraId="6A89B342"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Cyclotosaurus_intermedius</w:t>
      </w:r>
      <w:proofErr w:type="spellEnd"/>
      <w:r w:rsidRPr="005A3E86">
        <w:rPr>
          <w:rFonts w:ascii="Courier New" w:hAnsi="Courier New" w:cs="Courier New"/>
        </w:rPr>
        <w:t xml:space="preserve">      00010000110000000000000001?0100001101010101000010020000110101010210100010201100001011101010100010010-111011111001100010011000100000101?1002021010?????0???????????????????000010010110110?11011?????????????????0?000010?001100000000000000100000?000000???100001000?00001-?0???????????????????????0?00???????011000100-?0?00?1???????0-???????00?0000000000000001</w:t>
      </w:r>
    </w:p>
    <w:p w14:paraId="3FAED813"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Mastodonsaurus_giganteus</w:t>
      </w:r>
      <w:proofErr w:type="spellEnd"/>
      <w:r w:rsidRPr="005A3E86">
        <w:rPr>
          <w:rFonts w:ascii="Courier New" w:hAnsi="Courier New" w:cs="Courier New"/>
        </w:rPr>
        <w:t xml:space="preserve">       000100001100010000(0 1)0000001?0000001201010101000000020000110101010110001010211100001011101110100010010-111011111000100010011000100000101?1?120200100111?0??(0 1)011010000010(0 1)110000010010110100?110111?000011111??0--000000010?00110000000000000010000010101100001000110010010002101?0000101000112211??1??0102121?10-011000100-?0100?1?1111000?1?010100000000000000000001</w:t>
      </w:r>
    </w:p>
    <w:p w14:paraId="31A4165D"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Chinlestegophis_jenkinsi</w:t>
      </w:r>
      <w:proofErr w:type="spellEnd"/>
      <w:r w:rsidRPr="005A3E86">
        <w:rPr>
          <w:rFonts w:ascii="Courier New" w:hAnsi="Courier New" w:cs="Courier New"/>
        </w:rPr>
        <w:t xml:space="preserve">       00000?000?00?0110001---011?010001?-010100??101000001210?001010?1-0???10102?10?000??1?00??????????????0110?0010000110?1????1????0?1011?????1001000??????????101???????????????00?01010011??111?1?????????????????2?0000?-?100?10120001000?0????0001?10??1?01?000101111?10?0110??00??????????????????????00???????01000100-?(0 1)??-?1?????????1?1??00100?0??0?10?000000?</w:t>
      </w:r>
    </w:p>
    <w:p w14:paraId="7EFAAFDE"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Rileymillerus_cosgriffi</w:t>
      </w:r>
      <w:proofErr w:type="spellEnd"/>
      <w:r w:rsidRPr="005A3E86">
        <w:rPr>
          <w:rFonts w:ascii="Courier New" w:hAnsi="Courier New" w:cs="Courier New"/>
        </w:rPr>
        <w:t xml:space="preserve">        00000?000????0?????????011?01?01---0?2100??10????1-??--100???001-????00102?100000201110??1??00010010-11???1?10000?-100?1011?0100000112?0?0?0????????????????????????????????????????????????????????????????????2?0?00???000?0?1-????0???0???00001010101?01100010?????10?0??0???????????????????????????????????0?000?00-?0?0-?1??????0?????????20?0000?01000000?01</w:t>
      </w:r>
    </w:p>
    <w:p w14:paraId="7239DFCA"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Triadobatrachus_massinoti</w:t>
      </w:r>
      <w:proofErr w:type="spellEnd"/>
      <w:r w:rsidRPr="005A3E86">
        <w:rPr>
          <w:rFonts w:ascii="Courier New" w:hAnsi="Courier New" w:cs="Courier New"/>
        </w:rPr>
        <w:t xml:space="preserve">      ?02????00????11????????121?10?01---??01?????1----00--1-???1---0---??1---10?????????1-11?????????1?1?-10-1?21000000-110---?0------0010200??0-?0??0001?000?31(0 1)00????10?210??1001---------00?211211?1002111101?0??01111--?????1???121?1?2--?1?????000110?1?1001000202-?-???3??-10112?1???0010122211001?1000010001?-10101110??0-?0???????1001001????2?0111110000010000?</w:t>
      </w:r>
    </w:p>
    <w:p w14:paraId="314B4A3C"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Leptodactylus_mystacinus</w:t>
      </w:r>
      <w:proofErr w:type="spellEnd"/>
      <w:r w:rsidRPr="005A3E86">
        <w:rPr>
          <w:rFonts w:ascii="Courier New" w:hAnsi="Courier New" w:cs="Courier New"/>
        </w:rPr>
        <w:t xml:space="preserve">       102????0010011100011---121?10?01---00-------?----00--0-???1---0---0?1---?1?1001112?1-110-1000?001111-10-1021010000-110---00------0010200??0-????00011000?31110????10?2????---1---------00?21121111002111101?0??02011--???0010-0121?0?2--?10000000111011010010002?2-2-???3??-10112?????0010122211?01?10000000011-??111130110-100?00-?0002?00100000?01111100000100000</w:t>
      </w:r>
    </w:p>
    <w:p w14:paraId="306BB165"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Xenopus_tropicalis</w:t>
      </w:r>
      <w:proofErr w:type="spellEnd"/>
      <w:r w:rsidRPr="005A3E86">
        <w:rPr>
          <w:rFonts w:ascii="Courier New" w:hAnsi="Courier New" w:cs="Courier New"/>
        </w:rPr>
        <w:t xml:space="preserve">             002????0010001110011---121?10?11---0?-------?----00--1-???1---0---??1---?2?10??11??1-11????0????1?1?-10-1021000000-110---??------0010200??0-?0??01011000?31110????10?2(0 1)???---1---------01?21121111002111101?0???3011--???1110-0221?0?2--?100120001110???10010002?2-2-???3??-10112?1???001012221??(0 1)1?10000000011-??111?101?0-?00?00-?0130?00100000?01111100000100000</w:t>
      </w:r>
    </w:p>
    <w:p w14:paraId="2E81421D"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Celtedens_ibericus</w:t>
      </w:r>
      <w:proofErr w:type="spellEnd"/>
      <w:r w:rsidRPr="005A3E86">
        <w:rPr>
          <w:rFonts w:ascii="Courier New" w:hAnsi="Courier New" w:cs="Courier New"/>
        </w:rPr>
        <w:t xml:space="preserve">             00000000010000000001---011?10001---000111-000----1-----0001---0---??0-???2?10?001??1-10???????????1?-?0-0?21???1?????0---??------0010?00000-00110????????10000????00?21?00---?---------01?2112111000??1??0000--03101--0101111002-1?0????1100120?0??????????1?10202-2-02031?-1??1201????01020??1??0????00000000?-000011??0?0-???1???????020???????00111?1??00001000?</w:t>
      </w:r>
    </w:p>
    <w:p w14:paraId="2FD224E2"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Karaurus_sharovi</w:t>
      </w:r>
      <w:proofErr w:type="spellEnd"/>
      <w:r w:rsidRPr="005A3E86">
        <w:rPr>
          <w:rFonts w:ascii="Courier New" w:hAnsi="Courier New" w:cs="Courier New"/>
        </w:rPr>
        <w:t xml:space="preserve">               001?0?10110000100010000021?10001---00000-0?01----1-11--???1---0---???---?1?10?001??1-11???????????-??10-??1??????0-?00-----------??102?0??00????0????????30110????10?210??---?---------00?211110100111?1111?0??022101-01210??101-1?1?2--110??00000-100-1?0?1?0???????????????0?12??????0?????21100?????2110100-?01101?101?0??0????????00???????02?011111000-21010??</w:t>
      </w:r>
    </w:p>
    <w:p w14:paraId="2BDDBD7B"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Kokartus_honorarius</w:t>
      </w:r>
      <w:proofErr w:type="spellEnd"/>
      <w:r w:rsidRPr="005A3E86">
        <w:rPr>
          <w:rFonts w:ascii="Courier New" w:hAnsi="Courier New" w:cs="Courier New"/>
        </w:rPr>
        <w:t xml:space="preserve">            001???1011001?10001????0?1?10001---0????????1????1-10--???1?--0---???-???1?10?0011?1-11??10?0?0???-??10-0011100000-110-----------0?1020???00?00?0??????1???100?1?110?2????---?---------?????????????????????????2??01???????????-????????1????????-???-????????????????????????1????????????????????????????????????????????????????????????????2?011111000-21011??</w:t>
      </w:r>
    </w:p>
    <w:p w14:paraId="74BAE72E"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Ambystoma_opacum</w:t>
      </w:r>
      <w:proofErr w:type="spellEnd"/>
      <w:r w:rsidRPr="005A3E86">
        <w:rPr>
          <w:rFonts w:ascii="Courier New" w:hAnsi="Courier New" w:cs="Courier New"/>
        </w:rPr>
        <w:t xml:space="preserve">               002????0010000110001---121?10001---00000--?11----1-??--???1---0---??1---?2?10?1111?1-110-100000011-1?10-0011100000-111-----------1011200??0-?0??0001?000?31110????10?211??---?---------00221111111000101101?0??031101-???1010202-1?1?2--?101000001-101-110010002?2-2-?1?3??-10012001101110222211101????0??0100?-??101130110-000000-?01201010?00010011111000-21011?0</w:t>
      </w:r>
    </w:p>
    <w:p w14:paraId="4143C533" w14:textId="1E492F7F" w:rsidR="005A3E86" w:rsidRPr="005A3E86" w:rsidRDefault="005A3E86" w:rsidP="005A3E86">
      <w:pPr>
        <w:rPr>
          <w:rFonts w:ascii="Courier New" w:hAnsi="Courier New" w:cs="Courier New"/>
        </w:rPr>
      </w:pPr>
      <w:r w:rsidRPr="005A3E86">
        <w:rPr>
          <w:rFonts w:ascii="Courier New" w:hAnsi="Courier New" w:cs="Courier New"/>
        </w:rPr>
        <w:tab/>
        <w:t>Hynobius            002????00100211(0 1)0010000121?10001---01100-0?01----1-??--???1---0---??1---?2?10?1112?1-110-100000011-1?10-0011000000-111-----------0010200??0-?0?10001?000?31110????10?211??---?---------00221111111000101101?0??021101-0121010003-1?1?2--?101000000-101-110010002?2-2-?1?3??-10012001101110222211101????0??0100?-??101130110-000000-?01201011010010011111000-21011?0</w:t>
      </w:r>
    </w:p>
    <w:p w14:paraId="5FF1082C"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Cryptobranchus_allegheniensis</w:t>
      </w:r>
      <w:proofErr w:type="spellEnd"/>
      <w:r w:rsidRPr="005A3E86">
        <w:rPr>
          <w:rFonts w:ascii="Courier New" w:hAnsi="Courier New" w:cs="Courier New"/>
        </w:rPr>
        <w:t xml:space="preserve">  002????00100000100?1---121?10011---00200--?11----1-??--???1---0---??1---?1?10?1111?1-100-10?000011-1?00-0011000000-111-----------0011200??0-?0?10001?111?31110????10?211??---?---------00221111111000101101?0??001101-???1010203-1?1?2--?101000000-101-100010002?2-2-01?3??-10012001101110222211101????0??0100?-??101110110-000000-?002011010?0010011111000-21011?0</w:t>
      </w:r>
    </w:p>
    <w:p w14:paraId="3CD3673C"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Triassurus_sixtelae</w:t>
      </w:r>
      <w:proofErr w:type="spellEnd"/>
      <w:r w:rsidRPr="005A3E86">
        <w:rPr>
          <w:rFonts w:ascii="Courier New" w:hAnsi="Courier New" w:cs="Courier New"/>
        </w:rPr>
        <w:t xml:space="preserve">            00?????00101???????????????????????0?????-?????????????????????????????????10?0????1?11???????????1?-?0-????000??????????????????????????????????????????3????????????1?0?---?---------?12?111????00??0???1?0??0????????????????????????????1??????????????1?0???????????????????????????????????0????1?0???0?????????????????0?????????????????1???11?1?00????110?</w:t>
      </w:r>
    </w:p>
    <w:p w14:paraId="152C4E2E"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Ichthyophis_bannannicus</w:t>
      </w:r>
      <w:proofErr w:type="spellEnd"/>
      <w:r w:rsidRPr="005A3E86">
        <w:rPr>
          <w:rFonts w:ascii="Courier New" w:hAnsi="Courier New" w:cs="Courier New"/>
        </w:rPr>
        <w:t xml:space="preserve">        0022???02(0 1)0000010001---011?11001---0?0000-??01?0-1-----0??1?--0---??1---?2?10?1?11?1-000-10?0??10111-00-00011000000011---1?------1010?01-01002-?0100?000?01001????10?21???---?---------???????????????????0?0??03301-0???1000112-????2--?1?112000111011111010001?2-1-11??01-11012?????1011122211???????????????-010000211?2-000?12111110101002201101111110001010011</w:t>
      </w:r>
    </w:p>
    <w:p w14:paraId="5FBFE4F8"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Epicrionops_bicolor</w:t>
      </w:r>
      <w:proofErr w:type="spellEnd"/>
      <w:r w:rsidRPr="005A3E86">
        <w:rPr>
          <w:rFonts w:ascii="Courier New" w:hAnsi="Courier New" w:cs="Courier New"/>
        </w:rPr>
        <w:t xml:space="preserve">            0002???00(0 1)0000010001---011?11001---0?????-??01?0-1-----0??1?--0---??1---?2?10?10?1?1-000-10???010111-00-00011000000011---1?------1010?01-01002-?0100?000?01001????10?21???---?---------???????????????????0?0??03301-????1001?12-??0?2--?10112000?11011111010001?2-1-01??01-11012001001011122211???????????????-010??1310?1-000?12111110101002200101111110001010011</w:t>
      </w:r>
    </w:p>
    <w:p w14:paraId="5FBFE904"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Eocaecilia_micropodia</w:t>
      </w:r>
      <w:proofErr w:type="spellEnd"/>
      <w:r w:rsidRPr="005A3E86">
        <w:rPr>
          <w:rFonts w:ascii="Courier New" w:hAnsi="Courier New" w:cs="Courier New"/>
        </w:rPr>
        <w:t xml:space="preserve">          0022???0010000110001---011?11001---010100-?10----??12??00?1?-?0---0001???2?10?1111?2-100-1??00010110-00-000010000??111---01------?011?01-01002-?0100?000?0?10?0????00210??---?---------00?11101????????100??0??0330000???0000111?1?1101001000000011001110101000??2-1-01??01-1?002?0100100122?2111013?1021210101-00000000??1-00?02????11020?0??210101111111000010000</w:t>
      </w:r>
    </w:p>
    <w:p w14:paraId="605B2002"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Funcusvermis_gilmorei</w:t>
      </w:r>
      <w:proofErr w:type="spellEnd"/>
      <w:r w:rsidRPr="005A3E86">
        <w:rPr>
          <w:rFonts w:ascii="Courier New" w:hAnsi="Courier New" w:cs="Courier New"/>
        </w:rPr>
        <w:t xml:space="preserve">          ???????????????????????????????????????????????????????????????????????????10?1?1??????????????????????????????????????????????????????0?01002-????????????????????0?2??????????????????????????????????0?????????????????????????????????????0???????1??????00??2-1-?0??0?-1???2??????????????????????????????-??????????0-?????????????????????1??????0???1????10</w:t>
      </w:r>
    </w:p>
    <w:p w14:paraId="22E7D999" w14:textId="77777777" w:rsidR="005A3E86" w:rsidRPr="005A3E86" w:rsidRDefault="005A3E86" w:rsidP="005A3E86">
      <w:pPr>
        <w:rPr>
          <w:rFonts w:ascii="Courier New" w:hAnsi="Courier New" w:cs="Courier New"/>
        </w:rPr>
      </w:pPr>
    </w:p>
    <w:p w14:paraId="33939980" w14:textId="77777777" w:rsidR="005A3E86" w:rsidRPr="005A3E86" w:rsidRDefault="005A3E86" w:rsidP="005A3E86">
      <w:pPr>
        <w:rPr>
          <w:rFonts w:ascii="Courier New" w:hAnsi="Courier New" w:cs="Courier New"/>
        </w:rPr>
      </w:pPr>
      <w:r w:rsidRPr="005A3E86">
        <w:rPr>
          <w:rFonts w:ascii="Courier New" w:hAnsi="Courier New" w:cs="Courier New"/>
        </w:rPr>
        <w:t>;</w:t>
      </w:r>
    </w:p>
    <w:p w14:paraId="407491F3" w14:textId="77777777" w:rsidR="005A3E86" w:rsidRPr="005A3E86" w:rsidRDefault="005A3E86" w:rsidP="005A3E86">
      <w:pPr>
        <w:rPr>
          <w:rFonts w:ascii="Courier New" w:hAnsi="Courier New" w:cs="Courier New"/>
        </w:rPr>
      </w:pPr>
    </w:p>
    <w:p w14:paraId="1D3CD390" w14:textId="52E0B5DD" w:rsidR="00D01A5E" w:rsidRDefault="005A3E86" w:rsidP="00D01A5E">
      <w:pPr>
        <w:rPr>
          <w:rFonts w:ascii="Courier New" w:hAnsi="Courier New" w:cs="Courier New"/>
        </w:rPr>
      </w:pPr>
      <w:r w:rsidRPr="005A3E86">
        <w:rPr>
          <w:rFonts w:ascii="Courier New" w:hAnsi="Courier New" w:cs="Courier New"/>
        </w:rPr>
        <w:t>END;</w:t>
      </w:r>
    </w:p>
    <w:p w14:paraId="11ADC5A4" w14:textId="58AAADC9" w:rsidR="005A3E86" w:rsidRDefault="005A3E86" w:rsidP="00D01A5E">
      <w:pPr>
        <w:rPr>
          <w:rFonts w:ascii="Courier New" w:hAnsi="Courier New" w:cs="Courier New"/>
        </w:rPr>
      </w:pPr>
    </w:p>
    <w:p w14:paraId="26D9E1AC" w14:textId="6D7B1A06" w:rsidR="005A3E86" w:rsidRDefault="005A3E86" w:rsidP="00D01A5E">
      <w:pPr>
        <w:rPr>
          <w:rFonts w:ascii="Courier New" w:hAnsi="Courier New" w:cs="Courier New"/>
        </w:rPr>
      </w:pPr>
    </w:p>
    <w:p w14:paraId="26A23F49" w14:textId="77777777" w:rsidR="005A3E86" w:rsidRDefault="005A3E86" w:rsidP="00D01A5E">
      <w:pPr>
        <w:rPr>
          <w:rFonts w:ascii="Courier New" w:hAnsi="Courier New" w:cs="Courier New"/>
        </w:rPr>
      </w:pPr>
    </w:p>
    <w:p w14:paraId="72A6E9C7" w14:textId="77777777" w:rsidR="005A3E86" w:rsidRDefault="005A3E86" w:rsidP="00D01A5E"/>
    <w:p w14:paraId="418D03D8" w14:textId="77777777" w:rsidR="00D01A5E" w:rsidRDefault="00D01A5E" w:rsidP="00D01A5E">
      <w:pPr>
        <w:rPr>
          <w:b/>
          <w:bCs/>
          <w:color w:val="222222"/>
        </w:rPr>
      </w:pPr>
      <w:r w:rsidRPr="004C7A9E">
        <w:rPr>
          <w:b/>
          <w:bCs/>
          <w:color w:val="222222"/>
        </w:rPr>
        <w:t xml:space="preserve">Nexus script for analysis in </w:t>
      </w:r>
      <w:proofErr w:type="spellStart"/>
      <w:r w:rsidRPr="004C7A9E">
        <w:rPr>
          <w:b/>
          <w:bCs/>
          <w:color w:val="222222"/>
        </w:rPr>
        <w:t>MrBayes</w:t>
      </w:r>
      <w:proofErr w:type="spellEnd"/>
      <w:r>
        <w:rPr>
          <w:b/>
          <w:bCs/>
          <w:color w:val="222222"/>
        </w:rPr>
        <w:t xml:space="preserve">. </w:t>
      </w:r>
    </w:p>
    <w:p w14:paraId="59D948B6" w14:textId="77777777" w:rsidR="00D01A5E" w:rsidRPr="004C7A9E" w:rsidRDefault="00D01A5E" w:rsidP="00D01A5E">
      <w:pPr>
        <w:rPr>
          <w:b/>
          <w:bCs/>
          <w:color w:val="222222"/>
        </w:rPr>
      </w:pPr>
    </w:p>
    <w:p w14:paraId="0576CCC7" w14:textId="77777777" w:rsidR="005A3E86" w:rsidRPr="005A3E86" w:rsidRDefault="005A3E86" w:rsidP="005A3E86">
      <w:pPr>
        <w:rPr>
          <w:rFonts w:ascii="Courier New" w:hAnsi="Courier New" w:cs="Courier New"/>
        </w:rPr>
      </w:pPr>
      <w:r w:rsidRPr="005A3E86">
        <w:rPr>
          <w:rFonts w:ascii="Courier New" w:hAnsi="Courier New" w:cs="Courier New"/>
        </w:rPr>
        <w:t>#NEXUS</w:t>
      </w:r>
    </w:p>
    <w:p w14:paraId="399A9CD3" w14:textId="77777777" w:rsidR="005A3E86" w:rsidRPr="005A3E86" w:rsidRDefault="005A3E86" w:rsidP="005A3E86">
      <w:pPr>
        <w:rPr>
          <w:rFonts w:ascii="Courier New" w:hAnsi="Courier New" w:cs="Courier New"/>
        </w:rPr>
      </w:pPr>
    </w:p>
    <w:p w14:paraId="7B7F1CC5" w14:textId="77777777" w:rsidR="005A3E86" w:rsidRPr="005A3E86" w:rsidRDefault="005A3E86" w:rsidP="005A3E86">
      <w:pPr>
        <w:rPr>
          <w:rFonts w:ascii="Courier New" w:hAnsi="Courier New" w:cs="Courier New"/>
        </w:rPr>
      </w:pPr>
      <w:r w:rsidRPr="005A3E86">
        <w:rPr>
          <w:rFonts w:ascii="Courier New" w:hAnsi="Courier New" w:cs="Courier New"/>
        </w:rPr>
        <w:t>BEGIN DATA;</w:t>
      </w:r>
    </w:p>
    <w:p w14:paraId="567FB4C4" w14:textId="77777777" w:rsidR="005A3E86" w:rsidRPr="005A3E86" w:rsidRDefault="005A3E86" w:rsidP="005A3E86">
      <w:pPr>
        <w:rPr>
          <w:rFonts w:ascii="Courier New" w:hAnsi="Courier New" w:cs="Courier New"/>
        </w:rPr>
      </w:pPr>
      <w:r w:rsidRPr="005A3E86">
        <w:rPr>
          <w:rFonts w:ascii="Courier New" w:hAnsi="Courier New" w:cs="Courier New"/>
        </w:rPr>
        <w:tab/>
        <w:t>DIMENSIONS  NTAX=63 NCHAR=355;</w:t>
      </w:r>
    </w:p>
    <w:p w14:paraId="7C469F23" w14:textId="77777777" w:rsidR="005A3E86" w:rsidRPr="005A3E86" w:rsidRDefault="005A3E86" w:rsidP="005A3E86">
      <w:pPr>
        <w:rPr>
          <w:rFonts w:ascii="Courier New" w:hAnsi="Courier New" w:cs="Courier New"/>
        </w:rPr>
      </w:pPr>
      <w:r w:rsidRPr="005A3E86">
        <w:rPr>
          <w:rFonts w:ascii="Courier New" w:hAnsi="Courier New" w:cs="Courier New"/>
        </w:rPr>
        <w:tab/>
        <w:t>FORMAT DATATYPE = STANDARD RESPECTCASE GAP = - MISSING = ? SYMBOLS = "  0 1 2 3";</w:t>
      </w:r>
    </w:p>
    <w:p w14:paraId="3C53FD0C" w14:textId="77777777" w:rsidR="005A3E86" w:rsidRPr="005A3E86" w:rsidRDefault="005A3E86" w:rsidP="005A3E86">
      <w:pPr>
        <w:rPr>
          <w:rFonts w:ascii="Courier New" w:hAnsi="Courier New" w:cs="Courier New"/>
        </w:rPr>
      </w:pPr>
      <w:r w:rsidRPr="005A3E86">
        <w:rPr>
          <w:rFonts w:ascii="Courier New" w:hAnsi="Courier New" w:cs="Courier New"/>
        </w:rPr>
        <w:tab/>
        <w:t>MATRIX</w:t>
      </w:r>
    </w:p>
    <w:p w14:paraId="7D1F8E98"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Proterogryinus_scheelei</w:t>
      </w:r>
      <w:proofErr w:type="spellEnd"/>
      <w:r w:rsidRPr="005A3E86">
        <w:rPr>
          <w:rFonts w:ascii="Courier New" w:hAnsi="Courier New" w:cs="Courier New"/>
        </w:rPr>
        <w:t xml:space="preserve">        0000000000000000000000?000?000000-0000000000000000000001??00000000010000-00000000??00000-??0???1??0?000-00000000000-00000??0000000000000000?(1 2)0000????000?000010000000000--000000000000000?0000010000001000000--001000?01?000?000000010000000100200000?10?0000000000(0 1)0?00?0010000000001000000000001000200?100001?10000100-?0?00?1????????????????000000?000000000000</w:t>
      </w:r>
    </w:p>
    <w:p w14:paraId="3EAE6A3C"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Greererpeton_burkemorani</w:t>
      </w:r>
      <w:proofErr w:type="spellEnd"/>
      <w:r w:rsidRPr="005A3E86">
        <w:rPr>
          <w:rFonts w:ascii="Courier New" w:hAnsi="Courier New" w:cs="Courier New"/>
        </w:rPr>
        <w:t xml:space="preserve">       00000000000001000000001000?01000001000000001000001-00--000000001-00000000000000000000001100000010000000-00000000000-00000000000000000000000020110000001000000000000000(0 1)000000000000000000?0000010000011000000--002000011000012?3-0000000000000000?000110000000000001(0 1)?0010100100000000000000?00011001101111000??00000100-?0?00?1??????00????????0000000000000000000</w:t>
      </w:r>
    </w:p>
    <w:p w14:paraId="442E53F1" w14:textId="77777777" w:rsidR="005A3E86" w:rsidRPr="005A3E86" w:rsidRDefault="005A3E86" w:rsidP="005A3E86">
      <w:pPr>
        <w:rPr>
          <w:rFonts w:ascii="Courier New" w:hAnsi="Courier New" w:cs="Courier New"/>
        </w:rPr>
      </w:pPr>
      <w:r w:rsidRPr="005A3E86">
        <w:rPr>
          <w:rFonts w:ascii="Courier New" w:hAnsi="Courier New" w:cs="Courier New"/>
        </w:rPr>
        <w:tab/>
        <w:t>Brachydectes                   000000000000000100000010-0?11001---00000-0-00----1--------1-1001-0--0100-1000000?001---0-00-000100000-1-00000000000100---00------00000000000101-00001000000000----000301--00000?00000101000110001000010001000--03301--0101010201-1-01000-00022011000011101?1011002?1-00021--1101100000?0?02??0???1?31000100-0-??0000111--?0-0?110???0??0-0???0??00010000000-000?00?</w:t>
      </w:r>
    </w:p>
    <w:p w14:paraId="40571DB7" w14:textId="77777777" w:rsidR="005A3E86" w:rsidRPr="005A3E86" w:rsidRDefault="005A3E86" w:rsidP="005A3E86">
      <w:pPr>
        <w:rPr>
          <w:rFonts w:ascii="Courier New" w:hAnsi="Courier New" w:cs="Courier New"/>
        </w:rPr>
      </w:pPr>
      <w:r w:rsidRPr="005A3E86">
        <w:rPr>
          <w:rFonts w:ascii="Courier New" w:hAnsi="Courier New" w:cs="Courier New"/>
        </w:rPr>
        <w:tab/>
        <w:t>Batropetes                     1000000-000?00000?00001010?01001---0000010001000-1-----000111001-0--01---1?00?0-?0?0?00--00-00??0??1?00-00200000000?00????0????0?00000000000-0--00001000030000????000301--00010?-1000110000010011000010000000--13111-1010101?111-00012--001?22001??101?001?000000102-00-3--?1101100000?0?02110?001?011000210001-00100100-?0?0??10???0??0????????000?0010?0-?001000?</w:t>
      </w:r>
    </w:p>
    <w:p w14:paraId="691BD529" w14:textId="77777777" w:rsidR="005A3E86" w:rsidRPr="005A3E86" w:rsidRDefault="005A3E86" w:rsidP="005A3E86">
      <w:pPr>
        <w:rPr>
          <w:rFonts w:ascii="Courier New" w:hAnsi="Courier New" w:cs="Courier New"/>
        </w:rPr>
      </w:pPr>
      <w:r w:rsidRPr="005A3E86">
        <w:rPr>
          <w:rFonts w:ascii="Courier New" w:hAnsi="Courier New" w:cs="Courier New"/>
        </w:rPr>
        <w:tab/>
        <w:t>Rhynchonkos                    00000000000000000000000010?01001---0000000000000-1-----001101001-00-0100-1000000?0000000-00-001?0000000-0000000000010000000?0000000000000000001-000010000???????????????????????????????????????????????????????3?01-00101100011-0001000000022001000000001?0000002-1-000102-110????????????????????????????????-01100100-?0-0??-0???0??0-0???0??00?0??000000000000?</w:t>
      </w:r>
    </w:p>
    <w:p w14:paraId="6BCD845F"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Edops_craigi</w:t>
      </w:r>
      <w:proofErr w:type="spellEnd"/>
      <w:r w:rsidRPr="005A3E86">
        <w:rPr>
          <w:rFonts w:ascii="Courier New" w:hAnsi="Courier New" w:cs="Courier New"/>
        </w:rPr>
        <w:t xml:space="preserve">                   00000000101001000000000000001101---10000001000100000000010000000000000010000000000000100-100100000010010000100000000000000000000000000?00000000000111000???????????000?0?00000????????????11000?1???01????00???00?0000102000000000000000000111000000000?01000000000???0001-00??00?????00???????????????2?1??0??001000100-?0?00?12??1???0??0000??2000000000000000000</w:t>
      </w:r>
    </w:p>
    <w:p w14:paraId="465C21BA"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Cochleosaurus_bohemicus</w:t>
      </w:r>
      <w:proofErr w:type="spellEnd"/>
      <w:r w:rsidRPr="005A3E86">
        <w:rPr>
          <w:rFonts w:ascii="Courier New" w:hAnsi="Courier New" w:cs="Courier New"/>
        </w:rPr>
        <w:t xml:space="preserve">        000000101010(0 1)10000(0 1)0000000011101---00000001000100000000110000000000101010100000000000100-10010000001001000010000000010000000000000000010000000000????000?1000000000000100000000000000001001101?1100001100?000--0010000102000000100000000000100000?000000??0100001001(0 1)?0001-10??0?????????????00???????????1?????(0 1)1000100-?010001??????00????????1000000000000000001</w:t>
      </w:r>
    </w:p>
    <w:p w14:paraId="5786C817"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Dendrerpeton_helogenes</w:t>
      </w:r>
      <w:proofErr w:type="spellEnd"/>
      <w:r w:rsidRPr="005A3E86">
        <w:rPr>
          <w:rFonts w:ascii="Courier New" w:hAnsi="Courier New" w:cs="Courier New"/>
        </w:rPr>
        <w:t xml:space="preserve">         00000000010010000000000000001001---00000000000000000000000000000000000010100000000000100-10-00000000010-000100000000000000000000000000?00000000000110000?10000000000000000000000000000000?1010011000011000000--0000000010000000000100000000000000?00000000?1000000111?00?1?10100000001000000?0?000000102011000?000000100-?0?00?1??????00???00??00000000000000000001</w:t>
      </w:r>
    </w:p>
    <w:p w14:paraId="68B70D4B"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Balanerpeton_woodi</w:t>
      </w:r>
      <w:proofErr w:type="spellEnd"/>
      <w:r w:rsidRPr="005A3E86">
        <w:rPr>
          <w:rFonts w:ascii="Courier New" w:hAnsi="Courier New" w:cs="Courier New"/>
        </w:rPr>
        <w:t xml:space="preserve">             0000000001000100001000000?100001---00000000000000000000000000000000000010000000000000100-10-00010000010-000100000000100000000000000000?00000000000110000?1000000000000100000000000000000001010011000011000000--000000101000010000010000000000000000000000001100010000?0001-10100000000000000?0000000??020110001?00000100-?0100?1??????00?????????000000000000000001</w:t>
      </w:r>
    </w:p>
    <w:p w14:paraId="5185E883"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Trimerorhachis_insignis</w:t>
      </w:r>
      <w:proofErr w:type="spellEnd"/>
      <w:r w:rsidRPr="005A3E86">
        <w:rPr>
          <w:rFonts w:ascii="Courier New" w:hAnsi="Courier New" w:cs="Courier New"/>
        </w:rPr>
        <w:t xml:space="preserve">        00000000010001000010001011?0(0 1)00000(1 2)00(0 1)000000000000200000000010000000000101000000010(0 1)0101110000010000100-000101000000000000000100000000?00000000?00110111000000000000001000000010000000010?1101101000000001000--001000001000000000000000000010000000001111001?00000011?00002100000?0????0???(0 1)?0??01??0-1(1 2)??1-0?-?00000100-1010001??????00?1?0????2000000000000000000</w:t>
      </w:r>
    </w:p>
    <w:p w14:paraId="1935C382"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Acanthostomatops_vorax</w:t>
      </w:r>
      <w:proofErr w:type="spellEnd"/>
      <w:r w:rsidRPr="005A3E86">
        <w:rPr>
          <w:rFonts w:ascii="Courier New" w:hAnsi="Courier New" w:cs="Courier New"/>
        </w:rPr>
        <w:t xml:space="preserve">         00000001110011000000000000001101---000000000110000010000101010000000010----0000000020100-100020000000110-01100000--0100000000000000--2100000100?0011100102100000000000100000010000000001011101101011010?01100--0001000010000000000100001000100000-000001??11???????(0 1)?????1-??0000?001000??????0??0?0???10?0000-?10100100-?011-01??????00????????2000000000000000001</w:t>
      </w:r>
    </w:p>
    <w:p w14:paraId="3E9A0481"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Zatrachys_serratus</w:t>
      </w:r>
      <w:proofErr w:type="spellEnd"/>
      <w:r w:rsidRPr="005A3E86">
        <w:rPr>
          <w:rFonts w:ascii="Courier New" w:hAnsi="Courier New" w:cs="Courier New"/>
        </w:rPr>
        <w:t xml:space="preserve">             00000001111021000010001000?01101---000000000110000010000001010000000010101?0000000020100-100020000(0 1)0011000110000000010000000001000010110000000001???000????????????????????????????????????????????????????????00?00000100000001000000010001??0000000001???1?000?0?01-0?01-?0???????????????????????????????????(0 1)1?00100??0?????????????????????2??0??000000000000?</w:t>
      </w:r>
    </w:p>
    <w:p w14:paraId="35AB9E22"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Micromelerpeton_credneri</w:t>
      </w:r>
      <w:proofErr w:type="spellEnd"/>
      <w:r w:rsidRPr="005A3E86">
        <w:rPr>
          <w:rFonts w:ascii="Courier New" w:hAnsi="Courier New" w:cs="Courier New"/>
        </w:rPr>
        <w:t xml:space="preserve">       0000000001000000011000000110000000100(0 1)101100110000000010011000000010?00100?00000101(0 2)0100-10002010010-10-001100000001(0 1)000001000(0 1)0000??1?00000000000111???00000000000001100000010000000001011100101010010?11010--02100010100011001001000000001???????0000????1???????(0 1)????(0 1)1-??????????????????????0????????????-?(0 1)0?00100??0???0?????????????????(1 2)?0000000000000000?</w:t>
      </w:r>
    </w:p>
    <w:p w14:paraId="13DE4CF4"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Apateon_pedestris</w:t>
      </w:r>
      <w:proofErr w:type="spellEnd"/>
      <w:r w:rsidRPr="005A3E86">
        <w:rPr>
          <w:rFonts w:ascii="Courier New" w:hAnsi="Courier New" w:cs="Courier New"/>
        </w:rPr>
        <w:t xml:space="preserve">              00000000010010000100000121000001---0001011001100000100?0011000000010?10101?100?000010100-10000010010-10-0021000000-1000000100010100??2?00000001100111011120000??000002100010010000000000022111??1010010?11000--0211001010001120100100000000101000?101110?01110000?????1?????00000?????00?????????0??0?10020000-?10000100-1011-01??????00????????000000000000000000?</w:t>
      </w:r>
    </w:p>
    <w:p w14:paraId="523AF4DF"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Micropholis_stowi</w:t>
      </w:r>
      <w:proofErr w:type="spellEnd"/>
      <w:r w:rsidRPr="005A3E86">
        <w:rPr>
          <w:rFonts w:ascii="Courier New" w:hAnsi="Courier New" w:cs="Courier New"/>
        </w:rPr>
        <w:t xml:space="preserve">              00100000010000000110000001100(0 1)01---0001011001100000000000110(0 1)00(0 1)001011010100000000(0 1)20100-10002011010-10-0?(1 2)1000000-1100000101010000102100000001?10111011?21000000000011000100100000000000?2110011000011000000--020?0000120010?0000?000001000(0 1)0000?00000100011000001110010??100000?????00?0002??100??1?100110001?11000100-?0?00?1??????00????????1000000000000000001</w:t>
      </w:r>
    </w:p>
    <w:p w14:paraId="3AD0ECBF"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Platyrhinops_lyelli</w:t>
      </w:r>
      <w:proofErr w:type="spellEnd"/>
      <w:r w:rsidRPr="005A3E86">
        <w:rPr>
          <w:rFonts w:ascii="Courier New" w:hAnsi="Courier New" w:cs="Courier New"/>
        </w:rPr>
        <w:t xml:space="preserve">            000000000100000001(0 1)0000011100001---00000010011000000101001100000001010010001000100020110-10000010010-10-0011100000-01000001010100001021000000000001110?1?1?00000000001100010010000000000022110011010011000100--011000?01?00010002000000100000000??000001??0110000001???0?1-?01002?00?0000102?21?00?0??0?011000??01000100-?0?00?0??????00????????2000000000000000001</w:t>
      </w:r>
    </w:p>
    <w:p w14:paraId="7C173E24"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Doleserpeton_annectens</w:t>
      </w:r>
      <w:proofErr w:type="spellEnd"/>
      <w:r w:rsidRPr="005A3E86">
        <w:rPr>
          <w:rFonts w:ascii="Courier New" w:hAnsi="Courier New" w:cs="Courier New"/>
        </w:rPr>
        <w:t xml:space="preserve">         00000000010010000100000021100001---0001011001100000100100110000000101001000100111000?110-10001011110-10-0021000000-0100??01????0?001021000?002-?001110?1?10000000000021000100100000000000?2112011000011000?00--03?0001010001?001201000010000000001000010?0011000000(0 1)0?01(0 1)02?0100??00??000?1222???0?????????0?0??01000100-?0??0?0??????00???00??0000?000000110000000</w:t>
      </w:r>
    </w:p>
    <w:p w14:paraId="22B7D45B"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Amphibamus_grandiceps</w:t>
      </w:r>
      <w:proofErr w:type="spellEnd"/>
      <w:r w:rsidRPr="005A3E86">
        <w:rPr>
          <w:rFonts w:ascii="Courier New" w:hAnsi="Courier New" w:cs="Courier New"/>
        </w:rPr>
        <w:t xml:space="preserve">          00000000010000000110000021100001---000100100110000011010011000000010100100?1001110021110-10001011110-10-0021000000-?100100101010000102?000?0000000111011?3?0000000000210001001000000000?0221100110000110?0000--031100?01000000002010000100000000??00000100111000??????0??????1000?00?0000?00?21?00?00?01010??0??01000100-?010-01??????00????????200000000011000000?</w:t>
      </w:r>
    </w:p>
    <w:p w14:paraId="015A627B"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Gerobatrachus_hottoni</w:t>
      </w:r>
      <w:proofErr w:type="spellEnd"/>
      <w:r w:rsidRPr="005A3E86">
        <w:rPr>
          <w:rFonts w:ascii="Courier New" w:hAnsi="Courier New" w:cs="Courier New"/>
        </w:rPr>
        <w:t xml:space="preserve">          00?????00100?000011000?02???000????0011011001??0000?0??0?11000000010?00?????00?010-??110-1000?010110-10-?????0000??00001001?1010000????00?000???0????????310000000000210001001?????????????11201????011??0?00--?3110?1012001010120??000100000?0???1101????0110?????(0 1)???1????1??02????????12??21?00??????0?11????01100110-?0?0?????????????????????0000010?00?0000-?</w:t>
      </w:r>
    </w:p>
    <w:p w14:paraId="0380BDBD"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Dissorophus_multicinctus</w:t>
      </w:r>
      <w:proofErr w:type="spellEnd"/>
      <w:r w:rsidRPr="005A3E86">
        <w:rPr>
          <w:rFonts w:ascii="Courier New" w:hAnsi="Courier New" w:cs="Courier New"/>
        </w:rPr>
        <w:t xml:space="preserve">       00000000010010000100000001101001---000101100110000010110011000000010110101000000000?1100-1000?010010-110001000000000100000100000000101?000000000001100?0?10001000000001000001100000000001?2112011011111000??11100100000100010000100000001001000000000110100100001??11000?1??0??00?????00?110?21111000001011?00??01000100-?0?00?1???1???0????0???0?00000000000000001</w:t>
      </w:r>
    </w:p>
    <w:p w14:paraId="7CFB9FD9"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Cacops_aspidephorus</w:t>
      </w:r>
      <w:proofErr w:type="spellEnd"/>
      <w:r w:rsidRPr="005A3E86">
        <w:rPr>
          <w:rFonts w:ascii="Courier New" w:hAnsi="Courier New" w:cs="Courier New"/>
        </w:rPr>
        <w:t xml:space="preserve">            00000000010010000100000000?00101---0001011001100000101100110000000101101000000000000?100-100021100?0?11000100000000010000?1000010001011000000000001100?0?210010000000000--001100000001001?2112011011111000??110000000000200100002000000100010100(0 1)000000010011000100(1 2)???001-10??00?000??0011(1 2)?(1 2)10?1??0?0(1 2)????0??110000100-?0100?1????????-???????1000000000000000001</w:t>
      </w:r>
    </w:p>
    <w:p w14:paraId="5C304944"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Broiliellus_texensis</w:t>
      </w:r>
      <w:proofErr w:type="spellEnd"/>
      <w:r w:rsidRPr="005A3E86">
        <w:rPr>
          <w:rFonts w:ascii="Courier New" w:hAnsi="Courier New" w:cs="Courier New"/>
        </w:rPr>
        <w:t xml:space="preserve">           00000000010000000100000001100001---000101100110000010110011000000010110101?000000001?100-1000?010010-11000100000000010000010000?000101?0000000??001100?0?2?001000000001000001100000000001?21?20?101111100???1110011000010001000120000000000101000?000000?0011000101???11???00??0????????????????????????????????1000010???0?????????????????????2?0000000000000000?</w:t>
      </w:r>
    </w:p>
    <w:p w14:paraId="437792D7"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Acheloma_cumminsi</w:t>
      </w:r>
      <w:proofErr w:type="spellEnd"/>
      <w:r w:rsidRPr="005A3E86">
        <w:rPr>
          <w:rFonts w:ascii="Courier New" w:hAnsi="Courier New" w:cs="Courier New"/>
        </w:rPr>
        <w:t xml:space="preserve">              00000000010010001100000-01?00101---10010110011000000011001100000001011010000000000000100-100021110000110001000000000100000100001000101?0000000??001100?0?2?000000000001000001100000000001?2102011011111000?00--000000001?001020000000000000011000000000????1?0?0100(0 1)??01???00?00000000000112?01?00????0???10?01?00000100-?0110?10?????00????0??00000000000000000001</w:t>
      </w:r>
    </w:p>
    <w:p w14:paraId="5D49137A"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Phonerpeton_pricei</w:t>
      </w:r>
      <w:proofErr w:type="spellEnd"/>
      <w:r w:rsidRPr="005A3E86">
        <w:rPr>
          <w:rFonts w:ascii="Courier New" w:hAnsi="Courier New" w:cs="Courier New"/>
        </w:rPr>
        <w:t xml:space="preserve">             00000000010010001100000-01?00001---1001011001100000001100110000000101101000000000001?100-100011100000110001000000000100000100001000101?000000000001100?0?2???000000000??00001??????????01?21020??011111000?00--00?000001?001020000000000000011000000000????1?0?01000??01???00?0000000000????????00????0???10?0??00000100-?0110?10?????00????0??00000000000000000000</w:t>
      </w:r>
    </w:p>
    <w:p w14:paraId="577D1333"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Onchiodon_labyrinthicus</w:t>
      </w:r>
      <w:proofErr w:type="spellEnd"/>
      <w:r w:rsidRPr="005A3E86">
        <w:rPr>
          <w:rFonts w:ascii="Courier New" w:hAnsi="Courier New" w:cs="Courier New"/>
        </w:rPr>
        <w:t xml:space="preserve">        000000000101010000(0 1)0100000001101---100000010100000100000101000000000000100?0000000000100-11000010000011001110010000010000001000000010110000000000011001001000100000000101000000100000000001102011011111020000--001000000?0000000000000000000100000000000?001100000001??101-00??000????????????????????0????????001000100-?0?00010???0000????0??00000000000000000000</w:t>
      </w:r>
    </w:p>
    <w:p w14:paraId="74566A3C"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Eryops_megacephalus</w:t>
      </w:r>
      <w:proofErr w:type="spellEnd"/>
      <w:r w:rsidRPr="005A3E86">
        <w:rPr>
          <w:rFonts w:ascii="Courier New" w:hAnsi="Courier New" w:cs="Courier New"/>
        </w:rPr>
        <w:t xml:space="preserve">            00000000010101000000100000?01101---100000010100(0 1)0010000110100000000000010000000000000100-110000100000110011100100000100000010000000101100000000000110010?10001000000001010000001000000001?1102011011111020000--001000000?0000000?00000000000000000000??0?001100000001????1-?0??0000000000110?(0 2)0?01?0??0???1???0?01000100-?0?0(0 1)?100-?0?00????0??00000000000000000000</w:t>
      </w:r>
    </w:p>
    <w:p w14:paraId="3236706A"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Sclerocephalus_haeuseri</w:t>
      </w:r>
      <w:proofErr w:type="spellEnd"/>
      <w:r w:rsidRPr="005A3E86">
        <w:rPr>
          <w:rFonts w:ascii="Courier New" w:hAnsi="Courier New" w:cs="Courier New"/>
        </w:rPr>
        <w:t xml:space="preserve">        0000000001010100001000000000100(0 1)00011000001000000010000010100000010000010000000000010100-11000010000010-0111000000001000000001000001011000000000011100110110010000000010100000100100000000110001100001(0 1)020000--001000010?0000000000000000001010000000000?00100011000101001-10000000000??01?0?(0 1)?000?00202???010-001000100-?0?0001?????000??????0?200000000000000000?</w:t>
      </w:r>
    </w:p>
    <w:p w14:paraId="6D836CA5"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Glanochthon_latirostris</w:t>
      </w:r>
      <w:proofErr w:type="spellEnd"/>
      <w:r w:rsidRPr="005A3E86">
        <w:rPr>
          <w:rFonts w:ascii="Courier New" w:hAnsi="Courier New" w:cs="Courier New"/>
        </w:rPr>
        <w:t xml:space="preserve">        00000000110101000010000000?0100000?110000010000000100000101000000100000100?0000000000100-11000010000010-011100000000100000000100000101100000000000110010010001000000001010000010010000010011010010000100?1000--00?000010?0000000001000000001100000000000?0?1000????(0 1)?????1???1?00?????01?????????0??0?1111001?-?01000100-?0?0001??????00????????2?0000000000000000?</w:t>
      </w:r>
    </w:p>
    <w:p w14:paraId="65EBE37C"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Archegosaurus_decheni</w:t>
      </w:r>
      <w:proofErr w:type="spellEnd"/>
      <w:r w:rsidRPr="005A3E86">
        <w:rPr>
          <w:rFonts w:ascii="Courier New" w:hAnsi="Courier New" w:cs="Courier New"/>
        </w:rPr>
        <w:t xml:space="preserve">          0000000011010000001000000000110000101(0 1)00001000000010000010100000010000010000000000001100-11000010000000-011100000000100000000100000101100000000001110010010001000000000010000010010000?10011111010000100?1000--000000010?0000000000000000001000000001010000110001000111101-000000001010000?0?00001?002001000100101000100-?010001??????00?2?0?1002000000000000000001</w:t>
      </w:r>
    </w:p>
    <w:p w14:paraId="2582FB78"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Uranocentrodon_senekalensis</w:t>
      </w:r>
      <w:proofErr w:type="spellEnd"/>
      <w:r w:rsidRPr="005A3E86">
        <w:rPr>
          <w:rFonts w:ascii="Courier New" w:hAnsi="Courier New" w:cs="Courier New"/>
        </w:rPr>
        <w:t xml:space="preserve">    000000001100000000(0 1)0000001001100001010010010000100200001101000100200000100001000010001011100000100000111011100010000000000000100000101?0000010??00110010000100000000000000000010010100000?11111010000111?0000--00?000010?0000000000000000001???001?0?0??00?10???????????????????????????????????????????????????11000100??0????????????????????????000000000000000?</w:t>
      </w:r>
    </w:p>
    <w:p w14:paraId="2CF5E1E4"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Lydekkerina_huxleyi</w:t>
      </w:r>
      <w:proofErr w:type="spellEnd"/>
      <w:r w:rsidRPr="005A3E86">
        <w:rPr>
          <w:rFonts w:ascii="Courier New" w:hAnsi="Courier New" w:cs="Courier New"/>
        </w:rPr>
        <w:t xml:space="preserve">            00000000010000000010000001?010000110(0 1)00000100001002000011010101001000101000110000100(0 1)101010000010010-111011100011000000(0 1)10000100000101?1000000000011101??1?100000000001000000010010100000?1100011010011120000--00?0000(0 1)0?0000000000000000001000001000010100101001000(0 1)011001001?00?????010?????1??1??0102111?10?010000100-?0100?1??????00????????2000000000000000001</w:t>
      </w:r>
    </w:p>
    <w:p w14:paraId="6FE7C39D"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Siderops_kehli</w:t>
      </w:r>
      <w:proofErr w:type="spellEnd"/>
      <w:r w:rsidRPr="005A3E86">
        <w:rPr>
          <w:rFonts w:ascii="Courier New" w:hAnsi="Courier New" w:cs="Courier New"/>
        </w:rPr>
        <w:t xml:space="preserve">                 000000000????01100?1---011?01??00?-0?00?0-?10??0?0??00?1?????0100?0?0?010201100001011101010000010010-1110111100011-0011101??0100010112?110000100001110???10100000001?-100000001?010100010?11111010000101111?0--0011000???000??0000?00?0?00????0001010110001100011000(0 1)?1100200??000000100000202?1?1????101???1?-?01000100-?010-?1??????00?1??????0000000?01000000001</w:t>
      </w:r>
    </w:p>
    <w:p w14:paraId="29484B6F"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Batrachosuchus_browni</w:t>
      </w:r>
      <w:proofErr w:type="spellEnd"/>
      <w:r w:rsidRPr="005A3E86">
        <w:rPr>
          <w:rFonts w:ascii="Courier New" w:hAnsi="Courier New" w:cs="Courier New"/>
        </w:rPr>
        <w:t xml:space="preserve">          000000000????0110?01---011?010000?-010000-11000011-00--???101001-?0?010102?110000001110??10000010010-1110111100011-10111010?0100010112????????????12?0???????????????????????????????????????????????????????--?0?1000???000?101-00000000001???001010111??110???????????????0???????????????????????????????????01000100-?0?0-????????00????????1??0??0?0100000000?</w:t>
      </w:r>
    </w:p>
    <w:p w14:paraId="55829C4B"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Plagiosuchus_pustuliferus</w:t>
      </w:r>
      <w:proofErr w:type="spellEnd"/>
      <w:r w:rsidRPr="005A3E86">
        <w:rPr>
          <w:rFonts w:ascii="Courier New" w:hAnsi="Courier New" w:cs="Courier New"/>
        </w:rPr>
        <w:t xml:space="preserve">      01100000010000110010000111?0001000-01-------1----1-10--1001?1001-?01010112?1100001010100-10000010010-111011110000100011101000100010111?11000001-0????1??021100????????100001001010110-110?11010010000101110020010?100-1100011-01-1-000000001??0001010110?1010000000(0 1)?01021-0000???????????????????????????????-010111130-?0100?1??????00????????10?0000001000000001</w:t>
      </w:r>
    </w:p>
    <w:p w14:paraId="0EB2C137"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Sangaia_lavina</w:t>
      </w:r>
      <w:proofErr w:type="spellEnd"/>
      <w:r w:rsidRPr="005A3E86">
        <w:rPr>
          <w:rFonts w:ascii="Courier New" w:hAnsi="Courier New" w:cs="Courier New"/>
        </w:rPr>
        <w:t xml:space="preserve">                 100000000????0000010000011?010000?2010000010000011-00--?101011000?0?010101?110000?01??0??????????????1110?11???010-?000???0????0?00102???????????????0??????????????????????????????????????????????????????????0?10001100000000-00000000001000001?00???????0???????????????????????????????????????????????????11000100-?0??0???????????????????????????10??0000??</w:t>
      </w:r>
    </w:p>
    <w:p w14:paraId="7AAB17E5"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Gerrothorax_pulcherrimus</w:t>
      </w:r>
      <w:proofErr w:type="spellEnd"/>
      <w:r w:rsidRPr="005A3E86">
        <w:rPr>
          <w:rFonts w:ascii="Courier New" w:hAnsi="Courier New" w:cs="Courier New"/>
        </w:rPr>
        <w:t xml:space="preserve">       00100000010000100010000111?00010001010101010100001-10--1(0 1)0101001-?00010112011000010(0 1)1100-10000010010-1110121100011-0011101000100000112?11000020000120111021100????????100001001010110-100?11010010111111110020010110011100010103-0000000000100000101011001010000000001110020000?0?????00?1222211?1??????1?????-010100100-?010(0 1)?10111?000?11012100000000001000000001</w:t>
      </w:r>
    </w:p>
    <w:p w14:paraId="10C09FE2"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Edingerella_madagascariensis</w:t>
      </w:r>
      <w:proofErr w:type="spellEnd"/>
      <w:r w:rsidRPr="005A3E86">
        <w:rPr>
          <w:rFonts w:ascii="Courier New" w:hAnsi="Courier New" w:cs="Courier New"/>
        </w:rPr>
        <w:t xml:space="preserve">   00000000010000000010000001?0100001201000101000010020000010101010010101010001100001010101010000010010-111011110001000000001000100000101?1001000010011100????1000000000011?0000010010100110?111110??????????100--00?100010?001?000000000000001000001000110?1?1000000010011002001?00?????00??????????????100??????111000100-?0100?10??????0????????2000000000000000001</w:t>
      </w:r>
    </w:p>
    <w:p w14:paraId="48C265F6"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Benthosuchus_sushkini</w:t>
      </w:r>
      <w:proofErr w:type="spellEnd"/>
      <w:r w:rsidRPr="005A3E86">
        <w:rPr>
          <w:rFonts w:ascii="Courier New" w:hAnsi="Courier New" w:cs="Courier New"/>
        </w:rPr>
        <w:t xml:space="preserve">          00000000110000000010000001?0100001201000001000010020000110101010010001010001100002001101010000010010-1111111110010-0000011000100000102?10010000100111??????100000001--11?0000010010110110?110110?00001011??????000000010?000?000000000000001000001000110?00100000001101000100??0???????????????????????????????011000100-?0100?122111000?1?1?2101000000000000000001</w:t>
      </w:r>
    </w:p>
    <w:p w14:paraId="64CE656F"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Trematosaurus_brauni</w:t>
      </w:r>
      <w:proofErr w:type="spellEnd"/>
      <w:r w:rsidRPr="005A3E86">
        <w:rPr>
          <w:rFonts w:ascii="Courier New" w:hAnsi="Courier New" w:cs="Courier New"/>
        </w:rPr>
        <w:t xml:space="preserve">           000011001100000000(0 1)0000011?01(0 1)00012010000010000010200001(0 1)01010100100010101?1100000001101110000010010-1111111120001000101010001000001(0 1)1?1001120??0011?????????????????????????0100201101??????????????1?????????00??00010?000100000000000000???000?000110101100?0?00(0 1)?0??????????????????????????????????????????(0 1)(0 1)100100??0?0-???---?-?0-?????--0??00?0000000000001</w:t>
      </w:r>
    </w:p>
    <w:p w14:paraId="5D162FB6"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Trematolestes_hagdorni</w:t>
      </w:r>
      <w:proofErr w:type="spellEnd"/>
      <w:r w:rsidRPr="005A3E86">
        <w:rPr>
          <w:rFonts w:ascii="Courier New" w:hAnsi="Courier New" w:cs="Courier New"/>
        </w:rPr>
        <w:t xml:space="preserve">         00001100110000000000010011?000000110100000(0 1)1000010200000(0 1)01010100100010101?1110000000101110000010010-11111111200010?01010100010000011111001120??0011011??10100010000000101000010020110110?11111011000101111?0--00000001120101000000000000001100001000110?0110000000110100??0000??????????????????1????????0???-010100100-?01?-01??????00????????0000000000000000001</w:t>
      </w:r>
    </w:p>
    <w:p w14:paraId="37313189"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Lyrocephaliscus_euri</w:t>
      </w:r>
      <w:proofErr w:type="spellEnd"/>
      <w:r w:rsidRPr="005A3E86">
        <w:rPr>
          <w:rFonts w:ascii="Courier New" w:hAnsi="Courier New" w:cs="Courier New"/>
        </w:rPr>
        <w:t xml:space="preserve">           10001100010000000000000011?01000012011100010000010200001101010100101000101011?0001000001110000010010-111110012000101011101000100000111???????????011????????000????0101100???0?????1????????????????????????????0?000010?000000000000000001????001000??000110??????????????????00?????01???0?0?1????????????????01000100-?0?0-????????00?1?00???1?00000000000000001</w:t>
      </w:r>
    </w:p>
    <w:p w14:paraId="75461521"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Callistomordax_kugleri</w:t>
      </w:r>
      <w:proofErr w:type="spellEnd"/>
      <w:r w:rsidRPr="005A3E86">
        <w:rPr>
          <w:rFonts w:ascii="Courier New" w:hAnsi="Courier New" w:cs="Courier New"/>
        </w:rPr>
        <w:t xml:space="preserve">         0000110001000001001?011011?01000011010000001000010200001001010101100011101?1110000010101110000010010-1111111120001-?011101000100001111?100112(1 2)1?0????11?010100111100101101000010010110210011011011000101111?0--00100001100101001000000000001100001000110?01100101000(0 1)010002001?000000100011???1??1?11001100?10-001000100-?010-?10?????00????????1000000000000000001</w:t>
      </w:r>
    </w:p>
    <w:p w14:paraId="1CA59451"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Metoposaurus_krasiejowensis</w:t>
      </w:r>
      <w:proofErr w:type="spellEnd"/>
      <w:r w:rsidRPr="005A3E86">
        <w:rPr>
          <w:rFonts w:ascii="Courier New" w:hAnsi="Courier New" w:cs="Courier New"/>
        </w:rPr>
        <w:t xml:space="preserve">    000011000100000100(0 1)0011011?0100001201(0 1)(0 1)000(0 1)(0 1)000010200001(0 1)01(0 1)1010110101110201110001011101110100010010-1110111100011-001110100010000111211?0111(0 1)110011101??1011011111110(0 1)100000010010110210?11011000000101111?0--00000001(0 1)20001001000000000001000001011110101110001000?01101-001?000000100011222???1??0-11??0-0--?01000100-?010-?10---?-?0-?????--2000000000000000001</w:t>
      </w:r>
    </w:p>
    <w:p w14:paraId="1737AEAF"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Parotosuchus_nasutus</w:t>
      </w:r>
      <w:proofErr w:type="spellEnd"/>
      <w:r w:rsidRPr="005A3E86">
        <w:rPr>
          <w:rFonts w:ascii="Courier New" w:hAnsi="Courier New" w:cs="Courier New"/>
        </w:rPr>
        <w:t xml:space="preserve">           00000000110000000000000001?0100001101010101000010020000110101010010001010001100001011101010100010010-1110111110010-0000011000100000102?10010111100111?0???????0??????????????0??????1????????????????1?????0???00?000010?0011000000000000001000001010111???10??????(0 1)????????????????????????????????????????????11000100-?0?0?????????20????????0??0000000000000001</w:t>
      </w:r>
    </w:p>
    <w:p w14:paraId="4E353F72"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Paracyclotosaurus_davidi</w:t>
      </w:r>
      <w:proofErr w:type="spellEnd"/>
      <w:r w:rsidRPr="005A3E86">
        <w:rPr>
          <w:rFonts w:ascii="Courier New" w:hAnsi="Courier New" w:cs="Courier New"/>
        </w:rPr>
        <w:t xml:space="preserve">       00010000110000000000000001?0100001201010101000010020000110101010210101010001100001011100-10100010010-111011111000100010011000100000101?1002020??0011000??10110000001--1110000010010110110?11111000000111?1000--000000010?0011000000000000001000001010111?0010001100(0 1)?010???00??000010100010??????10?0?12121?10-011000100-?0100?1?1111020?1?0??1??000000000000000001</w:t>
      </w:r>
    </w:p>
    <w:p w14:paraId="6BCFEA61"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Cyclotosaurus_intermedius</w:t>
      </w:r>
      <w:proofErr w:type="spellEnd"/>
      <w:r w:rsidRPr="005A3E86">
        <w:rPr>
          <w:rFonts w:ascii="Courier New" w:hAnsi="Courier New" w:cs="Courier New"/>
        </w:rPr>
        <w:t xml:space="preserve">      00010000110000000000000001?0100001101010101000010020000110101010210100010201100001011101010100010010-111011111001100010011000100000101?1002021010?????0???????????????????000010010110110?11011?????????????????0?000010?001100000000000000100000?000000???100001000?00001-?0???????????????????????0?00???????011000100-?0?00?1???????0-???????00?0000000000000001</w:t>
      </w:r>
    </w:p>
    <w:p w14:paraId="225F6FA5"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Mastodonsaurus_giganteus</w:t>
      </w:r>
      <w:proofErr w:type="spellEnd"/>
      <w:r w:rsidRPr="005A3E86">
        <w:rPr>
          <w:rFonts w:ascii="Courier New" w:hAnsi="Courier New" w:cs="Courier New"/>
        </w:rPr>
        <w:t xml:space="preserve">       000100001100010000(0 1)0000001?0000001201010101000000020000110101010110001010211100001011101110100010010-111011111000100010011000100000101?1?120200100111?0??(0 1)011010000010(0 1)110000010010110100?110111?000011111??0--000000010?00110000000000000010000010101100001000110010010002101?0000101000112211??1??0102121?10-011000100-?0100?1?1111000?1?010100000000000000000001</w:t>
      </w:r>
    </w:p>
    <w:p w14:paraId="424ACFB4"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Chinlestegophis_jenkinsi</w:t>
      </w:r>
      <w:proofErr w:type="spellEnd"/>
      <w:r w:rsidRPr="005A3E86">
        <w:rPr>
          <w:rFonts w:ascii="Courier New" w:hAnsi="Courier New" w:cs="Courier New"/>
        </w:rPr>
        <w:t xml:space="preserve">       00000?000?00?0110001---011?010001?-010100??101000001210?001010?1-0???10102?10?000??1?00??????????????0110?0010000110?1????1????0?1011?????1001000??????????101???????????????00?01010011??111?1?????????????????2?0000?-?100?10120001000?0????0001?10??1?01?000101111?10?0110??00??????????????????????00???????01000100-?(0 1)??-?1?????????1?1??00100?0??0?10?000000?</w:t>
      </w:r>
    </w:p>
    <w:p w14:paraId="4B0F0029"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Rileymillerus_cosgriffi</w:t>
      </w:r>
      <w:proofErr w:type="spellEnd"/>
      <w:r w:rsidRPr="005A3E86">
        <w:rPr>
          <w:rFonts w:ascii="Courier New" w:hAnsi="Courier New" w:cs="Courier New"/>
        </w:rPr>
        <w:t xml:space="preserve">        00000?000????0?????????011?01?01---0?2100??10????1-??--100???001-????00102?100000201110??1??00010010-11???1?10000?-100?1011?0100000112?0?0?0????????????????????????????????????????????????????????????????????2?0?00???000?0?1-????0???0???00001010101?01100010?????10?0??0???????????????????????????????????0?000?00-?0?0-?1??????0?????????20?0000?01000000?01</w:t>
      </w:r>
    </w:p>
    <w:p w14:paraId="19860195"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Triadobatrachus_massinoti</w:t>
      </w:r>
      <w:proofErr w:type="spellEnd"/>
      <w:r w:rsidRPr="005A3E86">
        <w:rPr>
          <w:rFonts w:ascii="Courier New" w:hAnsi="Courier New" w:cs="Courier New"/>
        </w:rPr>
        <w:t xml:space="preserve">      ?02????00????11????????121?10?01---??01?????1----00--1-???1---0---??1---10?????????1-11?????????1?1?-10-1?21000000-110---?0------0010200??0-?0??0001?000?31(0 1)00????10?210??1001---------00?211211?1002111101?0??01111--?????1???121?1?2--?1?????000110?1?1001000202-?-???3??-10112?1???0010122211001?1000010001?-10101110??0-?0???????1001001????2?0111110000010000?</w:t>
      </w:r>
    </w:p>
    <w:p w14:paraId="44F77F0E"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Leptodactylus_mystacinus</w:t>
      </w:r>
      <w:proofErr w:type="spellEnd"/>
      <w:r w:rsidRPr="005A3E86">
        <w:rPr>
          <w:rFonts w:ascii="Courier New" w:hAnsi="Courier New" w:cs="Courier New"/>
        </w:rPr>
        <w:t xml:space="preserve">       102????0010011100011---121?10?01---00-------?----00--0-???1---0---0?1---?1?1001112?1-110-1000?001111-10-1021010000-110---00------0010200??0-????00011000?31110????10?2????---1---------00?21121111002111101?0??02011--???0010-0121?0?2--?10000000111011010010002?2-2-???3??-10112?????0010122211?01?10000000011-??111130110-100?00-?0002?00100000?01111100000100000</w:t>
      </w:r>
    </w:p>
    <w:p w14:paraId="65D21254"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Xenopus_tropicalis</w:t>
      </w:r>
      <w:proofErr w:type="spellEnd"/>
      <w:r w:rsidRPr="005A3E86">
        <w:rPr>
          <w:rFonts w:ascii="Courier New" w:hAnsi="Courier New" w:cs="Courier New"/>
        </w:rPr>
        <w:t xml:space="preserve">             002????0010001110011---121?10?11---0?-------?----00--1-???1---0---??1---?2?10??11??1-11????0????1?1?-10-1021000000-110---??------0010200??0-?0??01011000?31110????10?2(0 1)???---1---------01?21121111002111101?0???3011--???1110-0221?0?2--?100120001110???10010002?2-2-???3??-10112?1???001012221??(0 1)1?10000000011-??111?101?0-?00?00-?0130?00100000?01111100000100000</w:t>
      </w:r>
    </w:p>
    <w:p w14:paraId="4715FCFA"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Celtedens_ibericus</w:t>
      </w:r>
      <w:proofErr w:type="spellEnd"/>
      <w:r w:rsidRPr="005A3E86">
        <w:rPr>
          <w:rFonts w:ascii="Courier New" w:hAnsi="Courier New" w:cs="Courier New"/>
        </w:rPr>
        <w:t xml:space="preserve">             00000000010000000001---011?10001---000111-000----1-----0001---0---??0-???2?10?001??1-10???????????1?-?0-0?21???1?????0---??------0010?00000-00110????????10000????00?21?00---?---------01?2112111000??1??0000--03101--0101111002-1?0????1100120?0??????????1?10202-2-02031?-1??1201????01020??1??0????00000000?-000011??0?0-???1???????020???????00111?1??00001000?</w:t>
      </w:r>
    </w:p>
    <w:p w14:paraId="3196E235"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Karaurus_sharovi</w:t>
      </w:r>
      <w:proofErr w:type="spellEnd"/>
      <w:r w:rsidRPr="005A3E86">
        <w:rPr>
          <w:rFonts w:ascii="Courier New" w:hAnsi="Courier New" w:cs="Courier New"/>
        </w:rPr>
        <w:t xml:space="preserve">               001?0?10110000100010000021?10001---00000-0?01----1-11--???1---0---???---?1?10?001??1-11???????????-??10-??1??????0-?00-----------??102?0??00????0????????30110????10?210??---?---------00?211110100111?1111?0??022101-01210??101-1?1?2--110??00000-100-1?0?1?0???????????????0?12??????0?????21100?????2110100-?01101?101?0??0????????00???????02?011111000-21010??</w:t>
      </w:r>
    </w:p>
    <w:p w14:paraId="0470C780"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Kokartus_honorarius</w:t>
      </w:r>
      <w:proofErr w:type="spellEnd"/>
      <w:r w:rsidRPr="005A3E86">
        <w:rPr>
          <w:rFonts w:ascii="Courier New" w:hAnsi="Courier New" w:cs="Courier New"/>
        </w:rPr>
        <w:t xml:space="preserve">            001???1011001?10001????0?1?10001---0????????1????1-10--???1?--0---???-???1?10?0011?1-11??10?0?0???-??10-0011100000-110-----------0?1020???00?00?0??????1???100?1?110?2????---?---------?????????????????????????2??01???????????-????????1????????-???-????????????????????????1????????????????????????????????????????????????????????????????2?011111000-21011??</w:t>
      </w:r>
    </w:p>
    <w:p w14:paraId="75A22E79"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Ambystoma_opacum</w:t>
      </w:r>
      <w:proofErr w:type="spellEnd"/>
      <w:r w:rsidRPr="005A3E86">
        <w:rPr>
          <w:rFonts w:ascii="Courier New" w:hAnsi="Courier New" w:cs="Courier New"/>
        </w:rPr>
        <w:t xml:space="preserve">               002????0010000110001---121?10001---00000--?11----1-??--???1---0---??1---?2?10?1111?1-110-100000011-1?10-0011100000-111-----------1011200??0-?0??0001?000?31110????10?211??---?---------00221111111000101101?0??031101-???1010202-1?1?2--?101000001-101-110010002?2-2-?1?3??-10012001101110222211101????0??0100?-??101130110-000000-?01201010?00010011111000-21011?0</w:t>
      </w:r>
    </w:p>
    <w:p w14:paraId="69DDC1E7" w14:textId="0103B561" w:rsidR="005A3E86" w:rsidRPr="005A3E86" w:rsidRDefault="005A3E86" w:rsidP="005A3E86">
      <w:pPr>
        <w:rPr>
          <w:rFonts w:ascii="Courier New" w:hAnsi="Courier New" w:cs="Courier New"/>
        </w:rPr>
      </w:pPr>
      <w:r w:rsidRPr="005A3E86">
        <w:rPr>
          <w:rFonts w:ascii="Courier New" w:hAnsi="Courier New" w:cs="Courier New"/>
        </w:rPr>
        <w:tab/>
        <w:t>Hynobius             002????00100211(0 1)0010000121?10001---01100-0?01----1-??--???1---0---??1---?2?10?1112?1-110-100000011-1?10-0011000000-111-----------0010200??0-?0?10001?000?31110????10?211??---?---------00221111111000101101?0??021101-0121010003-1?1?2--?101000000-101-110010002?2-2-?1?3??-10012001101110222211101????0??0100?-??101130110-000000-?01201011010010011111000-21011?0</w:t>
      </w:r>
    </w:p>
    <w:p w14:paraId="7B64B51F"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Cryptobranchus_allegheniensis</w:t>
      </w:r>
      <w:proofErr w:type="spellEnd"/>
      <w:r w:rsidRPr="005A3E86">
        <w:rPr>
          <w:rFonts w:ascii="Courier New" w:hAnsi="Courier New" w:cs="Courier New"/>
        </w:rPr>
        <w:t xml:space="preserve">  002????00100000100?1---121?10011---00200--?11----1-??--???1---0---??1---?1?10?1111?1-100-10?000011-1?00-0011000000-111-----------0011200??0-?0?10001?111?31110????10?211??---?---------00221111111000101101?0??001101-???1010203-1?1?2--?101000000-101-100010002?2-2-01?3??-10012001101110222211101????0??0100?-??101110110-000000-?002011010?0010011111000-21011?0</w:t>
      </w:r>
    </w:p>
    <w:p w14:paraId="61857047"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Triassurus_sixtelae</w:t>
      </w:r>
      <w:proofErr w:type="spellEnd"/>
      <w:r w:rsidRPr="005A3E86">
        <w:rPr>
          <w:rFonts w:ascii="Courier New" w:hAnsi="Courier New" w:cs="Courier New"/>
        </w:rPr>
        <w:t xml:space="preserve">            00?????00101???????????????????????0?????-?????????????????????????????????10?0????1?11???????????1?-?0-????000??????????????????????????????????????????3????????????1?0?---?---------?12?111????00??0???1?0??0????????????????????????????1??????????????1?0???????????????????????????????????0????1?0???0?????????????????0?????????????????1???11?1?00????110?</w:t>
      </w:r>
    </w:p>
    <w:p w14:paraId="5731441C"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Ichthyophis_bannannicus</w:t>
      </w:r>
      <w:proofErr w:type="spellEnd"/>
      <w:r w:rsidRPr="005A3E86">
        <w:rPr>
          <w:rFonts w:ascii="Courier New" w:hAnsi="Courier New" w:cs="Courier New"/>
        </w:rPr>
        <w:t xml:space="preserve">        0022???02(0 1)0000010001---011?11001---0?0000-??01?0-1-----0??1?--0---??1---?2?10?1?11?1-000-10?0??10111-00-00011000000011---1?------1010?01-01002-?0100?000?01001????10?21???---?---------???????????????????0?0??03301-0???1000112-????2--?1?112000111011111010001?2-1-11??01-11012?????1011122211???????????????-010000211?2-000?12111110101002201101111110001010011</w:t>
      </w:r>
    </w:p>
    <w:p w14:paraId="180ECABA"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Epicrionops_bicolor</w:t>
      </w:r>
      <w:proofErr w:type="spellEnd"/>
      <w:r w:rsidRPr="005A3E86">
        <w:rPr>
          <w:rFonts w:ascii="Courier New" w:hAnsi="Courier New" w:cs="Courier New"/>
        </w:rPr>
        <w:t xml:space="preserve">            0002???00(0 1)0000010001---011?11001---0?????-??01?0-1-----0??1?--0---??1---?2?10?10?1?1-000-10???010111-00-00011000000011---1?------1010?01-01002-?0100?000?01001????10?21???---?---------???????????????????0?0??03301-????1001?12-??0?2--?10112000?11011111010001?2-1-01??01-11012001001011122211???????????????-010??1310?1-000?12111110101002200101111110001010011</w:t>
      </w:r>
    </w:p>
    <w:p w14:paraId="0A841246"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Eocaecilia_micropodia</w:t>
      </w:r>
      <w:proofErr w:type="spellEnd"/>
      <w:r w:rsidRPr="005A3E86">
        <w:rPr>
          <w:rFonts w:ascii="Courier New" w:hAnsi="Courier New" w:cs="Courier New"/>
        </w:rPr>
        <w:t xml:space="preserve">          0022???0010000110001---011?11001---010100-?10----??12??00?1?-?0---0001???2?10?1111?2-100-1??00010110-00-000010000??111---01------?011?01-01002-?0100?000?0?10?0????00210??---?---------00?11101????????100??0??0330000???0000111?1?1101001000000011001110101000??2-1-01??01-1?002?0100100122?2111013?1021210101-00000000??1-00?02????11020?0??210101111111000010000</w:t>
      </w:r>
    </w:p>
    <w:p w14:paraId="07BDAC99"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Funcusvermis_gilmorei</w:t>
      </w:r>
      <w:proofErr w:type="spellEnd"/>
      <w:r w:rsidRPr="005A3E86">
        <w:rPr>
          <w:rFonts w:ascii="Courier New" w:hAnsi="Courier New" w:cs="Courier New"/>
        </w:rPr>
        <w:t xml:space="preserve">          ???????????????????????????????????????????????????????????????????????????10?1?1??????????????????????????????????????????????????????0?01002-????????????????????0?2??????????????????????????????????0?????????????????????????????????????0???????1??????00??2-1-?0??0?-1???2??????????????????????????????-??????????0-?????????????????????1??????0???1????10</w:t>
      </w:r>
    </w:p>
    <w:p w14:paraId="129320A8" w14:textId="77777777" w:rsidR="005A3E86" w:rsidRPr="005A3E86" w:rsidRDefault="005A3E86" w:rsidP="005A3E86">
      <w:pPr>
        <w:rPr>
          <w:rFonts w:ascii="Courier New" w:hAnsi="Courier New" w:cs="Courier New"/>
        </w:rPr>
      </w:pPr>
    </w:p>
    <w:p w14:paraId="315893EA" w14:textId="77777777" w:rsidR="005A3E86" w:rsidRPr="005A3E86" w:rsidRDefault="005A3E86" w:rsidP="005A3E86">
      <w:pPr>
        <w:rPr>
          <w:rFonts w:ascii="Courier New" w:hAnsi="Courier New" w:cs="Courier New"/>
        </w:rPr>
      </w:pPr>
      <w:r w:rsidRPr="005A3E86">
        <w:rPr>
          <w:rFonts w:ascii="Courier New" w:hAnsi="Courier New" w:cs="Courier New"/>
        </w:rPr>
        <w:t>;</w:t>
      </w:r>
    </w:p>
    <w:p w14:paraId="2E2F4B68" w14:textId="77777777" w:rsidR="005A3E86" w:rsidRPr="005A3E86" w:rsidRDefault="005A3E86" w:rsidP="005A3E86">
      <w:pPr>
        <w:rPr>
          <w:rFonts w:ascii="Courier New" w:hAnsi="Courier New" w:cs="Courier New"/>
        </w:rPr>
      </w:pPr>
      <w:r w:rsidRPr="005A3E86">
        <w:rPr>
          <w:rFonts w:ascii="Courier New" w:hAnsi="Courier New" w:cs="Courier New"/>
        </w:rPr>
        <w:t>END;</w:t>
      </w:r>
    </w:p>
    <w:p w14:paraId="537DA334" w14:textId="77777777" w:rsidR="005A3E86" w:rsidRPr="005A3E86" w:rsidRDefault="005A3E86" w:rsidP="005A3E86">
      <w:pPr>
        <w:rPr>
          <w:rFonts w:ascii="Courier New" w:hAnsi="Courier New" w:cs="Courier New"/>
        </w:rPr>
      </w:pPr>
      <w:r w:rsidRPr="005A3E86">
        <w:rPr>
          <w:rFonts w:ascii="Courier New" w:hAnsi="Courier New" w:cs="Courier New"/>
        </w:rPr>
        <w:t xml:space="preserve">begin </w:t>
      </w:r>
      <w:proofErr w:type="spellStart"/>
      <w:r w:rsidRPr="005A3E86">
        <w:rPr>
          <w:rFonts w:ascii="Courier New" w:hAnsi="Courier New" w:cs="Courier New"/>
        </w:rPr>
        <w:t>mrbayes</w:t>
      </w:r>
      <w:proofErr w:type="spellEnd"/>
      <w:r w:rsidRPr="005A3E86">
        <w:rPr>
          <w:rFonts w:ascii="Courier New" w:hAnsi="Courier New" w:cs="Courier New"/>
        </w:rPr>
        <w:t>;</w:t>
      </w:r>
    </w:p>
    <w:p w14:paraId="15EAF582" w14:textId="77777777" w:rsidR="005A3E86" w:rsidRPr="005A3E86" w:rsidRDefault="005A3E86" w:rsidP="005A3E86">
      <w:pPr>
        <w:rPr>
          <w:rFonts w:ascii="Courier New" w:hAnsi="Courier New" w:cs="Courier New"/>
        </w:rPr>
      </w:pPr>
      <w:r w:rsidRPr="005A3E86">
        <w:rPr>
          <w:rFonts w:ascii="Courier New" w:hAnsi="Courier New" w:cs="Courier New"/>
        </w:rPr>
        <w:tab/>
        <w:t xml:space="preserve">set </w:t>
      </w:r>
      <w:proofErr w:type="spellStart"/>
      <w:r w:rsidRPr="005A3E86">
        <w:rPr>
          <w:rFonts w:ascii="Courier New" w:hAnsi="Courier New" w:cs="Courier New"/>
        </w:rPr>
        <w:t>autoclose</w:t>
      </w:r>
      <w:proofErr w:type="spellEnd"/>
      <w:r w:rsidRPr="005A3E86">
        <w:rPr>
          <w:rFonts w:ascii="Courier New" w:hAnsi="Courier New" w:cs="Courier New"/>
        </w:rPr>
        <w:t xml:space="preserve">=yes </w:t>
      </w:r>
      <w:proofErr w:type="spellStart"/>
      <w:r w:rsidRPr="005A3E86">
        <w:rPr>
          <w:rFonts w:ascii="Courier New" w:hAnsi="Courier New" w:cs="Courier New"/>
        </w:rPr>
        <w:t>nowarn</w:t>
      </w:r>
      <w:proofErr w:type="spellEnd"/>
      <w:r w:rsidRPr="005A3E86">
        <w:rPr>
          <w:rFonts w:ascii="Courier New" w:hAnsi="Courier New" w:cs="Courier New"/>
        </w:rPr>
        <w:t>=yes;</w:t>
      </w:r>
    </w:p>
    <w:p w14:paraId="71D93A1D"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lset</w:t>
      </w:r>
      <w:proofErr w:type="spellEnd"/>
      <w:r w:rsidRPr="005A3E86">
        <w:rPr>
          <w:rFonts w:ascii="Courier New" w:hAnsi="Courier New" w:cs="Courier New"/>
        </w:rPr>
        <w:t xml:space="preserve"> rates=gamma;</w:t>
      </w:r>
    </w:p>
    <w:p w14:paraId="35976C16"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prset</w:t>
      </w:r>
      <w:proofErr w:type="spellEnd"/>
      <w:r w:rsidRPr="005A3E86">
        <w:rPr>
          <w:rFonts w:ascii="Courier New" w:hAnsi="Courier New" w:cs="Courier New"/>
        </w:rPr>
        <w:t xml:space="preserve"> </w:t>
      </w:r>
      <w:proofErr w:type="spellStart"/>
      <w:r w:rsidRPr="005A3E86">
        <w:rPr>
          <w:rFonts w:ascii="Courier New" w:hAnsi="Courier New" w:cs="Courier New"/>
        </w:rPr>
        <w:t>applyto</w:t>
      </w:r>
      <w:proofErr w:type="spellEnd"/>
      <w:r w:rsidRPr="005A3E86">
        <w:rPr>
          <w:rFonts w:ascii="Courier New" w:hAnsi="Courier New" w:cs="Courier New"/>
        </w:rPr>
        <w:t xml:space="preserve">=(all) </w:t>
      </w:r>
      <w:proofErr w:type="spellStart"/>
      <w:r w:rsidRPr="005A3E86">
        <w:rPr>
          <w:rFonts w:ascii="Courier New" w:hAnsi="Courier New" w:cs="Courier New"/>
        </w:rPr>
        <w:t>ratepr</w:t>
      </w:r>
      <w:proofErr w:type="spellEnd"/>
      <w:r w:rsidRPr="005A3E86">
        <w:rPr>
          <w:rFonts w:ascii="Courier New" w:hAnsi="Courier New" w:cs="Courier New"/>
        </w:rPr>
        <w:t>=variable;</w:t>
      </w:r>
    </w:p>
    <w:p w14:paraId="0D1A6415"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mcmcp</w:t>
      </w:r>
      <w:proofErr w:type="spellEnd"/>
      <w:r w:rsidRPr="005A3E86">
        <w:rPr>
          <w:rFonts w:ascii="Courier New" w:hAnsi="Courier New" w:cs="Courier New"/>
        </w:rPr>
        <w:t xml:space="preserve"> </w:t>
      </w:r>
      <w:proofErr w:type="spellStart"/>
      <w:r w:rsidRPr="005A3E86">
        <w:rPr>
          <w:rFonts w:ascii="Courier New" w:hAnsi="Courier New" w:cs="Courier New"/>
        </w:rPr>
        <w:t>ngen</w:t>
      </w:r>
      <w:proofErr w:type="spellEnd"/>
      <w:r w:rsidRPr="005A3E86">
        <w:rPr>
          <w:rFonts w:ascii="Courier New" w:hAnsi="Courier New" w:cs="Courier New"/>
        </w:rPr>
        <w:t xml:space="preserve">= 10000000 </w:t>
      </w:r>
      <w:proofErr w:type="spellStart"/>
      <w:r w:rsidRPr="005A3E86">
        <w:rPr>
          <w:rFonts w:ascii="Courier New" w:hAnsi="Courier New" w:cs="Courier New"/>
        </w:rPr>
        <w:t>relburnin</w:t>
      </w:r>
      <w:proofErr w:type="spellEnd"/>
      <w:r w:rsidRPr="005A3E86">
        <w:rPr>
          <w:rFonts w:ascii="Courier New" w:hAnsi="Courier New" w:cs="Courier New"/>
        </w:rPr>
        <w:t xml:space="preserve">=yes </w:t>
      </w:r>
      <w:proofErr w:type="spellStart"/>
      <w:r w:rsidRPr="005A3E86">
        <w:rPr>
          <w:rFonts w:ascii="Courier New" w:hAnsi="Courier New" w:cs="Courier New"/>
        </w:rPr>
        <w:t>burninfrac</w:t>
      </w:r>
      <w:proofErr w:type="spellEnd"/>
      <w:r w:rsidRPr="005A3E86">
        <w:rPr>
          <w:rFonts w:ascii="Courier New" w:hAnsi="Courier New" w:cs="Courier New"/>
        </w:rPr>
        <w:t xml:space="preserve">=0.25 </w:t>
      </w:r>
      <w:proofErr w:type="spellStart"/>
      <w:r w:rsidRPr="005A3E86">
        <w:rPr>
          <w:rFonts w:ascii="Courier New" w:hAnsi="Courier New" w:cs="Courier New"/>
        </w:rPr>
        <w:t>printfreq</w:t>
      </w:r>
      <w:proofErr w:type="spellEnd"/>
      <w:r w:rsidRPr="005A3E86">
        <w:rPr>
          <w:rFonts w:ascii="Courier New" w:hAnsi="Courier New" w:cs="Courier New"/>
        </w:rPr>
        <w:t xml:space="preserve">=1000  </w:t>
      </w:r>
      <w:proofErr w:type="spellStart"/>
      <w:r w:rsidRPr="005A3E86">
        <w:rPr>
          <w:rFonts w:ascii="Courier New" w:hAnsi="Courier New" w:cs="Courier New"/>
        </w:rPr>
        <w:t>samplefreq</w:t>
      </w:r>
      <w:proofErr w:type="spellEnd"/>
      <w:r w:rsidRPr="005A3E86">
        <w:rPr>
          <w:rFonts w:ascii="Courier New" w:hAnsi="Courier New" w:cs="Courier New"/>
        </w:rPr>
        <w:t xml:space="preserve">=1000 </w:t>
      </w:r>
      <w:proofErr w:type="spellStart"/>
      <w:r w:rsidRPr="005A3E86">
        <w:rPr>
          <w:rFonts w:ascii="Courier New" w:hAnsi="Courier New" w:cs="Courier New"/>
        </w:rPr>
        <w:t>nruns</w:t>
      </w:r>
      <w:proofErr w:type="spellEnd"/>
      <w:r w:rsidRPr="005A3E86">
        <w:rPr>
          <w:rFonts w:ascii="Courier New" w:hAnsi="Courier New" w:cs="Courier New"/>
        </w:rPr>
        <w:t xml:space="preserve">=4 </w:t>
      </w:r>
      <w:proofErr w:type="spellStart"/>
      <w:r w:rsidRPr="005A3E86">
        <w:rPr>
          <w:rFonts w:ascii="Courier New" w:hAnsi="Courier New" w:cs="Courier New"/>
        </w:rPr>
        <w:t>nchains</w:t>
      </w:r>
      <w:proofErr w:type="spellEnd"/>
      <w:r w:rsidRPr="005A3E86">
        <w:rPr>
          <w:rFonts w:ascii="Courier New" w:hAnsi="Courier New" w:cs="Courier New"/>
        </w:rPr>
        <w:t xml:space="preserve">=6 </w:t>
      </w:r>
      <w:proofErr w:type="spellStart"/>
      <w:r w:rsidRPr="005A3E86">
        <w:rPr>
          <w:rFonts w:ascii="Courier New" w:hAnsi="Courier New" w:cs="Courier New"/>
        </w:rPr>
        <w:t>savebrlens</w:t>
      </w:r>
      <w:proofErr w:type="spellEnd"/>
      <w:r w:rsidRPr="005A3E86">
        <w:rPr>
          <w:rFonts w:ascii="Courier New" w:hAnsi="Courier New" w:cs="Courier New"/>
        </w:rPr>
        <w:t>=yes;</w:t>
      </w:r>
    </w:p>
    <w:p w14:paraId="487E362C"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mcmc</w:t>
      </w:r>
      <w:proofErr w:type="spellEnd"/>
      <w:r w:rsidRPr="005A3E86">
        <w:rPr>
          <w:rFonts w:ascii="Courier New" w:hAnsi="Courier New" w:cs="Courier New"/>
        </w:rPr>
        <w:t>;</w:t>
      </w:r>
    </w:p>
    <w:p w14:paraId="2CF106D5" w14:textId="77777777" w:rsidR="005A3E86" w:rsidRPr="005A3E86" w:rsidRDefault="005A3E86" w:rsidP="005A3E86">
      <w:pPr>
        <w:rPr>
          <w:rFonts w:ascii="Courier New" w:hAnsi="Courier New" w:cs="Courier New"/>
        </w:rPr>
      </w:pPr>
      <w:r w:rsidRPr="005A3E86">
        <w:rPr>
          <w:rFonts w:ascii="Courier New" w:hAnsi="Courier New" w:cs="Courier New"/>
        </w:rPr>
        <w:tab/>
        <w:t>sump;</w:t>
      </w:r>
    </w:p>
    <w:p w14:paraId="359FF2D8" w14:textId="77777777" w:rsidR="005A3E86" w:rsidRPr="005A3E86" w:rsidRDefault="005A3E86" w:rsidP="005A3E86">
      <w:pPr>
        <w:rPr>
          <w:rFonts w:ascii="Courier New" w:hAnsi="Courier New" w:cs="Courier New"/>
        </w:rPr>
      </w:pPr>
      <w:r w:rsidRPr="005A3E86">
        <w:rPr>
          <w:rFonts w:ascii="Courier New" w:hAnsi="Courier New" w:cs="Courier New"/>
        </w:rPr>
        <w:tab/>
      </w:r>
      <w:proofErr w:type="spellStart"/>
      <w:r w:rsidRPr="005A3E86">
        <w:rPr>
          <w:rFonts w:ascii="Courier New" w:hAnsi="Courier New" w:cs="Courier New"/>
        </w:rPr>
        <w:t>sumt</w:t>
      </w:r>
      <w:proofErr w:type="spellEnd"/>
      <w:r w:rsidRPr="005A3E86">
        <w:rPr>
          <w:rFonts w:ascii="Courier New" w:hAnsi="Courier New" w:cs="Courier New"/>
        </w:rPr>
        <w:t>;</w:t>
      </w:r>
    </w:p>
    <w:p w14:paraId="54341DA9" w14:textId="77777777" w:rsidR="005A3E86" w:rsidRPr="005A3E86" w:rsidRDefault="005A3E86" w:rsidP="005A3E86">
      <w:pPr>
        <w:rPr>
          <w:rFonts w:ascii="Courier New" w:hAnsi="Courier New" w:cs="Courier New"/>
        </w:rPr>
      </w:pPr>
      <w:r w:rsidRPr="005A3E86">
        <w:rPr>
          <w:rFonts w:ascii="Courier New" w:hAnsi="Courier New" w:cs="Courier New"/>
        </w:rPr>
        <w:t>end;</w:t>
      </w:r>
    </w:p>
    <w:p w14:paraId="394EE156" w14:textId="033A3027" w:rsidR="00D01A5E" w:rsidRPr="004777E3" w:rsidRDefault="00D01A5E" w:rsidP="005A3E86"/>
    <w:sectPr w:rsidR="00D01A5E" w:rsidRPr="004777E3" w:rsidSect="00062F7E">
      <w:footerReference w:type="even" r:id="rId15"/>
      <w:footerReference w:type="default" r:id="rId16"/>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BACBE" w14:textId="77777777" w:rsidR="00977798" w:rsidRDefault="00977798" w:rsidP="00BD3350">
      <w:r>
        <w:separator/>
      </w:r>
    </w:p>
  </w:endnote>
  <w:endnote w:type="continuationSeparator" w:id="0">
    <w:p w14:paraId="71F70001" w14:textId="77777777" w:rsidR="00977798" w:rsidRDefault="00977798" w:rsidP="00BD3350">
      <w:r>
        <w:continuationSeparator/>
      </w:r>
    </w:p>
  </w:endnote>
  <w:endnote w:type="continuationNotice" w:id="1">
    <w:p w14:paraId="38C15752" w14:textId="77777777" w:rsidR="00977798" w:rsidRDefault="009777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79805937"/>
      <w:docPartObj>
        <w:docPartGallery w:val="Page Numbers (Bottom of Page)"/>
        <w:docPartUnique/>
      </w:docPartObj>
    </w:sdtPr>
    <w:sdtContent>
      <w:p w14:paraId="1BD8B04C" w14:textId="2CD10E3A" w:rsidR="00080CC1" w:rsidRDefault="00080CC1" w:rsidP="008544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3FA7EA0" w14:textId="77777777" w:rsidR="00080CC1" w:rsidRDefault="00080CC1" w:rsidP="00BD335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2826988"/>
      <w:docPartObj>
        <w:docPartGallery w:val="Page Numbers (Bottom of Page)"/>
        <w:docPartUnique/>
      </w:docPartObj>
    </w:sdtPr>
    <w:sdtEndPr>
      <w:rPr>
        <w:noProof/>
      </w:rPr>
    </w:sdtEndPr>
    <w:sdtContent>
      <w:p w14:paraId="40C308F1" w14:textId="0E53D41B" w:rsidR="0038299B" w:rsidRDefault="0038299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281A008" w14:textId="77777777" w:rsidR="00080CC1" w:rsidRDefault="00080CC1" w:rsidP="00BD335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46013330"/>
      <w:docPartObj>
        <w:docPartGallery w:val="Page Numbers (Bottom of Page)"/>
        <w:docPartUnique/>
      </w:docPartObj>
    </w:sdtPr>
    <w:sdtContent>
      <w:p w14:paraId="6E913AA6" w14:textId="77777777" w:rsidR="00025444" w:rsidRDefault="00025444" w:rsidP="008544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83E77E" w14:textId="77777777" w:rsidR="00025444" w:rsidRDefault="00025444" w:rsidP="00BD335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3240884"/>
      <w:docPartObj>
        <w:docPartGallery w:val="Page Numbers (Bottom of Page)"/>
        <w:docPartUnique/>
      </w:docPartObj>
    </w:sdtPr>
    <w:sdtEndPr>
      <w:rPr>
        <w:noProof/>
      </w:rPr>
    </w:sdtEndPr>
    <w:sdtContent>
      <w:p w14:paraId="42072104" w14:textId="77777777" w:rsidR="00025444" w:rsidRDefault="0002544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8A7A56" w14:textId="77777777" w:rsidR="00025444" w:rsidRDefault="00025444" w:rsidP="00BD3350">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12057136"/>
      <w:docPartObj>
        <w:docPartGallery w:val="Page Numbers (Bottom of Page)"/>
        <w:docPartUnique/>
      </w:docPartObj>
    </w:sdtPr>
    <w:sdtContent>
      <w:p w14:paraId="21D1B845" w14:textId="77777777" w:rsidR="00F3686E" w:rsidRDefault="00F3686E" w:rsidP="008544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596F2F5" w14:textId="77777777" w:rsidR="00F3686E" w:rsidRDefault="00F3686E" w:rsidP="00BD3350">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532874"/>
      <w:docPartObj>
        <w:docPartGallery w:val="Page Numbers (Bottom of Page)"/>
        <w:docPartUnique/>
      </w:docPartObj>
    </w:sdtPr>
    <w:sdtEndPr>
      <w:rPr>
        <w:noProof/>
      </w:rPr>
    </w:sdtEndPr>
    <w:sdtContent>
      <w:p w14:paraId="317EA111" w14:textId="77777777" w:rsidR="00F3686E" w:rsidRDefault="00F3686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1F5DCB8" w14:textId="77777777" w:rsidR="00F3686E" w:rsidRDefault="00F3686E" w:rsidP="00BD335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0465E" w14:textId="77777777" w:rsidR="00977798" w:rsidRDefault="00977798" w:rsidP="00BD3350">
      <w:r>
        <w:separator/>
      </w:r>
    </w:p>
  </w:footnote>
  <w:footnote w:type="continuationSeparator" w:id="0">
    <w:p w14:paraId="34607A3D" w14:textId="77777777" w:rsidR="00977798" w:rsidRDefault="00977798" w:rsidP="00BD3350">
      <w:r>
        <w:continuationSeparator/>
      </w:r>
    </w:p>
  </w:footnote>
  <w:footnote w:type="continuationNotice" w:id="1">
    <w:p w14:paraId="1214C9C4" w14:textId="77777777" w:rsidR="00977798" w:rsidRDefault="0097779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56AF"/>
    <w:multiLevelType w:val="hybridMultilevel"/>
    <w:tmpl w:val="4B6611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B1BAE"/>
    <w:multiLevelType w:val="hybridMultilevel"/>
    <w:tmpl w:val="2132F5E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4D7775"/>
    <w:multiLevelType w:val="hybridMultilevel"/>
    <w:tmpl w:val="291099E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8524EC"/>
    <w:multiLevelType w:val="hybridMultilevel"/>
    <w:tmpl w:val="73B6A83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A772CED"/>
    <w:multiLevelType w:val="hybridMultilevel"/>
    <w:tmpl w:val="6AEC5C0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C561DD"/>
    <w:multiLevelType w:val="hybridMultilevel"/>
    <w:tmpl w:val="68087BE6"/>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B21254B"/>
    <w:multiLevelType w:val="hybridMultilevel"/>
    <w:tmpl w:val="ADF2B7B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E477E0F"/>
    <w:multiLevelType w:val="hybridMultilevel"/>
    <w:tmpl w:val="AC583FC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07461E3"/>
    <w:multiLevelType w:val="hybridMultilevel"/>
    <w:tmpl w:val="0CF8015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EF294E"/>
    <w:multiLevelType w:val="multilevel"/>
    <w:tmpl w:val="52C850A2"/>
    <w:styleLink w:val="CurrentList1"/>
    <w:lvl w:ilvl="0">
      <w:start w:val="1"/>
      <w:numFmt w:val="decimal"/>
      <w:lvlText w:val="%1."/>
      <w:lvlJc w:val="left"/>
      <w:pPr>
        <w:ind w:left="720" w:hanging="360"/>
      </w:pPr>
      <w:rPr>
        <w:b w:val="0"/>
        <w:bCs w:val="0"/>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2D77A59"/>
    <w:multiLevelType w:val="hybridMultilevel"/>
    <w:tmpl w:val="F1D05F2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4E248C8"/>
    <w:multiLevelType w:val="hybridMultilevel"/>
    <w:tmpl w:val="EDA69BF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2C5626"/>
    <w:multiLevelType w:val="hybridMultilevel"/>
    <w:tmpl w:val="84DC730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7EC5EFC"/>
    <w:multiLevelType w:val="hybridMultilevel"/>
    <w:tmpl w:val="44B64F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D970C3"/>
    <w:multiLevelType w:val="hybridMultilevel"/>
    <w:tmpl w:val="900A7D4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7727C5"/>
    <w:multiLevelType w:val="hybridMultilevel"/>
    <w:tmpl w:val="F940C65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354B43"/>
    <w:multiLevelType w:val="hybridMultilevel"/>
    <w:tmpl w:val="107A65F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E392B0E"/>
    <w:multiLevelType w:val="hybridMultilevel"/>
    <w:tmpl w:val="0320205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FCE649F"/>
    <w:multiLevelType w:val="hybridMultilevel"/>
    <w:tmpl w:val="F9A012D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23F136A"/>
    <w:multiLevelType w:val="hybridMultilevel"/>
    <w:tmpl w:val="E88E383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1D1D44"/>
    <w:multiLevelType w:val="hybridMultilevel"/>
    <w:tmpl w:val="FCFA9394"/>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33193E"/>
    <w:multiLevelType w:val="hybridMultilevel"/>
    <w:tmpl w:val="4FD89DE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8F207E3"/>
    <w:multiLevelType w:val="hybridMultilevel"/>
    <w:tmpl w:val="6F4C363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A455D89"/>
    <w:multiLevelType w:val="hybridMultilevel"/>
    <w:tmpl w:val="4A1A3BA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A786BA8"/>
    <w:multiLevelType w:val="hybridMultilevel"/>
    <w:tmpl w:val="B3B472A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D6E20FC"/>
    <w:multiLevelType w:val="hybridMultilevel"/>
    <w:tmpl w:val="6F9ACEE2"/>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EE82442"/>
    <w:multiLevelType w:val="hybridMultilevel"/>
    <w:tmpl w:val="4FA6FC8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2F394A29"/>
    <w:multiLevelType w:val="hybridMultilevel"/>
    <w:tmpl w:val="B8D2C3A0"/>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2F97600C"/>
    <w:multiLevelType w:val="hybridMultilevel"/>
    <w:tmpl w:val="CD783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FF03CCE"/>
    <w:multiLevelType w:val="hybridMultilevel"/>
    <w:tmpl w:val="ED5A5AB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29F4C1B"/>
    <w:multiLevelType w:val="hybridMultilevel"/>
    <w:tmpl w:val="C3D6913C"/>
    <w:lvl w:ilvl="0" w:tplc="3A86B8B2">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4990C34"/>
    <w:multiLevelType w:val="hybridMultilevel"/>
    <w:tmpl w:val="C37C107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9595613"/>
    <w:multiLevelType w:val="hybridMultilevel"/>
    <w:tmpl w:val="A6FA55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C3907B0"/>
    <w:multiLevelType w:val="hybridMultilevel"/>
    <w:tmpl w:val="4E6275B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1272CA7"/>
    <w:multiLevelType w:val="hybridMultilevel"/>
    <w:tmpl w:val="6B54D32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A7709EA"/>
    <w:multiLevelType w:val="hybridMultilevel"/>
    <w:tmpl w:val="FBF201B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4ACB1249"/>
    <w:multiLevelType w:val="hybridMultilevel"/>
    <w:tmpl w:val="42588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ADB781E"/>
    <w:multiLevelType w:val="hybridMultilevel"/>
    <w:tmpl w:val="B78646B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4D322AA2"/>
    <w:multiLevelType w:val="hybridMultilevel"/>
    <w:tmpl w:val="779AF57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16A19FB"/>
    <w:multiLevelType w:val="hybridMultilevel"/>
    <w:tmpl w:val="D0640AA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52EB47F6"/>
    <w:multiLevelType w:val="hybridMultilevel"/>
    <w:tmpl w:val="EF02DE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39A6F40"/>
    <w:multiLevelType w:val="hybridMultilevel"/>
    <w:tmpl w:val="8E3AAA9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56762683"/>
    <w:multiLevelType w:val="hybridMultilevel"/>
    <w:tmpl w:val="6B7CCB0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7117CB8"/>
    <w:multiLevelType w:val="hybridMultilevel"/>
    <w:tmpl w:val="0344973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1792B17"/>
    <w:multiLevelType w:val="hybridMultilevel"/>
    <w:tmpl w:val="8DF8D57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3B569A6"/>
    <w:multiLevelType w:val="hybridMultilevel"/>
    <w:tmpl w:val="A42A826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6A5161E0"/>
    <w:multiLevelType w:val="hybridMultilevel"/>
    <w:tmpl w:val="1004B0F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B66719F"/>
    <w:multiLevelType w:val="hybridMultilevel"/>
    <w:tmpl w:val="3E76CA4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198293C"/>
    <w:multiLevelType w:val="hybridMultilevel"/>
    <w:tmpl w:val="14D812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2213711"/>
    <w:multiLevelType w:val="hybridMultilevel"/>
    <w:tmpl w:val="9D846C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24B06E1"/>
    <w:multiLevelType w:val="hybridMultilevel"/>
    <w:tmpl w:val="50AC5BE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44429BC"/>
    <w:multiLevelType w:val="hybridMultilevel"/>
    <w:tmpl w:val="B98A5B4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74EC655A"/>
    <w:multiLevelType w:val="hybridMultilevel"/>
    <w:tmpl w:val="DFF2F2A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75C552F5"/>
    <w:multiLevelType w:val="hybridMultilevel"/>
    <w:tmpl w:val="9A74F21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76847170"/>
    <w:multiLevelType w:val="hybridMultilevel"/>
    <w:tmpl w:val="627CA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8077BCF"/>
    <w:multiLevelType w:val="hybridMultilevel"/>
    <w:tmpl w:val="10E6A98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909226F"/>
    <w:multiLevelType w:val="hybridMultilevel"/>
    <w:tmpl w:val="1426635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9910DEE"/>
    <w:multiLevelType w:val="hybridMultilevel"/>
    <w:tmpl w:val="2960C82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79BB4E06"/>
    <w:multiLevelType w:val="hybridMultilevel"/>
    <w:tmpl w:val="0E204466"/>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7B59539F"/>
    <w:multiLevelType w:val="hybridMultilevel"/>
    <w:tmpl w:val="7102D6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C702DC1"/>
    <w:multiLevelType w:val="hybridMultilevel"/>
    <w:tmpl w:val="16F079B8"/>
    <w:lvl w:ilvl="0" w:tplc="24A88D04">
      <w:start w:val="1"/>
      <w:numFmt w:val="decimal"/>
      <w:lvlText w:val="%1."/>
      <w:lvlJc w:val="left"/>
      <w:pPr>
        <w:ind w:left="720" w:hanging="72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DB55307"/>
    <w:multiLevelType w:val="hybridMultilevel"/>
    <w:tmpl w:val="02A6DBC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5122485">
    <w:abstractNumId w:val="30"/>
  </w:num>
  <w:num w:numId="2" w16cid:durableId="1131899604">
    <w:abstractNumId w:val="36"/>
  </w:num>
  <w:num w:numId="3" w16cid:durableId="1473210985">
    <w:abstractNumId w:val="32"/>
  </w:num>
  <w:num w:numId="4" w16cid:durableId="2114473066">
    <w:abstractNumId w:val="49"/>
  </w:num>
  <w:num w:numId="5" w16cid:durableId="1088229491">
    <w:abstractNumId w:val="9"/>
  </w:num>
  <w:num w:numId="6" w16cid:durableId="580869757">
    <w:abstractNumId w:val="48"/>
  </w:num>
  <w:num w:numId="7" w16cid:durableId="57172694">
    <w:abstractNumId w:val="28"/>
  </w:num>
  <w:num w:numId="8" w16cid:durableId="1212958564">
    <w:abstractNumId w:val="54"/>
  </w:num>
  <w:num w:numId="9" w16cid:durableId="1302348596">
    <w:abstractNumId w:val="40"/>
  </w:num>
  <w:num w:numId="10" w16cid:durableId="1583835508">
    <w:abstractNumId w:val="59"/>
  </w:num>
  <w:num w:numId="11" w16cid:durableId="497962524">
    <w:abstractNumId w:val="60"/>
  </w:num>
  <w:num w:numId="12" w16cid:durableId="1634940740">
    <w:abstractNumId w:val="13"/>
  </w:num>
  <w:num w:numId="13" w16cid:durableId="568005811">
    <w:abstractNumId w:val="21"/>
  </w:num>
  <w:num w:numId="14" w16cid:durableId="968821896">
    <w:abstractNumId w:val="5"/>
  </w:num>
  <w:num w:numId="15" w16cid:durableId="327636068">
    <w:abstractNumId w:val="58"/>
  </w:num>
  <w:num w:numId="16" w16cid:durableId="1272516199">
    <w:abstractNumId w:val="51"/>
  </w:num>
  <w:num w:numId="17" w16cid:durableId="830605680">
    <w:abstractNumId w:val="23"/>
  </w:num>
  <w:num w:numId="18" w16cid:durableId="587811758">
    <w:abstractNumId w:val="34"/>
  </w:num>
  <w:num w:numId="19" w16cid:durableId="1348560964">
    <w:abstractNumId w:val="18"/>
  </w:num>
  <w:num w:numId="20" w16cid:durableId="22755815">
    <w:abstractNumId w:val="29"/>
  </w:num>
  <w:num w:numId="21" w16cid:durableId="1990133354">
    <w:abstractNumId w:val="35"/>
  </w:num>
  <w:num w:numId="22" w16cid:durableId="1295912743">
    <w:abstractNumId w:val="17"/>
  </w:num>
  <w:num w:numId="23" w16cid:durableId="656031013">
    <w:abstractNumId w:val="41"/>
  </w:num>
  <w:num w:numId="24" w16cid:durableId="1016686997">
    <w:abstractNumId w:val="26"/>
  </w:num>
  <w:num w:numId="25" w16cid:durableId="90203848">
    <w:abstractNumId w:val="52"/>
  </w:num>
  <w:num w:numId="26" w16cid:durableId="355887793">
    <w:abstractNumId w:val="7"/>
  </w:num>
  <w:num w:numId="27" w16cid:durableId="1763648963">
    <w:abstractNumId w:val="2"/>
  </w:num>
  <w:num w:numId="28" w16cid:durableId="1813523516">
    <w:abstractNumId w:val="37"/>
  </w:num>
  <w:num w:numId="29" w16cid:durableId="121774088">
    <w:abstractNumId w:val="53"/>
  </w:num>
  <w:num w:numId="30" w16cid:durableId="1169521545">
    <w:abstractNumId w:val="3"/>
  </w:num>
  <w:num w:numId="31" w16cid:durableId="929778223">
    <w:abstractNumId w:val="57"/>
  </w:num>
  <w:num w:numId="32" w16cid:durableId="1732269108">
    <w:abstractNumId w:val="39"/>
  </w:num>
  <w:num w:numId="33" w16cid:durableId="1006712166">
    <w:abstractNumId w:val="61"/>
  </w:num>
  <w:num w:numId="34" w16cid:durableId="2003240952">
    <w:abstractNumId w:val="16"/>
  </w:num>
  <w:num w:numId="35" w16cid:durableId="1223710311">
    <w:abstractNumId w:val="27"/>
  </w:num>
  <w:num w:numId="36" w16cid:durableId="158540990">
    <w:abstractNumId w:val="6"/>
  </w:num>
  <w:num w:numId="37" w16cid:durableId="1893425099">
    <w:abstractNumId w:val="1"/>
  </w:num>
  <w:num w:numId="38" w16cid:durableId="1501963994">
    <w:abstractNumId w:val="12"/>
  </w:num>
  <w:num w:numId="39" w16cid:durableId="287011449">
    <w:abstractNumId w:val="24"/>
  </w:num>
  <w:num w:numId="40" w16cid:durableId="915044747">
    <w:abstractNumId w:val="43"/>
  </w:num>
  <w:num w:numId="41" w16cid:durableId="2112511878">
    <w:abstractNumId w:val="44"/>
  </w:num>
  <w:num w:numId="42" w16cid:durableId="791901967">
    <w:abstractNumId w:val="10"/>
  </w:num>
  <w:num w:numId="43" w16cid:durableId="1974478947">
    <w:abstractNumId w:val="45"/>
  </w:num>
  <w:num w:numId="44" w16cid:durableId="649359040">
    <w:abstractNumId w:val="25"/>
  </w:num>
  <w:num w:numId="45" w16cid:durableId="173420651">
    <w:abstractNumId w:val="50"/>
  </w:num>
  <w:num w:numId="46" w16cid:durableId="1335105973">
    <w:abstractNumId w:val="15"/>
  </w:num>
  <w:num w:numId="47" w16cid:durableId="1254705998">
    <w:abstractNumId w:val="22"/>
  </w:num>
  <w:num w:numId="48" w16cid:durableId="457526276">
    <w:abstractNumId w:val="42"/>
  </w:num>
  <w:num w:numId="49" w16cid:durableId="527840197">
    <w:abstractNumId w:val="55"/>
  </w:num>
  <w:num w:numId="50" w16cid:durableId="338504758">
    <w:abstractNumId w:val="33"/>
  </w:num>
  <w:num w:numId="51" w16cid:durableId="715470330">
    <w:abstractNumId w:val="31"/>
  </w:num>
  <w:num w:numId="52" w16cid:durableId="614097503">
    <w:abstractNumId w:val="4"/>
  </w:num>
  <w:num w:numId="53" w16cid:durableId="254628223">
    <w:abstractNumId w:val="38"/>
  </w:num>
  <w:num w:numId="54" w16cid:durableId="252976383">
    <w:abstractNumId w:val="19"/>
  </w:num>
  <w:num w:numId="55" w16cid:durableId="705837751">
    <w:abstractNumId w:val="47"/>
  </w:num>
  <w:num w:numId="56" w16cid:durableId="511652594">
    <w:abstractNumId w:val="14"/>
  </w:num>
  <w:num w:numId="57" w16cid:durableId="1842741811">
    <w:abstractNumId w:val="46"/>
  </w:num>
  <w:num w:numId="58" w16cid:durableId="271325511">
    <w:abstractNumId w:val="11"/>
  </w:num>
  <w:num w:numId="59" w16cid:durableId="649405516">
    <w:abstractNumId w:val="56"/>
  </w:num>
  <w:num w:numId="60" w16cid:durableId="149493297">
    <w:abstractNumId w:val="20"/>
  </w:num>
  <w:num w:numId="61" w16cid:durableId="1589000539">
    <w:abstractNumId w:val="8"/>
  </w:num>
  <w:num w:numId="62" w16cid:durableId="1958485670">
    <w:abstractNumId w:val="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trackRevisions/>
  <w:defaultTabStop w:val="720"/>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20tdvrd1wrw5zez52s5sdvafzz9xtt2txxs&quot;&gt;My EndNote Library_Blue Mesa Caecilian&lt;record-ids&gt;&lt;item&gt;2&lt;/item&gt;&lt;item&gt;3&lt;/item&gt;&lt;item&gt;4&lt;/item&gt;&lt;item&gt;5&lt;/item&gt;&lt;item&gt;6&lt;/item&gt;&lt;item&gt;7&lt;/item&gt;&lt;item&gt;8&lt;/item&gt;&lt;item&gt;9&lt;/item&gt;&lt;item&gt;14&lt;/item&gt;&lt;item&gt;17&lt;/item&gt;&lt;item&gt;18&lt;/item&gt;&lt;item&gt;21&lt;/item&gt;&lt;item&gt;22&lt;/item&gt;&lt;item&gt;23&lt;/item&gt;&lt;item&gt;25&lt;/item&gt;&lt;item&gt;26&lt;/item&gt;&lt;item&gt;29&lt;/item&gt;&lt;item&gt;30&lt;/item&gt;&lt;item&gt;31&lt;/item&gt;&lt;item&gt;33&lt;/item&gt;&lt;item&gt;34&lt;/item&gt;&lt;item&gt;35&lt;/item&gt;&lt;item&gt;36&lt;/item&gt;&lt;item&gt;37&lt;/item&gt;&lt;item&gt;39&lt;/item&gt;&lt;item&gt;41&lt;/item&gt;&lt;item&gt;43&lt;/item&gt;&lt;item&gt;44&lt;/item&gt;&lt;item&gt;45&lt;/item&gt;&lt;item&gt;56&lt;/item&gt;&lt;item&gt;57&lt;/item&gt;&lt;item&gt;60&lt;/item&gt;&lt;item&gt;63&lt;/item&gt;&lt;item&gt;64&lt;/item&gt;&lt;item&gt;65&lt;/item&gt;&lt;item&gt;66&lt;/item&gt;&lt;item&gt;68&lt;/item&gt;&lt;item&gt;69&lt;/item&gt;&lt;item&gt;70&lt;/item&gt;&lt;item&gt;71&lt;/item&gt;&lt;item&gt;73&lt;/item&gt;&lt;item&gt;75&lt;/item&gt;&lt;item&gt;77&lt;/item&gt;&lt;item&gt;78&lt;/item&gt;&lt;item&gt;79&lt;/item&gt;&lt;item&gt;80&lt;/item&gt;&lt;item&gt;81&lt;/item&gt;&lt;item&gt;82&lt;/item&gt;&lt;item&gt;83&lt;/item&gt;&lt;item&gt;84&lt;/item&gt;&lt;item&gt;85&lt;/item&gt;&lt;item&gt;86&lt;/item&gt;&lt;item&gt;87&lt;/item&gt;&lt;item&gt;89&lt;/item&gt;&lt;item&gt;90&lt;/item&gt;&lt;item&gt;91&lt;/item&gt;&lt;item&gt;94&lt;/item&gt;&lt;item&gt;95&lt;/item&gt;&lt;item&gt;96&lt;/item&gt;&lt;item&gt;97&lt;/item&gt;&lt;item&gt;98&lt;/item&gt;&lt;item&gt;99&lt;/item&gt;&lt;item&gt;100&lt;/item&gt;&lt;item&gt;101&lt;/item&gt;&lt;item&gt;102&lt;/item&gt;&lt;item&gt;103&lt;/item&gt;&lt;item&gt;104&lt;/item&gt;&lt;item&gt;105&lt;/item&gt;&lt;item&gt;108&lt;/item&gt;&lt;item&gt;109&lt;/item&gt;&lt;item&gt;111&lt;/item&gt;&lt;item&gt;112&lt;/item&gt;&lt;item&gt;113&lt;/item&gt;&lt;item&gt;114&lt;/item&gt;&lt;item&gt;115&lt;/item&gt;&lt;item&gt;116&lt;/item&gt;&lt;item&gt;117&lt;/item&gt;&lt;item&gt;118&lt;/item&gt;&lt;item&gt;119&lt;/item&gt;&lt;item&gt;120&lt;/item&gt;&lt;item&gt;121&lt;/item&gt;&lt;item&gt;123&lt;/item&gt;&lt;item&gt;125&lt;/item&gt;&lt;item&gt;126&lt;/item&gt;&lt;item&gt;128&lt;/item&gt;&lt;item&gt;129&lt;/item&gt;&lt;item&gt;133&lt;/item&gt;&lt;item&gt;134&lt;/item&gt;&lt;item&gt;135&lt;/item&gt;&lt;item&gt;136&lt;/item&gt;&lt;item&gt;137&lt;/item&gt;&lt;item&gt;138&lt;/item&gt;&lt;item&gt;139&lt;/item&gt;&lt;item&gt;140&lt;/item&gt;&lt;item&gt;141&lt;/item&gt;&lt;item&gt;142&lt;/item&gt;&lt;item&gt;143&lt;/item&gt;&lt;item&gt;145&lt;/item&gt;&lt;item&gt;146&lt;/item&gt;&lt;item&gt;147&lt;/item&gt;&lt;item&gt;148&lt;/item&gt;&lt;item&gt;150&lt;/item&gt;&lt;item&gt;151&lt;/item&gt;&lt;item&gt;152&lt;/item&gt;&lt;item&gt;153&lt;/item&gt;&lt;item&gt;154&lt;/item&gt;&lt;item&gt;155&lt;/item&gt;&lt;item&gt;156&lt;/item&gt;&lt;item&gt;157&lt;/item&gt;&lt;item&gt;159&lt;/item&gt;&lt;item&gt;160&lt;/item&gt;&lt;item&gt;162&lt;/item&gt;&lt;item&gt;163&lt;/item&gt;&lt;item&gt;164&lt;/item&gt;&lt;item&gt;165&lt;/item&gt;&lt;item&gt;166&lt;/item&gt;&lt;item&gt;167&lt;/item&gt;&lt;item&gt;170&lt;/item&gt;&lt;item&gt;171&lt;/item&gt;&lt;item&gt;173&lt;/item&gt;&lt;item&gt;174&lt;/item&gt;&lt;item&gt;175&lt;/item&gt;&lt;item&gt;176&lt;/item&gt;&lt;item&gt;177&lt;/item&gt;&lt;item&gt;178&lt;/item&gt;&lt;item&gt;179&lt;/item&gt;&lt;item&gt;180&lt;/item&gt;&lt;item&gt;181&lt;/item&gt;&lt;item&gt;182&lt;/item&gt;&lt;item&gt;183&lt;/item&gt;&lt;item&gt;185&lt;/item&gt;&lt;item&gt;187&lt;/item&gt;&lt;item&gt;188&lt;/item&gt;&lt;item&gt;189&lt;/item&gt;&lt;item&gt;190&lt;/item&gt;&lt;item&gt;191&lt;/item&gt;&lt;item&gt;192&lt;/item&gt;&lt;item&gt;193&lt;/item&gt;&lt;item&gt;194&lt;/item&gt;&lt;item&gt;195&lt;/item&gt;&lt;item&gt;196&lt;/item&gt;&lt;item&gt;197&lt;/item&gt;&lt;item&gt;198&lt;/item&gt;&lt;item&gt;199&lt;/item&gt;&lt;item&gt;202&lt;/item&gt;&lt;item&gt;203&lt;/item&gt;&lt;item&gt;204&lt;/item&gt;&lt;item&gt;206&lt;/item&gt;&lt;item&gt;207&lt;/item&gt;&lt;item&gt;208&lt;/item&gt;&lt;item&gt;209&lt;/item&gt;&lt;item&gt;210&lt;/item&gt;&lt;item&gt;211&lt;/item&gt;&lt;item&gt;212&lt;/item&gt;&lt;item&gt;213&lt;/item&gt;&lt;item&gt;214&lt;/item&gt;&lt;item&gt;215&lt;/item&gt;&lt;item&gt;216&lt;/item&gt;&lt;item&gt;217&lt;/item&gt;&lt;item&gt;220&lt;/item&gt;&lt;item&gt;221&lt;/item&gt;&lt;item&gt;222&lt;/item&gt;&lt;item&gt;223&lt;/item&gt;&lt;item&gt;225&lt;/item&gt;&lt;item&gt;226&lt;/item&gt;&lt;item&gt;227&lt;/item&gt;&lt;item&gt;229&lt;/item&gt;&lt;item&gt;230&lt;/item&gt;&lt;item&gt;231&lt;/item&gt;&lt;item&gt;232&lt;/item&gt;&lt;item&gt;233&lt;/item&gt;&lt;item&gt;234&lt;/item&gt;&lt;item&gt;235&lt;/item&gt;&lt;item&gt;236&lt;/item&gt;&lt;item&gt;237&lt;/item&gt;&lt;item&gt;238&lt;/item&gt;&lt;item&gt;239&lt;/item&gt;&lt;item&gt;240&lt;/item&gt;&lt;item&gt;241&lt;/item&gt;&lt;item&gt;242&lt;/item&gt;&lt;item&gt;243&lt;/item&gt;&lt;item&gt;244&lt;/item&gt;&lt;item&gt;245&lt;/item&gt;&lt;item&gt;246&lt;/item&gt;&lt;item&gt;247&lt;/item&gt;&lt;item&gt;248&lt;/item&gt;&lt;item&gt;249&lt;/item&gt;&lt;item&gt;250&lt;/item&gt;&lt;item&gt;251&lt;/item&gt;&lt;item&gt;252&lt;/item&gt;&lt;item&gt;253&lt;/item&gt;&lt;item&gt;254&lt;/item&gt;&lt;item&gt;255&lt;/item&gt;&lt;item&gt;257&lt;/item&gt;&lt;item&gt;258&lt;/item&gt;&lt;item&gt;259&lt;/item&gt;&lt;item&gt;260&lt;/item&gt;&lt;item&gt;261&lt;/item&gt;&lt;item&gt;262&lt;/item&gt;&lt;item&gt;264&lt;/item&gt;&lt;item&gt;265&lt;/item&gt;&lt;item&gt;266&lt;/item&gt;&lt;item&gt;267&lt;/item&gt;&lt;item&gt;268&lt;/item&gt;&lt;item&gt;269&lt;/item&gt;&lt;item&gt;270&lt;/item&gt;&lt;item&gt;271&lt;/item&gt;&lt;item&gt;272&lt;/item&gt;&lt;item&gt;274&lt;/item&gt;&lt;item&gt;275&lt;/item&gt;&lt;item&gt;276&lt;/item&gt;&lt;item&gt;277&lt;/item&gt;&lt;item&gt;278&lt;/item&gt;&lt;item&gt;279&lt;/item&gt;&lt;item&gt;280&lt;/item&gt;&lt;item&gt;282&lt;/item&gt;&lt;item&gt;283&lt;/item&gt;&lt;item&gt;284&lt;/item&gt;&lt;item&gt;285&lt;/item&gt;&lt;item&gt;287&lt;/item&gt;&lt;item&gt;288&lt;/item&gt;&lt;item&gt;290&lt;/item&gt;&lt;item&gt;291&lt;/item&gt;&lt;item&gt;292&lt;/item&gt;&lt;item&gt;293&lt;/item&gt;&lt;item&gt;294&lt;/item&gt;&lt;item&gt;295&lt;/item&gt;&lt;item&gt;296&lt;/item&gt;&lt;item&gt;297&lt;/item&gt;&lt;item&gt;299&lt;/item&gt;&lt;item&gt;300&lt;/item&gt;&lt;item&gt;302&lt;/item&gt;&lt;item&gt;303&lt;/item&gt;&lt;item&gt;305&lt;/item&gt;&lt;item&gt;306&lt;/item&gt;&lt;item&gt;307&lt;/item&gt;&lt;item&gt;308&lt;/item&gt;&lt;item&gt;309&lt;/item&gt;&lt;item&gt;311&lt;/item&gt;&lt;item&gt;312&lt;/item&gt;&lt;item&gt;316&lt;/item&gt;&lt;item&gt;317&lt;/item&gt;&lt;item&gt;318&lt;/item&gt;&lt;item&gt;319&lt;/item&gt;&lt;item&gt;320&lt;/item&gt;&lt;item&gt;321&lt;/item&gt;&lt;item&gt;322&lt;/item&gt;&lt;item&gt;323&lt;/item&gt;&lt;item&gt;324&lt;/item&gt;&lt;item&gt;325&lt;/item&gt;&lt;item&gt;327&lt;/item&gt;&lt;item&gt;328&lt;/item&gt;&lt;item&gt;330&lt;/item&gt;&lt;item&gt;331&lt;/item&gt;&lt;item&gt;332&lt;/item&gt;&lt;item&gt;333&lt;/item&gt;&lt;item&gt;334&lt;/item&gt;&lt;item&gt;335&lt;/item&gt;&lt;item&gt;336&lt;/item&gt;&lt;item&gt;339&lt;/item&gt;&lt;item&gt;340&lt;/item&gt;&lt;item&gt;341&lt;/item&gt;&lt;item&gt;344&lt;/item&gt;&lt;item&gt;347&lt;/item&gt;&lt;item&gt;348&lt;/item&gt;&lt;item&gt;349&lt;/item&gt;&lt;item&gt;350&lt;/item&gt;&lt;item&gt;351&lt;/item&gt;&lt;item&gt;352&lt;/item&gt;&lt;item&gt;354&lt;/item&gt;&lt;item&gt;356&lt;/item&gt;&lt;item&gt;357&lt;/item&gt;&lt;item&gt;358&lt;/item&gt;&lt;item&gt;361&lt;/item&gt;&lt;item&gt;362&lt;/item&gt;&lt;item&gt;363&lt;/item&gt;&lt;item&gt;364&lt;/item&gt;&lt;item&gt;366&lt;/item&gt;&lt;item&gt;367&lt;/item&gt;&lt;item&gt;369&lt;/item&gt;&lt;item&gt;370&lt;/item&gt;&lt;item&gt;372&lt;/item&gt;&lt;item&gt;373&lt;/item&gt;&lt;item&gt;374&lt;/item&gt;&lt;item&gt;375&lt;/item&gt;&lt;item&gt;376&lt;/item&gt;&lt;item&gt;377&lt;/item&gt;&lt;item&gt;378&lt;/item&gt;&lt;item&gt;379&lt;/item&gt;&lt;item&gt;380&lt;/item&gt;&lt;item&gt;381&lt;/item&gt;&lt;item&gt;389&lt;/item&gt;&lt;item&gt;390&lt;/item&gt;&lt;item&gt;391&lt;/item&gt;&lt;item&gt;392&lt;/item&gt;&lt;item&gt;393&lt;/item&gt;&lt;item&gt;395&lt;/item&gt;&lt;item&gt;396&lt;/item&gt;&lt;item&gt;397&lt;/item&gt;&lt;item&gt;398&lt;/item&gt;&lt;item&gt;399&lt;/item&gt;&lt;item&gt;400&lt;/item&gt;&lt;item&gt;401&lt;/item&gt;&lt;item&gt;402&lt;/item&gt;&lt;item&gt;403&lt;/item&gt;&lt;item&gt;404&lt;/item&gt;&lt;item&gt;405&lt;/item&gt;&lt;item&gt;406&lt;/item&gt;&lt;item&gt;407&lt;/item&gt;&lt;item&gt;408&lt;/item&gt;&lt;item&gt;410&lt;/item&gt;&lt;item&gt;411&lt;/item&gt;&lt;item&gt;412&lt;/item&gt;&lt;item&gt;413&lt;/item&gt;&lt;item&gt;414&lt;/item&gt;&lt;item&gt;415&lt;/item&gt;&lt;item&gt;416&lt;/item&gt;&lt;item&gt;417&lt;/item&gt;&lt;item&gt;418&lt;/item&gt;&lt;item&gt;419&lt;/item&gt;&lt;item&gt;420&lt;/item&gt;&lt;item&gt;421&lt;/item&gt;&lt;item&gt;422&lt;/item&gt;&lt;item&gt;423&lt;/item&gt;&lt;item&gt;424&lt;/item&gt;&lt;item&gt;425&lt;/item&gt;&lt;item&gt;426&lt;/item&gt;&lt;item&gt;428&lt;/item&gt;&lt;item&gt;429&lt;/item&gt;&lt;item&gt;430&lt;/item&gt;&lt;item&gt;431&lt;/item&gt;&lt;item&gt;432&lt;/item&gt;&lt;item&gt;435&lt;/item&gt;&lt;item&gt;436&lt;/item&gt;&lt;item&gt;437&lt;/item&gt;&lt;item&gt;438&lt;/item&gt;&lt;item&gt;440&lt;/item&gt;&lt;item&gt;441&lt;/item&gt;&lt;item&gt;442&lt;/item&gt;&lt;item&gt;443&lt;/item&gt;&lt;item&gt;444&lt;/item&gt;&lt;item&gt;445&lt;/item&gt;&lt;item&gt;446&lt;/item&gt;&lt;item&gt;447&lt;/item&gt;&lt;item&gt;448&lt;/item&gt;&lt;item&gt;449&lt;/item&gt;&lt;item&gt;450&lt;/item&gt;&lt;item&gt;451&lt;/item&gt;&lt;item&gt;452&lt;/item&gt;&lt;item&gt;453&lt;/item&gt;&lt;item&gt;454&lt;/item&gt;&lt;item&gt;455&lt;/item&gt;&lt;item&gt;456&lt;/item&gt;&lt;item&gt;457&lt;/item&gt;&lt;item&gt;458&lt;/item&gt;&lt;item&gt;459&lt;/item&gt;&lt;item&gt;460&lt;/item&gt;&lt;item&gt;461&lt;/item&gt;&lt;item&gt;462&lt;/item&gt;&lt;item&gt;463&lt;/item&gt;&lt;item&gt;464&lt;/item&gt;&lt;item&gt;465&lt;/item&gt;&lt;item&gt;466&lt;/item&gt;&lt;item&gt;467&lt;/item&gt;&lt;item&gt;468&lt;/item&gt;&lt;item&gt;469&lt;/item&gt;&lt;item&gt;470&lt;/item&gt;&lt;item&gt;471&lt;/item&gt;&lt;item&gt;472&lt;/item&gt;&lt;item&gt;473&lt;/item&gt;&lt;item&gt;474&lt;/item&gt;&lt;item&gt;475&lt;/item&gt;&lt;item&gt;476&lt;/item&gt;&lt;item&gt;477&lt;/item&gt;&lt;item&gt;478&lt;/item&gt;&lt;item&gt;480&lt;/item&gt;&lt;/record-ids&gt;&lt;/item&gt;&lt;/Libraries&gt;"/>
  </w:docVars>
  <w:rsids>
    <w:rsidRoot w:val="00A75658"/>
    <w:rsid w:val="00001691"/>
    <w:rsid w:val="00004813"/>
    <w:rsid w:val="00005CE1"/>
    <w:rsid w:val="00006072"/>
    <w:rsid w:val="000077DD"/>
    <w:rsid w:val="00007DC3"/>
    <w:rsid w:val="000100FC"/>
    <w:rsid w:val="00010988"/>
    <w:rsid w:val="00010C7D"/>
    <w:rsid w:val="00012D34"/>
    <w:rsid w:val="00013568"/>
    <w:rsid w:val="00013672"/>
    <w:rsid w:val="00013F0B"/>
    <w:rsid w:val="00013F96"/>
    <w:rsid w:val="000143D3"/>
    <w:rsid w:val="00014B31"/>
    <w:rsid w:val="00014E97"/>
    <w:rsid w:val="00015A64"/>
    <w:rsid w:val="00016D84"/>
    <w:rsid w:val="00016FFD"/>
    <w:rsid w:val="00020056"/>
    <w:rsid w:val="00020696"/>
    <w:rsid w:val="00020BEB"/>
    <w:rsid w:val="000222DA"/>
    <w:rsid w:val="00022CE4"/>
    <w:rsid w:val="000243B3"/>
    <w:rsid w:val="000247C4"/>
    <w:rsid w:val="00024B69"/>
    <w:rsid w:val="00025444"/>
    <w:rsid w:val="000255FE"/>
    <w:rsid w:val="000276C9"/>
    <w:rsid w:val="00027AD4"/>
    <w:rsid w:val="00027ADC"/>
    <w:rsid w:val="00027B73"/>
    <w:rsid w:val="00030D70"/>
    <w:rsid w:val="00032E94"/>
    <w:rsid w:val="000336A3"/>
    <w:rsid w:val="000342D5"/>
    <w:rsid w:val="00034511"/>
    <w:rsid w:val="000368F0"/>
    <w:rsid w:val="00036C69"/>
    <w:rsid w:val="000374D9"/>
    <w:rsid w:val="00037BA5"/>
    <w:rsid w:val="00037CCE"/>
    <w:rsid w:val="000400C9"/>
    <w:rsid w:val="00040FA0"/>
    <w:rsid w:val="000416D1"/>
    <w:rsid w:val="000429FD"/>
    <w:rsid w:val="00045D34"/>
    <w:rsid w:val="00046534"/>
    <w:rsid w:val="0005036D"/>
    <w:rsid w:val="00051458"/>
    <w:rsid w:val="00051C88"/>
    <w:rsid w:val="00051E7F"/>
    <w:rsid w:val="00052643"/>
    <w:rsid w:val="000528EB"/>
    <w:rsid w:val="000532B6"/>
    <w:rsid w:val="000544FE"/>
    <w:rsid w:val="0005487E"/>
    <w:rsid w:val="0005539F"/>
    <w:rsid w:val="00057181"/>
    <w:rsid w:val="00057794"/>
    <w:rsid w:val="00057C6E"/>
    <w:rsid w:val="00060EB0"/>
    <w:rsid w:val="000610AF"/>
    <w:rsid w:val="00061D3B"/>
    <w:rsid w:val="00062F7E"/>
    <w:rsid w:val="000636D8"/>
    <w:rsid w:val="00063B97"/>
    <w:rsid w:val="00064488"/>
    <w:rsid w:val="0006597D"/>
    <w:rsid w:val="000661E0"/>
    <w:rsid w:val="00066D76"/>
    <w:rsid w:val="00070137"/>
    <w:rsid w:val="00074C9D"/>
    <w:rsid w:val="00077403"/>
    <w:rsid w:val="000778CD"/>
    <w:rsid w:val="00080230"/>
    <w:rsid w:val="00080368"/>
    <w:rsid w:val="00080798"/>
    <w:rsid w:val="00080CC1"/>
    <w:rsid w:val="00082FF2"/>
    <w:rsid w:val="000836E8"/>
    <w:rsid w:val="000839E5"/>
    <w:rsid w:val="00084FBF"/>
    <w:rsid w:val="000852BD"/>
    <w:rsid w:val="000852E8"/>
    <w:rsid w:val="000859B0"/>
    <w:rsid w:val="00085D87"/>
    <w:rsid w:val="00086552"/>
    <w:rsid w:val="0008677C"/>
    <w:rsid w:val="00086A3A"/>
    <w:rsid w:val="000873A8"/>
    <w:rsid w:val="00087692"/>
    <w:rsid w:val="0009069B"/>
    <w:rsid w:val="000907D0"/>
    <w:rsid w:val="00091596"/>
    <w:rsid w:val="0009159B"/>
    <w:rsid w:val="0009175D"/>
    <w:rsid w:val="000918AC"/>
    <w:rsid w:val="00091A6B"/>
    <w:rsid w:val="00091E54"/>
    <w:rsid w:val="00091FF4"/>
    <w:rsid w:val="000922CB"/>
    <w:rsid w:val="00092E1A"/>
    <w:rsid w:val="00092FED"/>
    <w:rsid w:val="00093C8C"/>
    <w:rsid w:val="00095FDC"/>
    <w:rsid w:val="00096251"/>
    <w:rsid w:val="00096434"/>
    <w:rsid w:val="00096D66"/>
    <w:rsid w:val="000975A5"/>
    <w:rsid w:val="00097A21"/>
    <w:rsid w:val="00097A5F"/>
    <w:rsid w:val="00097DDE"/>
    <w:rsid w:val="00097EAB"/>
    <w:rsid w:val="00097FC7"/>
    <w:rsid w:val="000A00F3"/>
    <w:rsid w:val="000A06AD"/>
    <w:rsid w:val="000A0CB2"/>
    <w:rsid w:val="000A0D53"/>
    <w:rsid w:val="000A1A3C"/>
    <w:rsid w:val="000A1B4E"/>
    <w:rsid w:val="000A2367"/>
    <w:rsid w:val="000A308E"/>
    <w:rsid w:val="000A4144"/>
    <w:rsid w:val="000A5F6A"/>
    <w:rsid w:val="000A6FD0"/>
    <w:rsid w:val="000A723B"/>
    <w:rsid w:val="000A75BA"/>
    <w:rsid w:val="000A7BC0"/>
    <w:rsid w:val="000B21C4"/>
    <w:rsid w:val="000B2402"/>
    <w:rsid w:val="000B3161"/>
    <w:rsid w:val="000B3C6D"/>
    <w:rsid w:val="000B3EDB"/>
    <w:rsid w:val="000B46CC"/>
    <w:rsid w:val="000B4A9A"/>
    <w:rsid w:val="000B4FC1"/>
    <w:rsid w:val="000B5315"/>
    <w:rsid w:val="000B6FA2"/>
    <w:rsid w:val="000C2B59"/>
    <w:rsid w:val="000C3C36"/>
    <w:rsid w:val="000C3C76"/>
    <w:rsid w:val="000C4195"/>
    <w:rsid w:val="000C43CA"/>
    <w:rsid w:val="000C4B75"/>
    <w:rsid w:val="000C7A3E"/>
    <w:rsid w:val="000D22D2"/>
    <w:rsid w:val="000D2B35"/>
    <w:rsid w:val="000D38CD"/>
    <w:rsid w:val="000D4C77"/>
    <w:rsid w:val="000D68EA"/>
    <w:rsid w:val="000D7EB4"/>
    <w:rsid w:val="000E0C41"/>
    <w:rsid w:val="000E1EC8"/>
    <w:rsid w:val="000E25E8"/>
    <w:rsid w:val="000E342B"/>
    <w:rsid w:val="000E4927"/>
    <w:rsid w:val="000E4B2C"/>
    <w:rsid w:val="000E5208"/>
    <w:rsid w:val="000E6204"/>
    <w:rsid w:val="000E6C6D"/>
    <w:rsid w:val="000E730C"/>
    <w:rsid w:val="000E7D0F"/>
    <w:rsid w:val="000F1665"/>
    <w:rsid w:val="000F3070"/>
    <w:rsid w:val="000F376C"/>
    <w:rsid w:val="000F3A90"/>
    <w:rsid w:val="000F4255"/>
    <w:rsid w:val="000F4424"/>
    <w:rsid w:val="000F57AE"/>
    <w:rsid w:val="000F5812"/>
    <w:rsid w:val="000F5A1C"/>
    <w:rsid w:val="000F64F6"/>
    <w:rsid w:val="000F6720"/>
    <w:rsid w:val="000F6BB6"/>
    <w:rsid w:val="000F7535"/>
    <w:rsid w:val="0010005E"/>
    <w:rsid w:val="001007A2"/>
    <w:rsid w:val="00100AC5"/>
    <w:rsid w:val="00100CDA"/>
    <w:rsid w:val="0010196B"/>
    <w:rsid w:val="00101CA6"/>
    <w:rsid w:val="00101F22"/>
    <w:rsid w:val="00102221"/>
    <w:rsid w:val="00102521"/>
    <w:rsid w:val="001027ED"/>
    <w:rsid w:val="00102EB0"/>
    <w:rsid w:val="00103617"/>
    <w:rsid w:val="001054F5"/>
    <w:rsid w:val="00105B5B"/>
    <w:rsid w:val="00107357"/>
    <w:rsid w:val="00107A37"/>
    <w:rsid w:val="00110B2F"/>
    <w:rsid w:val="0011197A"/>
    <w:rsid w:val="0011298D"/>
    <w:rsid w:val="00114FBF"/>
    <w:rsid w:val="001168EE"/>
    <w:rsid w:val="00120D17"/>
    <w:rsid w:val="00121DBF"/>
    <w:rsid w:val="0012440F"/>
    <w:rsid w:val="00124B89"/>
    <w:rsid w:val="00125776"/>
    <w:rsid w:val="00126AB4"/>
    <w:rsid w:val="00126BFF"/>
    <w:rsid w:val="001279D1"/>
    <w:rsid w:val="00130A5C"/>
    <w:rsid w:val="00130E03"/>
    <w:rsid w:val="00132005"/>
    <w:rsid w:val="00132948"/>
    <w:rsid w:val="0013498C"/>
    <w:rsid w:val="00135493"/>
    <w:rsid w:val="00137B8C"/>
    <w:rsid w:val="00141554"/>
    <w:rsid w:val="00141F94"/>
    <w:rsid w:val="00142C49"/>
    <w:rsid w:val="00143DF4"/>
    <w:rsid w:val="0014409C"/>
    <w:rsid w:val="00144495"/>
    <w:rsid w:val="00144619"/>
    <w:rsid w:val="00144B91"/>
    <w:rsid w:val="00145160"/>
    <w:rsid w:val="00145304"/>
    <w:rsid w:val="0014577F"/>
    <w:rsid w:val="00146029"/>
    <w:rsid w:val="001461D0"/>
    <w:rsid w:val="0014759C"/>
    <w:rsid w:val="00150262"/>
    <w:rsid w:val="001506EF"/>
    <w:rsid w:val="00153AF5"/>
    <w:rsid w:val="00154CE8"/>
    <w:rsid w:val="001551A6"/>
    <w:rsid w:val="00155B74"/>
    <w:rsid w:val="00155CF3"/>
    <w:rsid w:val="00155ED5"/>
    <w:rsid w:val="00156478"/>
    <w:rsid w:val="00156AB1"/>
    <w:rsid w:val="00157651"/>
    <w:rsid w:val="001601EE"/>
    <w:rsid w:val="0016061B"/>
    <w:rsid w:val="00161905"/>
    <w:rsid w:val="00161FF5"/>
    <w:rsid w:val="001626D6"/>
    <w:rsid w:val="00162FD8"/>
    <w:rsid w:val="001632BD"/>
    <w:rsid w:val="00163B13"/>
    <w:rsid w:val="001648C2"/>
    <w:rsid w:val="00164DE5"/>
    <w:rsid w:val="00166C0B"/>
    <w:rsid w:val="001676A3"/>
    <w:rsid w:val="0017085C"/>
    <w:rsid w:val="00173CE3"/>
    <w:rsid w:val="00175C89"/>
    <w:rsid w:val="00175FD2"/>
    <w:rsid w:val="00176183"/>
    <w:rsid w:val="00177092"/>
    <w:rsid w:val="00180AB6"/>
    <w:rsid w:val="00180CAE"/>
    <w:rsid w:val="00180D12"/>
    <w:rsid w:val="0018356B"/>
    <w:rsid w:val="0018473C"/>
    <w:rsid w:val="00184929"/>
    <w:rsid w:val="0018537D"/>
    <w:rsid w:val="00185BFF"/>
    <w:rsid w:val="00185CCC"/>
    <w:rsid w:val="00186A7F"/>
    <w:rsid w:val="001870ED"/>
    <w:rsid w:val="00187E8A"/>
    <w:rsid w:val="00190BC0"/>
    <w:rsid w:val="0019152D"/>
    <w:rsid w:val="00191724"/>
    <w:rsid w:val="00191B62"/>
    <w:rsid w:val="0019246F"/>
    <w:rsid w:val="00193709"/>
    <w:rsid w:val="001939E4"/>
    <w:rsid w:val="00194231"/>
    <w:rsid w:val="00196518"/>
    <w:rsid w:val="001976CD"/>
    <w:rsid w:val="00197A3E"/>
    <w:rsid w:val="00197E5A"/>
    <w:rsid w:val="00197F6F"/>
    <w:rsid w:val="001A01D2"/>
    <w:rsid w:val="001A0348"/>
    <w:rsid w:val="001A0C7D"/>
    <w:rsid w:val="001A0D71"/>
    <w:rsid w:val="001A2384"/>
    <w:rsid w:val="001A3B4F"/>
    <w:rsid w:val="001A563A"/>
    <w:rsid w:val="001A6367"/>
    <w:rsid w:val="001A69F4"/>
    <w:rsid w:val="001B0395"/>
    <w:rsid w:val="001B03CB"/>
    <w:rsid w:val="001B3085"/>
    <w:rsid w:val="001B3C78"/>
    <w:rsid w:val="001B4E06"/>
    <w:rsid w:val="001B5C3D"/>
    <w:rsid w:val="001B6523"/>
    <w:rsid w:val="001B6E11"/>
    <w:rsid w:val="001B6EA4"/>
    <w:rsid w:val="001B6F1C"/>
    <w:rsid w:val="001B7ED0"/>
    <w:rsid w:val="001C0111"/>
    <w:rsid w:val="001C1154"/>
    <w:rsid w:val="001C1A5B"/>
    <w:rsid w:val="001C3881"/>
    <w:rsid w:val="001C494F"/>
    <w:rsid w:val="001C5C39"/>
    <w:rsid w:val="001C78D1"/>
    <w:rsid w:val="001D04D0"/>
    <w:rsid w:val="001D0560"/>
    <w:rsid w:val="001D28DD"/>
    <w:rsid w:val="001D2912"/>
    <w:rsid w:val="001D3B00"/>
    <w:rsid w:val="001D449E"/>
    <w:rsid w:val="001D6E8A"/>
    <w:rsid w:val="001D73E1"/>
    <w:rsid w:val="001E0854"/>
    <w:rsid w:val="001E1655"/>
    <w:rsid w:val="001E1908"/>
    <w:rsid w:val="001E2083"/>
    <w:rsid w:val="001E22B3"/>
    <w:rsid w:val="001E2D3C"/>
    <w:rsid w:val="001E3916"/>
    <w:rsid w:val="001E3B58"/>
    <w:rsid w:val="001E3E34"/>
    <w:rsid w:val="001E512E"/>
    <w:rsid w:val="001E654F"/>
    <w:rsid w:val="001E69E7"/>
    <w:rsid w:val="001E6ACB"/>
    <w:rsid w:val="001F01A5"/>
    <w:rsid w:val="001F041C"/>
    <w:rsid w:val="001F2134"/>
    <w:rsid w:val="001F3440"/>
    <w:rsid w:val="001F3447"/>
    <w:rsid w:val="001F3998"/>
    <w:rsid w:val="001F5E90"/>
    <w:rsid w:val="001F6DF7"/>
    <w:rsid w:val="001F6F8F"/>
    <w:rsid w:val="001F70E6"/>
    <w:rsid w:val="001F737F"/>
    <w:rsid w:val="001F76ED"/>
    <w:rsid w:val="001F7D9F"/>
    <w:rsid w:val="002003F0"/>
    <w:rsid w:val="00201B10"/>
    <w:rsid w:val="0020258F"/>
    <w:rsid w:val="00204479"/>
    <w:rsid w:val="002063EA"/>
    <w:rsid w:val="00206445"/>
    <w:rsid w:val="002068A0"/>
    <w:rsid w:val="0020700D"/>
    <w:rsid w:val="00207791"/>
    <w:rsid w:val="00210965"/>
    <w:rsid w:val="00211318"/>
    <w:rsid w:val="00211393"/>
    <w:rsid w:val="0021169A"/>
    <w:rsid w:val="002131A7"/>
    <w:rsid w:val="002132DA"/>
    <w:rsid w:val="00215CB2"/>
    <w:rsid w:val="00217282"/>
    <w:rsid w:val="002225CF"/>
    <w:rsid w:val="00222952"/>
    <w:rsid w:val="002232A7"/>
    <w:rsid w:val="00224569"/>
    <w:rsid w:val="00224789"/>
    <w:rsid w:val="00224ABB"/>
    <w:rsid w:val="00225AEA"/>
    <w:rsid w:val="00225EC2"/>
    <w:rsid w:val="00226A64"/>
    <w:rsid w:val="00227925"/>
    <w:rsid w:val="00230EC3"/>
    <w:rsid w:val="00233444"/>
    <w:rsid w:val="00233F9E"/>
    <w:rsid w:val="00234778"/>
    <w:rsid w:val="00240238"/>
    <w:rsid w:val="002406B0"/>
    <w:rsid w:val="00240860"/>
    <w:rsid w:val="0024093E"/>
    <w:rsid w:val="00240EF8"/>
    <w:rsid w:val="002427E2"/>
    <w:rsid w:val="00242B57"/>
    <w:rsid w:val="00246D8E"/>
    <w:rsid w:val="0024724F"/>
    <w:rsid w:val="00251446"/>
    <w:rsid w:val="00251825"/>
    <w:rsid w:val="00251BC4"/>
    <w:rsid w:val="00251F55"/>
    <w:rsid w:val="00251F6C"/>
    <w:rsid w:val="00252EB1"/>
    <w:rsid w:val="00253085"/>
    <w:rsid w:val="0025318C"/>
    <w:rsid w:val="00253E8B"/>
    <w:rsid w:val="00254925"/>
    <w:rsid w:val="00254E0C"/>
    <w:rsid w:val="00254EE3"/>
    <w:rsid w:val="00260968"/>
    <w:rsid w:val="00261F8E"/>
    <w:rsid w:val="00262433"/>
    <w:rsid w:val="00263607"/>
    <w:rsid w:val="002639C2"/>
    <w:rsid w:val="00267791"/>
    <w:rsid w:val="0027063E"/>
    <w:rsid w:val="0027080E"/>
    <w:rsid w:val="00270881"/>
    <w:rsid w:val="00271037"/>
    <w:rsid w:val="002721B0"/>
    <w:rsid w:val="00273147"/>
    <w:rsid w:val="00273275"/>
    <w:rsid w:val="00273A26"/>
    <w:rsid w:val="00273D5B"/>
    <w:rsid w:val="00274413"/>
    <w:rsid w:val="00274D0B"/>
    <w:rsid w:val="002769DB"/>
    <w:rsid w:val="002769EB"/>
    <w:rsid w:val="0027777D"/>
    <w:rsid w:val="002809F9"/>
    <w:rsid w:val="00280E49"/>
    <w:rsid w:val="00281431"/>
    <w:rsid w:val="00281DE9"/>
    <w:rsid w:val="00283EBD"/>
    <w:rsid w:val="00283F23"/>
    <w:rsid w:val="0028445B"/>
    <w:rsid w:val="00284BAC"/>
    <w:rsid w:val="002868EA"/>
    <w:rsid w:val="00286C82"/>
    <w:rsid w:val="0028721A"/>
    <w:rsid w:val="00287254"/>
    <w:rsid w:val="00287837"/>
    <w:rsid w:val="00287B16"/>
    <w:rsid w:val="00287EB7"/>
    <w:rsid w:val="00290146"/>
    <w:rsid w:val="00290AA1"/>
    <w:rsid w:val="00293101"/>
    <w:rsid w:val="00294572"/>
    <w:rsid w:val="00294F64"/>
    <w:rsid w:val="002978C4"/>
    <w:rsid w:val="002A0D4A"/>
    <w:rsid w:val="002A11B3"/>
    <w:rsid w:val="002A208F"/>
    <w:rsid w:val="002A472E"/>
    <w:rsid w:val="002B08C9"/>
    <w:rsid w:val="002B1425"/>
    <w:rsid w:val="002B1997"/>
    <w:rsid w:val="002B31F7"/>
    <w:rsid w:val="002B330E"/>
    <w:rsid w:val="002B3776"/>
    <w:rsid w:val="002B5972"/>
    <w:rsid w:val="002B7ADC"/>
    <w:rsid w:val="002C0158"/>
    <w:rsid w:val="002C039F"/>
    <w:rsid w:val="002C058D"/>
    <w:rsid w:val="002C1323"/>
    <w:rsid w:val="002C16D5"/>
    <w:rsid w:val="002C1B61"/>
    <w:rsid w:val="002C1F3D"/>
    <w:rsid w:val="002C2364"/>
    <w:rsid w:val="002C2858"/>
    <w:rsid w:val="002C435A"/>
    <w:rsid w:val="002C440A"/>
    <w:rsid w:val="002C7061"/>
    <w:rsid w:val="002D0D2E"/>
    <w:rsid w:val="002D25F2"/>
    <w:rsid w:val="002D2B11"/>
    <w:rsid w:val="002D2DAA"/>
    <w:rsid w:val="002D2F79"/>
    <w:rsid w:val="002D30B8"/>
    <w:rsid w:val="002D3B4E"/>
    <w:rsid w:val="002D3B73"/>
    <w:rsid w:val="002D3DAA"/>
    <w:rsid w:val="002D3E63"/>
    <w:rsid w:val="002D4249"/>
    <w:rsid w:val="002D4E9D"/>
    <w:rsid w:val="002D5222"/>
    <w:rsid w:val="002D5DB8"/>
    <w:rsid w:val="002D69AB"/>
    <w:rsid w:val="002D6EBC"/>
    <w:rsid w:val="002D705A"/>
    <w:rsid w:val="002E0219"/>
    <w:rsid w:val="002E08C4"/>
    <w:rsid w:val="002E1184"/>
    <w:rsid w:val="002E174B"/>
    <w:rsid w:val="002E1C57"/>
    <w:rsid w:val="002E1E7D"/>
    <w:rsid w:val="002E28B8"/>
    <w:rsid w:val="002E389A"/>
    <w:rsid w:val="002E4918"/>
    <w:rsid w:val="002E582B"/>
    <w:rsid w:val="002E5E5B"/>
    <w:rsid w:val="002E7D0C"/>
    <w:rsid w:val="002E7E3D"/>
    <w:rsid w:val="002F034D"/>
    <w:rsid w:val="002F1958"/>
    <w:rsid w:val="002F1A25"/>
    <w:rsid w:val="002F1EA6"/>
    <w:rsid w:val="002F3B34"/>
    <w:rsid w:val="002F4D25"/>
    <w:rsid w:val="0030213F"/>
    <w:rsid w:val="00302547"/>
    <w:rsid w:val="003043BA"/>
    <w:rsid w:val="00304DEF"/>
    <w:rsid w:val="0030511A"/>
    <w:rsid w:val="00306522"/>
    <w:rsid w:val="00306780"/>
    <w:rsid w:val="00306AF4"/>
    <w:rsid w:val="00306CF5"/>
    <w:rsid w:val="00307909"/>
    <w:rsid w:val="0031263E"/>
    <w:rsid w:val="003127F1"/>
    <w:rsid w:val="003134B0"/>
    <w:rsid w:val="003134E5"/>
    <w:rsid w:val="0031454E"/>
    <w:rsid w:val="0031461C"/>
    <w:rsid w:val="00314F44"/>
    <w:rsid w:val="00315E7A"/>
    <w:rsid w:val="00316804"/>
    <w:rsid w:val="00316F54"/>
    <w:rsid w:val="00317545"/>
    <w:rsid w:val="00317E18"/>
    <w:rsid w:val="0032019D"/>
    <w:rsid w:val="00322F8C"/>
    <w:rsid w:val="0032337D"/>
    <w:rsid w:val="003238D5"/>
    <w:rsid w:val="00324825"/>
    <w:rsid w:val="0032513E"/>
    <w:rsid w:val="003309E7"/>
    <w:rsid w:val="00330EB1"/>
    <w:rsid w:val="00331A02"/>
    <w:rsid w:val="00331C50"/>
    <w:rsid w:val="00331FC1"/>
    <w:rsid w:val="003329A8"/>
    <w:rsid w:val="00332B8E"/>
    <w:rsid w:val="00333452"/>
    <w:rsid w:val="00333C1E"/>
    <w:rsid w:val="00334092"/>
    <w:rsid w:val="0033449C"/>
    <w:rsid w:val="0033496E"/>
    <w:rsid w:val="003349D7"/>
    <w:rsid w:val="00335139"/>
    <w:rsid w:val="0033590B"/>
    <w:rsid w:val="00335A67"/>
    <w:rsid w:val="00335BD6"/>
    <w:rsid w:val="00336F43"/>
    <w:rsid w:val="00337189"/>
    <w:rsid w:val="003377AD"/>
    <w:rsid w:val="00337A4B"/>
    <w:rsid w:val="003405BC"/>
    <w:rsid w:val="003412BA"/>
    <w:rsid w:val="00341FEB"/>
    <w:rsid w:val="0034248A"/>
    <w:rsid w:val="00342A7A"/>
    <w:rsid w:val="00343395"/>
    <w:rsid w:val="0034390D"/>
    <w:rsid w:val="00343E16"/>
    <w:rsid w:val="0034476E"/>
    <w:rsid w:val="0034493E"/>
    <w:rsid w:val="00344A13"/>
    <w:rsid w:val="003453BF"/>
    <w:rsid w:val="00345D7F"/>
    <w:rsid w:val="003467F3"/>
    <w:rsid w:val="00350D51"/>
    <w:rsid w:val="00351AFE"/>
    <w:rsid w:val="0035238F"/>
    <w:rsid w:val="00353AE3"/>
    <w:rsid w:val="00353B74"/>
    <w:rsid w:val="00354366"/>
    <w:rsid w:val="003544A7"/>
    <w:rsid w:val="00354B54"/>
    <w:rsid w:val="00354E33"/>
    <w:rsid w:val="00355E4B"/>
    <w:rsid w:val="003564E8"/>
    <w:rsid w:val="00356521"/>
    <w:rsid w:val="0035660A"/>
    <w:rsid w:val="00356B0A"/>
    <w:rsid w:val="003572AC"/>
    <w:rsid w:val="0036070E"/>
    <w:rsid w:val="00360E25"/>
    <w:rsid w:val="00363DA3"/>
    <w:rsid w:val="00364789"/>
    <w:rsid w:val="00364870"/>
    <w:rsid w:val="00365E6C"/>
    <w:rsid w:val="0036693B"/>
    <w:rsid w:val="003671F8"/>
    <w:rsid w:val="00367965"/>
    <w:rsid w:val="00367C9A"/>
    <w:rsid w:val="00367FE0"/>
    <w:rsid w:val="00370C7D"/>
    <w:rsid w:val="00370DE8"/>
    <w:rsid w:val="003715E0"/>
    <w:rsid w:val="00373E55"/>
    <w:rsid w:val="0037401E"/>
    <w:rsid w:val="003742AD"/>
    <w:rsid w:val="00375268"/>
    <w:rsid w:val="003755BC"/>
    <w:rsid w:val="00375661"/>
    <w:rsid w:val="003771A7"/>
    <w:rsid w:val="003772AC"/>
    <w:rsid w:val="003813B4"/>
    <w:rsid w:val="0038146D"/>
    <w:rsid w:val="00381C6E"/>
    <w:rsid w:val="00381EC8"/>
    <w:rsid w:val="003821F4"/>
    <w:rsid w:val="0038299B"/>
    <w:rsid w:val="00382C77"/>
    <w:rsid w:val="003845F0"/>
    <w:rsid w:val="00385EB7"/>
    <w:rsid w:val="00385FAC"/>
    <w:rsid w:val="00387621"/>
    <w:rsid w:val="0038774C"/>
    <w:rsid w:val="0038782B"/>
    <w:rsid w:val="00387DDD"/>
    <w:rsid w:val="003909C2"/>
    <w:rsid w:val="003912E6"/>
    <w:rsid w:val="0039189C"/>
    <w:rsid w:val="00392F1F"/>
    <w:rsid w:val="00393A77"/>
    <w:rsid w:val="00393E47"/>
    <w:rsid w:val="00394A35"/>
    <w:rsid w:val="00394B4B"/>
    <w:rsid w:val="00394DE5"/>
    <w:rsid w:val="00394DF1"/>
    <w:rsid w:val="00395018"/>
    <w:rsid w:val="003954CF"/>
    <w:rsid w:val="00395F83"/>
    <w:rsid w:val="003A0A96"/>
    <w:rsid w:val="003A1C71"/>
    <w:rsid w:val="003A1D77"/>
    <w:rsid w:val="003A265F"/>
    <w:rsid w:val="003A291C"/>
    <w:rsid w:val="003A4A8A"/>
    <w:rsid w:val="003A54A7"/>
    <w:rsid w:val="003A5A0C"/>
    <w:rsid w:val="003A5B37"/>
    <w:rsid w:val="003A64AA"/>
    <w:rsid w:val="003A715B"/>
    <w:rsid w:val="003B0785"/>
    <w:rsid w:val="003B07C3"/>
    <w:rsid w:val="003B0A55"/>
    <w:rsid w:val="003B184F"/>
    <w:rsid w:val="003B1ABF"/>
    <w:rsid w:val="003B1CD1"/>
    <w:rsid w:val="003B408F"/>
    <w:rsid w:val="003B5434"/>
    <w:rsid w:val="003B6E14"/>
    <w:rsid w:val="003B7115"/>
    <w:rsid w:val="003B72A9"/>
    <w:rsid w:val="003C06DD"/>
    <w:rsid w:val="003C06FC"/>
    <w:rsid w:val="003C15DA"/>
    <w:rsid w:val="003C312B"/>
    <w:rsid w:val="003C3AA6"/>
    <w:rsid w:val="003C42CC"/>
    <w:rsid w:val="003C4BF0"/>
    <w:rsid w:val="003C58E0"/>
    <w:rsid w:val="003C5FB3"/>
    <w:rsid w:val="003C6927"/>
    <w:rsid w:val="003C6EEE"/>
    <w:rsid w:val="003C7EC5"/>
    <w:rsid w:val="003D0C46"/>
    <w:rsid w:val="003D0C5A"/>
    <w:rsid w:val="003D2B10"/>
    <w:rsid w:val="003D2E8B"/>
    <w:rsid w:val="003D4B4B"/>
    <w:rsid w:val="003D4BDF"/>
    <w:rsid w:val="003D4C6A"/>
    <w:rsid w:val="003D697A"/>
    <w:rsid w:val="003D6F20"/>
    <w:rsid w:val="003D7D29"/>
    <w:rsid w:val="003E02D9"/>
    <w:rsid w:val="003E09EE"/>
    <w:rsid w:val="003E14AF"/>
    <w:rsid w:val="003E1F27"/>
    <w:rsid w:val="003E2D1A"/>
    <w:rsid w:val="003E2EE4"/>
    <w:rsid w:val="003E3CA0"/>
    <w:rsid w:val="003E443B"/>
    <w:rsid w:val="003E451D"/>
    <w:rsid w:val="003E4840"/>
    <w:rsid w:val="003E5DD3"/>
    <w:rsid w:val="003E5E20"/>
    <w:rsid w:val="003E6F0A"/>
    <w:rsid w:val="003E6F97"/>
    <w:rsid w:val="003E788A"/>
    <w:rsid w:val="003F08B9"/>
    <w:rsid w:val="003F0D58"/>
    <w:rsid w:val="003F1687"/>
    <w:rsid w:val="003F26F8"/>
    <w:rsid w:val="003F3099"/>
    <w:rsid w:val="003F384E"/>
    <w:rsid w:val="003F3E22"/>
    <w:rsid w:val="003F4922"/>
    <w:rsid w:val="003F54A5"/>
    <w:rsid w:val="003F5DD8"/>
    <w:rsid w:val="003F6070"/>
    <w:rsid w:val="00400D8D"/>
    <w:rsid w:val="00400FB8"/>
    <w:rsid w:val="00402238"/>
    <w:rsid w:val="0040236C"/>
    <w:rsid w:val="0040252D"/>
    <w:rsid w:val="00402620"/>
    <w:rsid w:val="0040324E"/>
    <w:rsid w:val="004035D1"/>
    <w:rsid w:val="004036E9"/>
    <w:rsid w:val="0040439D"/>
    <w:rsid w:val="00406F56"/>
    <w:rsid w:val="0040718B"/>
    <w:rsid w:val="00407884"/>
    <w:rsid w:val="004107BC"/>
    <w:rsid w:val="004110C4"/>
    <w:rsid w:val="004110FB"/>
    <w:rsid w:val="00413E1D"/>
    <w:rsid w:val="004145AE"/>
    <w:rsid w:val="00414699"/>
    <w:rsid w:val="00415923"/>
    <w:rsid w:val="0041612B"/>
    <w:rsid w:val="00416DBE"/>
    <w:rsid w:val="00416E4A"/>
    <w:rsid w:val="004175C5"/>
    <w:rsid w:val="00420728"/>
    <w:rsid w:val="00421529"/>
    <w:rsid w:val="004230C4"/>
    <w:rsid w:val="00423355"/>
    <w:rsid w:val="004235E2"/>
    <w:rsid w:val="004262D4"/>
    <w:rsid w:val="0043132B"/>
    <w:rsid w:val="00431C92"/>
    <w:rsid w:val="004329E7"/>
    <w:rsid w:val="00432C50"/>
    <w:rsid w:val="004330B4"/>
    <w:rsid w:val="00433619"/>
    <w:rsid w:val="00433EB3"/>
    <w:rsid w:val="00434450"/>
    <w:rsid w:val="00435C68"/>
    <w:rsid w:val="00435FE8"/>
    <w:rsid w:val="0043628A"/>
    <w:rsid w:val="004365DB"/>
    <w:rsid w:val="00436671"/>
    <w:rsid w:val="0044081A"/>
    <w:rsid w:val="00441272"/>
    <w:rsid w:val="004413A4"/>
    <w:rsid w:val="00442DAF"/>
    <w:rsid w:val="0044362E"/>
    <w:rsid w:val="00444122"/>
    <w:rsid w:val="0044450F"/>
    <w:rsid w:val="0044470E"/>
    <w:rsid w:val="0044490E"/>
    <w:rsid w:val="00445144"/>
    <w:rsid w:val="00447140"/>
    <w:rsid w:val="004477DB"/>
    <w:rsid w:val="00447B41"/>
    <w:rsid w:val="00450B2D"/>
    <w:rsid w:val="004512B9"/>
    <w:rsid w:val="0045342D"/>
    <w:rsid w:val="00454050"/>
    <w:rsid w:val="00455928"/>
    <w:rsid w:val="004565F0"/>
    <w:rsid w:val="00457B39"/>
    <w:rsid w:val="00461C4A"/>
    <w:rsid w:val="0046201A"/>
    <w:rsid w:val="004624A0"/>
    <w:rsid w:val="004637AA"/>
    <w:rsid w:val="004644C7"/>
    <w:rsid w:val="00465A7F"/>
    <w:rsid w:val="00465AB6"/>
    <w:rsid w:val="00465ADB"/>
    <w:rsid w:val="00465B4D"/>
    <w:rsid w:val="00465B9E"/>
    <w:rsid w:val="00465D4F"/>
    <w:rsid w:val="004660B5"/>
    <w:rsid w:val="0047142F"/>
    <w:rsid w:val="004759AC"/>
    <w:rsid w:val="004777E3"/>
    <w:rsid w:val="00480B53"/>
    <w:rsid w:val="0048108E"/>
    <w:rsid w:val="004810FA"/>
    <w:rsid w:val="0048149D"/>
    <w:rsid w:val="004837FA"/>
    <w:rsid w:val="00483CA6"/>
    <w:rsid w:val="00484123"/>
    <w:rsid w:val="00485BEF"/>
    <w:rsid w:val="00485D01"/>
    <w:rsid w:val="00487108"/>
    <w:rsid w:val="00490068"/>
    <w:rsid w:val="004905A8"/>
    <w:rsid w:val="00490C22"/>
    <w:rsid w:val="004914A2"/>
    <w:rsid w:val="004915E6"/>
    <w:rsid w:val="0049211E"/>
    <w:rsid w:val="00492738"/>
    <w:rsid w:val="00492CBF"/>
    <w:rsid w:val="00492DB4"/>
    <w:rsid w:val="004935F0"/>
    <w:rsid w:val="0049464B"/>
    <w:rsid w:val="00495640"/>
    <w:rsid w:val="004960D0"/>
    <w:rsid w:val="00497970"/>
    <w:rsid w:val="00497C7D"/>
    <w:rsid w:val="004A044E"/>
    <w:rsid w:val="004A169B"/>
    <w:rsid w:val="004A1D3E"/>
    <w:rsid w:val="004A2F81"/>
    <w:rsid w:val="004A50F8"/>
    <w:rsid w:val="004A56F9"/>
    <w:rsid w:val="004A7C90"/>
    <w:rsid w:val="004B061E"/>
    <w:rsid w:val="004B0C34"/>
    <w:rsid w:val="004B0E82"/>
    <w:rsid w:val="004B355A"/>
    <w:rsid w:val="004B49B2"/>
    <w:rsid w:val="004B72A4"/>
    <w:rsid w:val="004B7D28"/>
    <w:rsid w:val="004C003D"/>
    <w:rsid w:val="004C078E"/>
    <w:rsid w:val="004C2D1F"/>
    <w:rsid w:val="004C49B8"/>
    <w:rsid w:val="004C5132"/>
    <w:rsid w:val="004C5CF0"/>
    <w:rsid w:val="004C6373"/>
    <w:rsid w:val="004C6800"/>
    <w:rsid w:val="004C69A4"/>
    <w:rsid w:val="004C7E62"/>
    <w:rsid w:val="004D0B2C"/>
    <w:rsid w:val="004D0C3D"/>
    <w:rsid w:val="004D172A"/>
    <w:rsid w:val="004D26A7"/>
    <w:rsid w:val="004D2A8E"/>
    <w:rsid w:val="004D30E8"/>
    <w:rsid w:val="004D3432"/>
    <w:rsid w:val="004D4325"/>
    <w:rsid w:val="004D59E7"/>
    <w:rsid w:val="004D6DBF"/>
    <w:rsid w:val="004D71FE"/>
    <w:rsid w:val="004D72E7"/>
    <w:rsid w:val="004E00FD"/>
    <w:rsid w:val="004E0962"/>
    <w:rsid w:val="004E12FD"/>
    <w:rsid w:val="004E1AE1"/>
    <w:rsid w:val="004E1C9D"/>
    <w:rsid w:val="004E1D87"/>
    <w:rsid w:val="004E1DCA"/>
    <w:rsid w:val="004E2913"/>
    <w:rsid w:val="004E38E5"/>
    <w:rsid w:val="004E3BD6"/>
    <w:rsid w:val="004E5833"/>
    <w:rsid w:val="004E61AA"/>
    <w:rsid w:val="004E6B7D"/>
    <w:rsid w:val="004E7667"/>
    <w:rsid w:val="004E7A92"/>
    <w:rsid w:val="004F07C8"/>
    <w:rsid w:val="004F0B02"/>
    <w:rsid w:val="004F0BD0"/>
    <w:rsid w:val="004F1291"/>
    <w:rsid w:val="004F3A72"/>
    <w:rsid w:val="004F4299"/>
    <w:rsid w:val="004F480C"/>
    <w:rsid w:val="004F5257"/>
    <w:rsid w:val="004F61D7"/>
    <w:rsid w:val="004F6ADC"/>
    <w:rsid w:val="00500146"/>
    <w:rsid w:val="005004AF"/>
    <w:rsid w:val="0050125C"/>
    <w:rsid w:val="0050171B"/>
    <w:rsid w:val="005024E9"/>
    <w:rsid w:val="00502649"/>
    <w:rsid w:val="00502705"/>
    <w:rsid w:val="00504E79"/>
    <w:rsid w:val="00505262"/>
    <w:rsid w:val="005068E2"/>
    <w:rsid w:val="00511315"/>
    <w:rsid w:val="00511FC6"/>
    <w:rsid w:val="00512247"/>
    <w:rsid w:val="00512980"/>
    <w:rsid w:val="00513275"/>
    <w:rsid w:val="0051332F"/>
    <w:rsid w:val="00513EE1"/>
    <w:rsid w:val="00514AC5"/>
    <w:rsid w:val="00516421"/>
    <w:rsid w:val="005169CE"/>
    <w:rsid w:val="005179AC"/>
    <w:rsid w:val="005206D7"/>
    <w:rsid w:val="005214F9"/>
    <w:rsid w:val="005229E5"/>
    <w:rsid w:val="00522E5F"/>
    <w:rsid w:val="0052420E"/>
    <w:rsid w:val="00524302"/>
    <w:rsid w:val="0052442F"/>
    <w:rsid w:val="005253F4"/>
    <w:rsid w:val="00525CCC"/>
    <w:rsid w:val="00525D5C"/>
    <w:rsid w:val="00526396"/>
    <w:rsid w:val="00526795"/>
    <w:rsid w:val="00526D2C"/>
    <w:rsid w:val="00530E6B"/>
    <w:rsid w:val="0053164F"/>
    <w:rsid w:val="00532D8C"/>
    <w:rsid w:val="005368D1"/>
    <w:rsid w:val="0053747A"/>
    <w:rsid w:val="00541308"/>
    <w:rsid w:val="00541320"/>
    <w:rsid w:val="00541F0F"/>
    <w:rsid w:val="00542206"/>
    <w:rsid w:val="00542CC0"/>
    <w:rsid w:val="005439A6"/>
    <w:rsid w:val="0054405A"/>
    <w:rsid w:val="0054412D"/>
    <w:rsid w:val="00544BED"/>
    <w:rsid w:val="00545BB8"/>
    <w:rsid w:val="00545F6F"/>
    <w:rsid w:val="00547ADA"/>
    <w:rsid w:val="00550157"/>
    <w:rsid w:val="00550DA6"/>
    <w:rsid w:val="00552035"/>
    <w:rsid w:val="005520C1"/>
    <w:rsid w:val="00553556"/>
    <w:rsid w:val="005550DB"/>
    <w:rsid w:val="00555578"/>
    <w:rsid w:val="00555872"/>
    <w:rsid w:val="00555F44"/>
    <w:rsid w:val="00556671"/>
    <w:rsid w:val="00556ADB"/>
    <w:rsid w:val="005606AF"/>
    <w:rsid w:val="00560F51"/>
    <w:rsid w:val="00561118"/>
    <w:rsid w:val="005621A5"/>
    <w:rsid w:val="005622F4"/>
    <w:rsid w:val="00563FFA"/>
    <w:rsid w:val="005648D7"/>
    <w:rsid w:val="005653EF"/>
    <w:rsid w:val="0056543B"/>
    <w:rsid w:val="005706DA"/>
    <w:rsid w:val="00572EDD"/>
    <w:rsid w:val="005744CD"/>
    <w:rsid w:val="00574CCD"/>
    <w:rsid w:val="00575B95"/>
    <w:rsid w:val="005761C7"/>
    <w:rsid w:val="00577184"/>
    <w:rsid w:val="00577E91"/>
    <w:rsid w:val="00577F6C"/>
    <w:rsid w:val="005815A6"/>
    <w:rsid w:val="0058520B"/>
    <w:rsid w:val="005855C9"/>
    <w:rsid w:val="00586DDA"/>
    <w:rsid w:val="005874B5"/>
    <w:rsid w:val="00587530"/>
    <w:rsid w:val="00590EBA"/>
    <w:rsid w:val="00590FE6"/>
    <w:rsid w:val="00591104"/>
    <w:rsid w:val="00591205"/>
    <w:rsid w:val="00592157"/>
    <w:rsid w:val="00592E07"/>
    <w:rsid w:val="0059387B"/>
    <w:rsid w:val="00595BDA"/>
    <w:rsid w:val="00595CBB"/>
    <w:rsid w:val="005963A5"/>
    <w:rsid w:val="005A04E7"/>
    <w:rsid w:val="005A0820"/>
    <w:rsid w:val="005A0A62"/>
    <w:rsid w:val="005A20A3"/>
    <w:rsid w:val="005A2239"/>
    <w:rsid w:val="005A3002"/>
    <w:rsid w:val="005A3E86"/>
    <w:rsid w:val="005A3F92"/>
    <w:rsid w:val="005A49D9"/>
    <w:rsid w:val="005A4EF7"/>
    <w:rsid w:val="005A50A9"/>
    <w:rsid w:val="005A544C"/>
    <w:rsid w:val="005A5477"/>
    <w:rsid w:val="005A5642"/>
    <w:rsid w:val="005A5D36"/>
    <w:rsid w:val="005A7DC3"/>
    <w:rsid w:val="005B067B"/>
    <w:rsid w:val="005B1D29"/>
    <w:rsid w:val="005B2503"/>
    <w:rsid w:val="005B4223"/>
    <w:rsid w:val="005B56BD"/>
    <w:rsid w:val="005B6266"/>
    <w:rsid w:val="005B6880"/>
    <w:rsid w:val="005B68BC"/>
    <w:rsid w:val="005B7FAF"/>
    <w:rsid w:val="005C037E"/>
    <w:rsid w:val="005C0E14"/>
    <w:rsid w:val="005C0E96"/>
    <w:rsid w:val="005C36C1"/>
    <w:rsid w:val="005C3E71"/>
    <w:rsid w:val="005C4E78"/>
    <w:rsid w:val="005C62C2"/>
    <w:rsid w:val="005C7065"/>
    <w:rsid w:val="005C7186"/>
    <w:rsid w:val="005C78E0"/>
    <w:rsid w:val="005C7B0A"/>
    <w:rsid w:val="005D1294"/>
    <w:rsid w:val="005D19BF"/>
    <w:rsid w:val="005D19DB"/>
    <w:rsid w:val="005D1B30"/>
    <w:rsid w:val="005D1F27"/>
    <w:rsid w:val="005D273B"/>
    <w:rsid w:val="005D2E07"/>
    <w:rsid w:val="005D3207"/>
    <w:rsid w:val="005D52AC"/>
    <w:rsid w:val="005D564A"/>
    <w:rsid w:val="005D5C15"/>
    <w:rsid w:val="005D5E50"/>
    <w:rsid w:val="005D6724"/>
    <w:rsid w:val="005D6A07"/>
    <w:rsid w:val="005D6F85"/>
    <w:rsid w:val="005E00A6"/>
    <w:rsid w:val="005E0B3C"/>
    <w:rsid w:val="005E0D59"/>
    <w:rsid w:val="005E144E"/>
    <w:rsid w:val="005E1870"/>
    <w:rsid w:val="005E1DE5"/>
    <w:rsid w:val="005E2160"/>
    <w:rsid w:val="005E306A"/>
    <w:rsid w:val="005E5BFB"/>
    <w:rsid w:val="005E6B6B"/>
    <w:rsid w:val="005E779C"/>
    <w:rsid w:val="005F0042"/>
    <w:rsid w:val="005F0DE6"/>
    <w:rsid w:val="005F201B"/>
    <w:rsid w:val="005F22B2"/>
    <w:rsid w:val="005F2A8B"/>
    <w:rsid w:val="005F2D33"/>
    <w:rsid w:val="005F3FDC"/>
    <w:rsid w:val="005F43CF"/>
    <w:rsid w:val="005F4714"/>
    <w:rsid w:val="005F4FE8"/>
    <w:rsid w:val="005F52A4"/>
    <w:rsid w:val="005F5F7C"/>
    <w:rsid w:val="005F6C10"/>
    <w:rsid w:val="005F7B08"/>
    <w:rsid w:val="005F7BAA"/>
    <w:rsid w:val="00601ED0"/>
    <w:rsid w:val="006020AC"/>
    <w:rsid w:val="0060251E"/>
    <w:rsid w:val="00604B25"/>
    <w:rsid w:val="00604C31"/>
    <w:rsid w:val="00605220"/>
    <w:rsid w:val="00606591"/>
    <w:rsid w:val="00606D73"/>
    <w:rsid w:val="00607213"/>
    <w:rsid w:val="00610741"/>
    <w:rsid w:val="00610856"/>
    <w:rsid w:val="00610E0E"/>
    <w:rsid w:val="006115C0"/>
    <w:rsid w:val="00611D8B"/>
    <w:rsid w:val="00613686"/>
    <w:rsid w:val="006140C2"/>
    <w:rsid w:val="0061511B"/>
    <w:rsid w:val="00615126"/>
    <w:rsid w:val="00617003"/>
    <w:rsid w:val="00617BBC"/>
    <w:rsid w:val="006204B0"/>
    <w:rsid w:val="00620E0B"/>
    <w:rsid w:val="00622608"/>
    <w:rsid w:val="00622B75"/>
    <w:rsid w:val="006238C3"/>
    <w:rsid w:val="006247B1"/>
    <w:rsid w:val="00624FFF"/>
    <w:rsid w:val="00625011"/>
    <w:rsid w:val="0062694D"/>
    <w:rsid w:val="006308AF"/>
    <w:rsid w:val="00630E04"/>
    <w:rsid w:val="00632F57"/>
    <w:rsid w:val="00633B13"/>
    <w:rsid w:val="006342D8"/>
    <w:rsid w:val="00635572"/>
    <w:rsid w:val="00635BFE"/>
    <w:rsid w:val="00637740"/>
    <w:rsid w:val="00637997"/>
    <w:rsid w:val="006400F3"/>
    <w:rsid w:val="00640A82"/>
    <w:rsid w:val="00641148"/>
    <w:rsid w:val="00642571"/>
    <w:rsid w:val="00642E2A"/>
    <w:rsid w:val="00645185"/>
    <w:rsid w:val="0064646D"/>
    <w:rsid w:val="006529B2"/>
    <w:rsid w:val="00652CC9"/>
    <w:rsid w:val="00656ABB"/>
    <w:rsid w:val="006577C2"/>
    <w:rsid w:val="00660C13"/>
    <w:rsid w:val="00661088"/>
    <w:rsid w:val="0066173B"/>
    <w:rsid w:val="00662B68"/>
    <w:rsid w:val="00663644"/>
    <w:rsid w:val="006639C9"/>
    <w:rsid w:val="006648DE"/>
    <w:rsid w:val="006725C0"/>
    <w:rsid w:val="00673658"/>
    <w:rsid w:val="00673EDF"/>
    <w:rsid w:val="0067464C"/>
    <w:rsid w:val="00676E5F"/>
    <w:rsid w:val="00677002"/>
    <w:rsid w:val="0068052E"/>
    <w:rsid w:val="00680A03"/>
    <w:rsid w:val="00680FE1"/>
    <w:rsid w:val="00682AA1"/>
    <w:rsid w:val="00682C4F"/>
    <w:rsid w:val="00683DBA"/>
    <w:rsid w:val="0068477B"/>
    <w:rsid w:val="006861C0"/>
    <w:rsid w:val="00686CC6"/>
    <w:rsid w:val="00686D07"/>
    <w:rsid w:val="00687953"/>
    <w:rsid w:val="00690730"/>
    <w:rsid w:val="00690779"/>
    <w:rsid w:val="00690E94"/>
    <w:rsid w:val="006918B8"/>
    <w:rsid w:val="006929A3"/>
    <w:rsid w:val="00694580"/>
    <w:rsid w:val="00694CDA"/>
    <w:rsid w:val="00695080"/>
    <w:rsid w:val="00695E8F"/>
    <w:rsid w:val="006960C4"/>
    <w:rsid w:val="00696B58"/>
    <w:rsid w:val="006A0550"/>
    <w:rsid w:val="006A2634"/>
    <w:rsid w:val="006A2D3A"/>
    <w:rsid w:val="006A2D59"/>
    <w:rsid w:val="006A3BD6"/>
    <w:rsid w:val="006A51C7"/>
    <w:rsid w:val="006A5B6A"/>
    <w:rsid w:val="006A6666"/>
    <w:rsid w:val="006A6DC7"/>
    <w:rsid w:val="006A73D5"/>
    <w:rsid w:val="006A77E4"/>
    <w:rsid w:val="006A7CA6"/>
    <w:rsid w:val="006B048C"/>
    <w:rsid w:val="006B0B52"/>
    <w:rsid w:val="006B19E8"/>
    <w:rsid w:val="006B4205"/>
    <w:rsid w:val="006B45D1"/>
    <w:rsid w:val="006B4886"/>
    <w:rsid w:val="006C1639"/>
    <w:rsid w:val="006C24E0"/>
    <w:rsid w:val="006C28C4"/>
    <w:rsid w:val="006C2A51"/>
    <w:rsid w:val="006C2CA7"/>
    <w:rsid w:val="006C3B2E"/>
    <w:rsid w:val="006C48E2"/>
    <w:rsid w:val="006C4FA9"/>
    <w:rsid w:val="006C5AAF"/>
    <w:rsid w:val="006C662D"/>
    <w:rsid w:val="006C6D2D"/>
    <w:rsid w:val="006C7150"/>
    <w:rsid w:val="006C7777"/>
    <w:rsid w:val="006D0067"/>
    <w:rsid w:val="006D3391"/>
    <w:rsid w:val="006D40BD"/>
    <w:rsid w:val="006D51F0"/>
    <w:rsid w:val="006D54B2"/>
    <w:rsid w:val="006D61A8"/>
    <w:rsid w:val="006D7636"/>
    <w:rsid w:val="006D7E1E"/>
    <w:rsid w:val="006D7E40"/>
    <w:rsid w:val="006E1185"/>
    <w:rsid w:val="006E2CF6"/>
    <w:rsid w:val="006E4889"/>
    <w:rsid w:val="006E509F"/>
    <w:rsid w:val="006E5692"/>
    <w:rsid w:val="006E5E03"/>
    <w:rsid w:val="006E6B01"/>
    <w:rsid w:val="006E7C96"/>
    <w:rsid w:val="006F1A9B"/>
    <w:rsid w:val="006F25BD"/>
    <w:rsid w:val="006F45A4"/>
    <w:rsid w:val="006F6330"/>
    <w:rsid w:val="006F6A84"/>
    <w:rsid w:val="00700A33"/>
    <w:rsid w:val="007012A3"/>
    <w:rsid w:val="00701309"/>
    <w:rsid w:val="00702BA3"/>
    <w:rsid w:val="00702BD3"/>
    <w:rsid w:val="0070341A"/>
    <w:rsid w:val="0070344A"/>
    <w:rsid w:val="007046B3"/>
    <w:rsid w:val="007063DE"/>
    <w:rsid w:val="00706751"/>
    <w:rsid w:val="00706C21"/>
    <w:rsid w:val="00706C3A"/>
    <w:rsid w:val="00707748"/>
    <w:rsid w:val="00707F0F"/>
    <w:rsid w:val="0071096C"/>
    <w:rsid w:val="00710A74"/>
    <w:rsid w:val="00711854"/>
    <w:rsid w:val="00711FBE"/>
    <w:rsid w:val="007125AD"/>
    <w:rsid w:val="0071360E"/>
    <w:rsid w:val="0071481F"/>
    <w:rsid w:val="00714C20"/>
    <w:rsid w:val="00714C8F"/>
    <w:rsid w:val="0071522B"/>
    <w:rsid w:val="00716B45"/>
    <w:rsid w:val="00716F88"/>
    <w:rsid w:val="00721C4D"/>
    <w:rsid w:val="00722196"/>
    <w:rsid w:val="0072230C"/>
    <w:rsid w:val="00722D8E"/>
    <w:rsid w:val="0072320A"/>
    <w:rsid w:val="00724EAB"/>
    <w:rsid w:val="00725DD8"/>
    <w:rsid w:val="00726D38"/>
    <w:rsid w:val="0072795B"/>
    <w:rsid w:val="007304EA"/>
    <w:rsid w:val="007315FA"/>
    <w:rsid w:val="00733BAD"/>
    <w:rsid w:val="00733FC2"/>
    <w:rsid w:val="007349F7"/>
    <w:rsid w:val="00736CB8"/>
    <w:rsid w:val="00740D86"/>
    <w:rsid w:val="0074177F"/>
    <w:rsid w:val="00742BCF"/>
    <w:rsid w:val="00744304"/>
    <w:rsid w:val="007448A4"/>
    <w:rsid w:val="00745F0F"/>
    <w:rsid w:val="00745FF3"/>
    <w:rsid w:val="007461E3"/>
    <w:rsid w:val="00746637"/>
    <w:rsid w:val="00746A26"/>
    <w:rsid w:val="0074728E"/>
    <w:rsid w:val="00747F34"/>
    <w:rsid w:val="00750857"/>
    <w:rsid w:val="007510C9"/>
    <w:rsid w:val="00751850"/>
    <w:rsid w:val="00752B06"/>
    <w:rsid w:val="00755131"/>
    <w:rsid w:val="00755DFC"/>
    <w:rsid w:val="007568F5"/>
    <w:rsid w:val="007615F8"/>
    <w:rsid w:val="00761A8D"/>
    <w:rsid w:val="00762406"/>
    <w:rsid w:val="0076255A"/>
    <w:rsid w:val="00762AAF"/>
    <w:rsid w:val="00763528"/>
    <w:rsid w:val="0076371E"/>
    <w:rsid w:val="00764DAC"/>
    <w:rsid w:val="00765633"/>
    <w:rsid w:val="0076658B"/>
    <w:rsid w:val="00766955"/>
    <w:rsid w:val="00767987"/>
    <w:rsid w:val="00770B37"/>
    <w:rsid w:val="00772576"/>
    <w:rsid w:val="00772FA3"/>
    <w:rsid w:val="00773D78"/>
    <w:rsid w:val="00774438"/>
    <w:rsid w:val="007754C2"/>
    <w:rsid w:val="00776312"/>
    <w:rsid w:val="00777302"/>
    <w:rsid w:val="007804EE"/>
    <w:rsid w:val="007806FA"/>
    <w:rsid w:val="00780849"/>
    <w:rsid w:val="007820DC"/>
    <w:rsid w:val="0078294E"/>
    <w:rsid w:val="00782D2B"/>
    <w:rsid w:val="00783036"/>
    <w:rsid w:val="0078387C"/>
    <w:rsid w:val="007842A9"/>
    <w:rsid w:val="00784486"/>
    <w:rsid w:val="00787062"/>
    <w:rsid w:val="00787A23"/>
    <w:rsid w:val="00790DD6"/>
    <w:rsid w:val="0079188D"/>
    <w:rsid w:val="00793A27"/>
    <w:rsid w:val="007941F5"/>
    <w:rsid w:val="0079468E"/>
    <w:rsid w:val="00794EC5"/>
    <w:rsid w:val="007968EA"/>
    <w:rsid w:val="0079786D"/>
    <w:rsid w:val="007A0551"/>
    <w:rsid w:val="007A0A06"/>
    <w:rsid w:val="007A0A6B"/>
    <w:rsid w:val="007A0EB1"/>
    <w:rsid w:val="007A2C3D"/>
    <w:rsid w:val="007A348B"/>
    <w:rsid w:val="007A4B7F"/>
    <w:rsid w:val="007A503C"/>
    <w:rsid w:val="007A5ED3"/>
    <w:rsid w:val="007A6961"/>
    <w:rsid w:val="007A6F54"/>
    <w:rsid w:val="007A79EB"/>
    <w:rsid w:val="007A7CB0"/>
    <w:rsid w:val="007B07EE"/>
    <w:rsid w:val="007B0A3C"/>
    <w:rsid w:val="007B0DB9"/>
    <w:rsid w:val="007B1D76"/>
    <w:rsid w:val="007B1E51"/>
    <w:rsid w:val="007B298D"/>
    <w:rsid w:val="007B3172"/>
    <w:rsid w:val="007B44EC"/>
    <w:rsid w:val="007B4A01"/>
    <w:rsid w:val="007B5AAD"/>
    <w:rsid w:val="007B6572"/>
    <w:rsid w:val="007B6721"/>
    <w:rsid w:val="007B6FA2"/>
    <w:rsid w:val="007B74AF"/>
    <w:rsid w:val="007B7AFD"/>
    <w:rsid w:val="007C01A2"/>
    <w:rsid w:val="007C09FD"/>
    <w:rsid w:val="007C0BFF"/>
    <w:rsid w:val="007C0FFA"/>
    <w:rsid w:val="007C16F0"/>
    <w:rsid w:val="007C2331"/>
    <w:rsid w:val="007C24FF"/>
    <w:rsid w:val="007C3538"/>
    <w:rsid w:val="007C4AAB"/>
    <w:rsid w:val="007C62B5"/>
    <w:rsid w:val="007C7D72"/>
    <w:rsid w:val="007D0501"/>
    <w:rsid w:val="007D1246"/>
    <w:rsid w:val="007D2765"/>
    <w:rsid w:val="007D32C5"/>
    <w:rsid w:val="007D3F8C"/>
    <w:rsid w:val="007D4FE1"/>
    <w:rsid w:val="007D597A"/>
    <w:rsid w:val="007D65ED"/>
    <w:rsid w:val="007D6DDB"/>
    <w:rsid w:val="007D70BD"/>
    <w:rsid w:val="007E00AB"/>
    <w:rsid w:val="007E057A"/>
    <w:rsid w:val="007E0EBB"/>
    <w:rsid w:val="007E18A3"/>
    <w:rsid w:val="007E3762"/>
    <w:rsid w:val="007E437A"/>
    <w:rsid w:val="007E4C05"/>
    <w:rsid w:val="007E7DA2"/>
    <w:rsid w:val="007F06D1"/>
    <w:rsid w:val="007F0F4B"/>
    <w:rsid w:val="007F15BA"/>
    <w:rsid w:val="007F20C3"/>
    <w:rsid w:val="007F21FD"/>
    <w:rsid w:val="007F2484"/>
    <w:rsid w:val="007F307B"/>
    <w:rsid w:val="007F3C10"/>
    <w:rsid w:val="007F3D7F"/>
    <w:rsid w:val="007F4540"/>
    <w:rsid w:val="007F4EB6"/>
    <w:rsid w:val="007F5F65"/>
    <w:rsid w:val="007F69D7"/>
    <w:rsid w:val="007F6BD9"/>
    <w:rsid w:val="007F6C72"/>
    <w:rsid w:val="007F73B4"/>
    <w:rsid w:val="00801D49"/>
    <w:rsid w:val="00803443"/>
    <w:rsid w:val="00803AF4"/>
    <w:rsid w:val="00804E9E"/>
    <w:rsid w:val="00805256"/>
    <w:rsid w:val="0080532D"/>
    <w:rsid w:val="00805832"/>
    <w:rsid w:val="00805DE7"/>
    <w:rsid w:val="008064EE"/>
    <w:rsid w:val="008065CB"/>
    <w:rsid w:val="0080684B"/>
    <w:rsid w:val="00807018"/>
    <w:rsid w:val="008105CF"/>
    <w:rsid w:val="00810ED5"/>
    <w:rsid w:val="008121EB"/>
    <w:rsid w:val="00813161"/>
    <w:rsid w:val="00813297"/>
    <w:rsid w:val="008164CE"/>
    <w:rsid w:val="008176E8"/>
    <w:rsid w:val="00817D43"/>
    <w:rsid w:val="008204CD"/>
    <w:rsid w:val="00820813"/>
    <w:rsid w:val="0082143F"/>
    <w:rsid w:val="00821618"/>
    <w:rsid w:val="008231F7"/>
    <w:rsid w:val="00824344"/>
    <w:rsid w:val="00824FE6"/>
    <w:rsid w:val="00825479"/>
    <w:rsid w:val="008258DE"/>
    <w:rsid w:val="00825AD0"/>
    <w:rsid w:val="00826B3D"/>
    <w:rsid w:val="008273CE"/>
    <w:rsid w:val="008276D1"/>
    <w:rsid w:val="00830D7E"/>
    <w:rsid w:val="00831372"/>
    <w:rsid w:val="0083224E"/>
    <w:rsid w:val="008322F2"/>
    <w:rsid w:val="00832485"/>
    <w:rsid w:val="0083308B"/>
    <w:rsid w:val="0083358B"/>
    <w:rsid w:val="00834859"/>
    <w:rsid w:val="008351C4"/>
    <w:rsid w:val="00835C27"/>
    <w:rsid w:val="00836642"/>
    <w:rsid w:val="00837947"/>
    <w:rsid w:val="008379C3"/>
    <w:rsid w:val="008405A5"/>
    <w:rsid w:val="00840FAE"/>
    <w:rsid w:val="00841314"/>
    <w:rsid w:val="0084319C"/>
    <w:rsid w:val="00843D4E"/>
    <w:rsid w:val="00844DDE"/>
    <w:rsid w:val="00850420"/>
    <w:rsid w:val="0085260C"/>
    <w:rsid w:val="0085264F"/>
    <w:rsid w:val="008543D4"/>
    <w:rsid w:val="008544AD"/>
    <w:rsid w:val="008554C4"/>
    <w:rsid w:val="00855990"/>
    <w:rsid w:val="00855CB6"/>
    <w:rsid w:val="00860050"/>
    <w:rsid w:val="00860426"/>
    <w:rsid w:val="0086049D"/>
    <w:rsid w:val="00862276"/>
    <w:rsid w:val="0086442D"/>
    <w:rsid w:val="00865F92"/>
    <w:rsid w:val="00866708"/>
    <w:rsid w:val="008671D0"/>
    <w:rsid w:val="00870F5E"/>
    <w:rsid w:val="008711F4"/>
    <w:rsid w:val="008713BA"/>
    <w:rsid w:val="00874806"/>
    <w:rsid w:val="008756CD"/>
    <w:rsid w:val="008757FF"/>
    <w:rsid w:val="00875848"/>
    <w:rsid w:val="008768B4"/>
    <w:rsid w:val="00880662"/>
    <w:rsid w:val="00882994"/>
    <w:rsid w:val="00883C64"/>
    <w:rsid w:val="008840AC"/>
    <w:rsid w:val="008841B9"/>
    <w:rsid w:val="00884212"/>
    <w:rsid w:val="00884CE8"/>
    <w:rsid w:val="00884D6F"/>
    <w:rsid w:val="0088576D"/>
    <w:rsid w:val="00886258"/>
    <w:rsid w:val="008876BA"/>
    <w:rsid w:val="00890D09"/>
    <w:rsid w:val="00891C69"/>
    <w:rsid w:val="0089264B"/>
    <w:rsid w:val="008928C2"/>
    <w:rsid w:val="00892971"/>
    <w:rsid w:val="00892BD1"/>
    <w:rsid w:val="00892E89"/>
    <w:rsid w:val="00893DD7"/>
    <w:rsid w:val="00894AA0"/>
    <w:rsid w:val="00894F7D"/>
    <w:rsid w:val="008951EB"/>
    <w:rsid w:val="008957CE"/>
    <w:rsid w:val="008959E7"/>
    <w:rsid w:val="008978A0"/>
    <w:rsid w:val="008A1C2D"/>
    <w:rsid w:val="008A4D9E"/>
    <w:rsid w:val="008A5A18"/>
    <w:rsid w:val="008A5D11"/>
    <w:rsid w:val="008A6CC6"/>
    <w:rsid w:val="008A700C"/>
    <w:rsid w:val="008A73A7"/>
    <w:rsid w:val="008B0018"/>
    <w:rsid w:val="008B18C5"/>
    <w:rsid w:val="008B267D"/>
    <w:rsid w:val="008B26C3"/>
    <w:rsid w:val="008B273B"/>
    <w:rsid w:val="008B5D07"/>
    <w:rsid w:val="008B5D9B"/>
    <w:rsid w:val="008B6D99"/>
    <w:rsid w:val="008B726D"/>
    <w:rsid w:val="008B764C"/>
    <w:rsid w:val="008B79D3"/>
    <w:rsid w:val="008B7C8D"/>
    <w:rsid w:val="008C032C"/>
    <w:rsid w:val="008C07E6"/>
    <w:rsid w:val="008C0C6F"/>
    <w:rsid w:val="008C378D"/>
    <w:rsid w:val="008C3C6D"/>
    <w:rsid w:val="008C4C1C"/>
    <w:rsid w:val="008C571A"/>
    <w:rsid w:val="008C5FD0"/>
    <w:rsid w:val="008C7724"/>
    <w:rsid w:val="008D0154"/>
    <w:rsid w:val="008D1533"/>
    <w:rsid w:val="008D17C7"/>
    <w:rsid w:val="008D1A14"/>
    <w:rsid w:val="008D24CC"/>
    <w:rsid w:val="008D2FA5"/>
    <w:rsid w:val="008D40F9"/>
    <w:rsid w:val="008D4304"/>
    <w:rsid w:val="008D5423"/>
    <w:rsid w:val="008D59A1"/>
    <w:rsid w:val="008D66CA"/>
    <w:rsid w:val="008D6836"/>
    <w:rsid w:val="008E03EB"/>
    <w:rsid w:val="008E1E52"/>
    <w:rsid w:val="008E2F3C"/>
    <w:rsid w:val="008E35F9"/>
    <w:rsid w:val="008E438B"/>
    <w:rsid w:val="008E4A66"/>
    <w:rsid w:val="008E5258"/>
    <w:rsid w:val="008E5341"/>
    <w:rsid w:val="008E650B"/>
    <w:rsid w:val="008E6554"/>
    <w:rsid w:val="008E7F37"/>
    <w:rsid w:val="008F0D9F"/>
    <w:rsid w:val="008F22AD"/>
    <w:rsid w:val="008F296A"/>
    <w:rsid w:val="008F494E"/>
    <w:rsid w:val="008F572E"/>
    <w:rsid w:val="008F73FE"/>
    <w:rsid w:val="008F7B99"/>
    <w:rsid w:val="0090059C"/>
    <w:rsid w:val="00900841"/>
    <w:rsid w:val="0090167B"/>
    <w:rsid w:val="00901870"/>
    <w:rsid w:val="00902371"/>
    <w:rsid w:val="00902625"/>
    <w:rsid w:val="00902CC2"/>
    <w:rsid w:val="00902F9C"/>
    <w:rsid w:val="009033E2"/>
    <w:rsid w:val="00903A48"/>
    <w:rsid w:val="00903DB9"/>
    <w:rsid w:val="00905408"/>
    <w:rsid w:val="00905A04"/>
    <w:rsid w:val="009074B9"/>
    <w:rsid w:val="0090766C"/>
    <w:rsid w:val="00911A51"/>
    <w:rsid w:val="00920352"/>
    <w:rsid w:val="009203F5"/>
    <w:rsid w:val="00920C34"/>
    <w:rsid w:val="00921BA1"/>
    <w:rsid w:val="00921FC2"/>
    <w:rsid w:val="00924BCD"/>
    <w:rsid w:val="00924D64"/>
    <w:rsid w:val="00924E02"/>
    <w:rsid w:val="00927505"/>
    <w:rsid w:val="00930D9D"/>
    <w:rsid w:val="00931AF4"/>
    <w:rsid w:val="00931B4E"/>
    <w:rsid w:val="00932A88"/>
    <w:rsid w:val="00932D61"/>
    <w:rsid w:val="009332B9"/>
    <w:rsid w:val="009348E5"/>
    <w:rsid w:val="009363FB"/>
    <w:rsid w:val="00937682"/>
    <w:rsid w:val="009377AA"/>
    <w:rsid w:val="00937A0F"/>
    <w:rsid w:val="0094137B"/>
    <w:rsid w:val="00945276"/>
    <w:rsid w:val="009460A6"/>
    <w:rsid w:val="00946B8D"/>
    <w:rsid w:val="00947110"/>
    <w:rsid w:val="00947D33"/>
    <w:rsid w:val="00950C16"/>
    <w:rsid w:val="00951309"/>
    <w:rsid w:val="009517D2"/>
    <w:rsid w:val="00952B02"/>
    <w:rsid w:val="00952D87"/>
    <w:rsid w:val="00953786"/>
    <w:rsid w:val="00953839"/>
    <w:rsid w:val="00953D54"/>
    <w:rsid w:val="00953E65"/>
    <w:rsid w:val="00954D14"/>
    <w:rsid w:val="0095585F"/>
    <w:rsid w:val="009559DF"/>
    <w:rsid w:val="00956E74"/>
    <w:rsid w:val="009572E4"/>
    <w:rsid w:val="00957316"/>
    <w:rsid w:val="00960577"/>
    <w:rsid w:val="009623DF"/>
    <w:rsid w:val="00964377"/>
    <w:rsid w:val="009646BC"/>
    <w:rsid w:val="00965809"/>
    <w:rsid w:val="00966943"/>
    <w:rsid w:val="00967C93"/>
    <w:rsid w:val="00970611"/>
    <w:rsid w:val="0097118D"/>
    <w:rsid w:val="009725CC"/>
    <w:rsid w:val="0097266E"/>
    <w:rsid w:val="00972C79"/>
    <w:rsid w:val="009731E8"/>
    <w:rsid w:val="009740BE"/>
    <w:rsid w:val="009753EC"/>
    <w:rsid w:val="00975FAB"/>
    <w:rsid w:val="00976D78"/>
    <w:rsid w:val="00977318"/>
    <w:rsid w:val="00977798"/>
    <w:rsid w:val="00977F55"/>
    <w:rsid w:val="0098062D"/>
    <w:rsid w:val="0098064D"/>
    <w:rsid w:val="0098119D"/>
    <w:rsid w:val="00981F9D"/>
    <w:rsid w:val="00982BF7"/>
    <w:rsid w:val="0098366B"/>
    <w:rsid w:val="009841E3"/>
    <w:rsid w:val="00984A8C"/>
    <w:rsid w:val="0098511D"/>
    <w:rsid w:val="0098537C"/>
    <w:rsid w:val="00985413"/>
    <w:rsid w:val="00985694"/>
    <w:rsid w:val="00985C82"/>
    <w:rsid w:val="00985C8D"/>
    <w:rsid w:val="009861E3"/>
    <w:rsid w:val="00986346"/>
    <w:rsid w:val="009866AD"/>
    <w:rsid w:val="00986C7D"/>
    <w:rsid w:val="00990B0F"/>
    <w:rsid w:val="00990FFB"/>
    <w:rsid w:val="00991163"/>
    <w:rsid w:val="00991C3F"/>
    <w:rsid w:val="00991E7D"/>
    <w:rsid w:val="009922FF"/>
    <w:rsid w:val="009923BC"/>
    <w:rsid w:val="0099279B"/>
    <w:rsid w:val="00992BEC"/>
    <w:rsid w:val="00992DE4"/>
    <w:rsid w:val="00992E61"/>
    <w:rsid w:val="00993511"/>
    <w:rsid w:val="009963B0"/>
    <w:rsid w:val="00997EF1"/>
    <w:rsid w:val="009A1385"/>
    <w:rsid w:val="009A14BA"/>
    <w:rsid w:val="009A2413"/>
    <w:rsid w:val="009A2676"/>
    <w:rsid w:val="009A461E"/>
    <w:rsid w:val="009A5686"/>
    <w:rsid w:val="009A67EC"/>
    <w:rsid w:val="009A7E71"/>
    <w:rsid w:val="009B0AFE"/>
    <w:rsid w:val="009B2B95"/>
    <w:rsid w:val="009B3E92"/>
    <w:rsid w:val="009B4AC8"/>
    <w:rsid w:val="009B6B6D"/>
    <w:rsid w:val="009B7A72"/>
    <w:rsid w:val="009C14B7"/>
    <w:rsid w:val="009C1A18"/>
    <w:rsid w:val="009C301A"/>
    <w:rsid w:val="009C349C"/>
    <w:rsid w:val="009C381C"/>
    <w:rsid w:val="009C556C"/>
    <w:rsid w:val="009C591C"/>
    <w:rsid w:val="009C5F29"/>
    <w:rsid w:val="009C6ACE"/>
    <w:rsid w:val="009C6BEB"/>
    <w:rsid w:val="009C6E76"/>
    <w:rsid w:val="009C7983"/>
    <w:rsid w:val="009D189B"/>
    <w:rsid w:val="009D1AE9"/>
    <w:rsid w:val="009D1BE0"/>
    <w:rsid w:val="009D3D51"/>
    <w:rsid w:val="009D4827"/>
    <w:rsid w:val="009D7561"/>
    <w:rsid w:val="009D7E78"/>
    <w:rsid w:val="009E00A0"/>
    <w:rsid w:val="009E02A7"/>
    <w:rsid w:val="009E1C96"/>
    <w:rsid w:val="009E3F7D"/>
    <w:rsid w:val="009E48A5"/>
    <w:rsid w:val="009E50DE"/>
    <w:rsid w:val="009E705A"/>
    <w:rsid w:val="009F0993"/>
    <w:rsid w:val="009F0E35"/>
    <w:rsid w:val="009F14FC"/>
    <w:rsid w:val="009F2CC3"/>
    <w:rsid w:val="009F2F4A"/>
    <w:rsid w:val="009F3AE6"/>
    <w:rsid w:val="009F4582"/>
    <w:rsid w:val="009F6231"/>
    <w:rsid w:val="009F6396"/>
    <w:rsid w:val="009F6552"/>
    <w:rsid w:val="009F68FE"/>
    <w:rsid w:val="009F75F9"/>
    <w:rsid w:val="009F7FE2"/>
    <w:rsid w:val="00A0099C"/>
    <w:rsid w:val="00A01C2E"/>
    <w:rsid w:val="00A02671"/>
    <w:rsid w:val="00A02BDD"/>
    <w:rsid w:val="00A04DB0"/>
    <w:rsid w:val="00A0559B"/>
    <w:rsid w:val="00A0562C"/>
    <w:rsid w:val="00A05FAA"/>
    <w:rsid w:val="00A0737D"/>
    <w:rsid w:val="00A10C00"/>
    <w:rsid w:val="00A10D6B"/>
    <w:rsid w:val="00A1231A"/>
    <w:rsid w:val="00A12CAA"/>
    <w:rsid w:val="00A12F4E"/>
    <w:rsid w:val="00A13161"/>
    <w:rsid w:val="00A133F0"/>
    <w:rsid w:val="00A136AF"/>
    <w:rsid w:val="00A13FB1"/>
    <w:rsid w:val="00A14F4D"/>
    <w:rsid w:val="00A1506F"/>
    <w:rsid w:val="00A16A7F"/>
    <w:rsid w:val="00A17158"/>
    <w:rsid w:val="00A1770B"/>
    <w:rsid w:val="00A2154B"/>
    <w:rsid w:val="00A22536"/>
    <w:rsid w:val="00A225F3"/>
    <w:rsid w:val="00A22A18"/>
    <w:rsid w:val="00A22B5F"/>
    <w:rsid w:val="00A22BA0"/>
    <w:rsid w:val="00A23C92"/>
    <w:rsid w:val="00A23F7A"/>
    <w:rsid w:val="00A24D57"/>
    <w:rsid w:val="00A24D9B"/>
    <w:rsid w:val="00A252BA"/>
    <w:rsid w:val="00A25561"/>
    <w:rsid w:val="00A258A6"/>
    <w:rsid w:val="00A25929"/>
    <w:rsid w:val="00A274C0"/>
    <w:rsid w:val="00A30351"/>
    <w:rsid w:val="00A303C4"/>
    <w:rsid w:val="00A306DA"/>
    <w:rsid w:val="00A321DE"/>
    <w:rsid w:val="00A33B40"/>
    <w:rsid w:val="00A3566D"/>
    <w:rsid w:val="00A360D0"/>
    <w:rsid w:val="00A370CC"/>
    <w:rsid w:val="00A37847"/>
    <w:rsid w:val="00A40170"/>
    <w:rsid w:val="00A40860"/>
    <w:rsid w:val="00A41C7D"/>
    <w:rsid w:val="00A4390E"/>
    <w:rsid w:val="00A441DE"/>
    <w:rsid w:val="00A44B2E"/>
    <w:rsid w:val="00A45C44"/>
    <w:rsid w:val="00A46ACF"/>
    <w:rsid w:val="00A479EA"/>
    <w:rsid w:val="00A47AA8"/>
    <w:rsid w:val="00A47FA9"/>
    <w:rsid w:val="00A5002A"/>
    <w:rsid w:val="00A5009B"/>
    <w:rsid w:val="00A51C8D"/>
    <w:rsid w:val="00A52197"/>
    <w:rsid w:val="00A52C6F"/>
    <w:rsid w:val="00A530E6"/>
    <w:rsid w:val="00A53AEC"/>
    <w:rsid w:val="00A547AE"/>
    <w:rsid w:val="00A54A23"/>
    <w:rsid w:val="00A56911"/>
    <w:rsid w:val="00A57149"/>
    <w:rsid w:val="00A61153"/>
    <w:rsid w:val="00A6213E"/>
    <w:rsid w:val="00A62743"/>
    <w:rsid w:val="00A64741"/>
    <w:rsid w:val="00A65014"/>
    <w:rsid w:val="00A65206"/>
    <w:rsid w:val="00A66998"/>
    <w:rsid w:val="00A66C03"/>
    <w:rsid w:val="00A67701"/>
    <w:rsid w:val="00A70B5F"/>
    <w:rsid w:val="00A7166D"/>
    <w:rsid w:val="00A71E9D"/>
    <w:rsid w:val="00A724C4"/>
    <w:rsid w:val="00A7279F"/>
    <w:rsid w:val="00A72A93"/>
    <w:rsid w:val="00A734C9"/>
    <w:rsid w:val="00A75658"/>
    <w:rsid w:val="00A7666C"/>
    <w:rsid w:val="00A800F1"/>
    <w:rsid w:val="00A81058"/>
    <w:rsid w:val="00A81428"/>
    <w:rsid w:val="00A82DB5"/>
    <w:rsid w:val="00A83492"/>
    <w:rsid w:val="00A840DD"/>
    <w:rsid w:val="00A84634"/>
    <w:rsid w:val="00A84A2B"/>
    <w:rsid w:val="00A86499"/>
    <w:rsid w:val="00A87658"/>
    <w:rsid w:val="00A8770B"/>
    <w:rsid w:val="00A87B9C"/>
    <w:rsid w:val="00A87F6F"/>
    <w:rsid w:val="00A9369B"/>
    <w:rsid w:val="00A93BA3"/>
    <w:rsid w:val="00A95848"/>
    <w:rsid w:val="00A95D78"/>
    <w:rsid w:val="00A971B2"/>
    <w:rsid w:val="00A9772F"/>
    <w:rsid w:val="00A978C1"/>
    <w:rsid w:val="00A97A46"/>
    <w:rsid w:val="00A97E37"/>
    <w:rsid w:val="00AA1F1C"/>
    <w:rsid w:val="00AA342A"/>
    <w:rsid w:val="00AA3687"/>
    <w:rsid w:val="00AA4E7D"/>
    <w:rsid w:val="00AA62E9"/>
    <w:rsid w:val="00AB08AE"/>
    <w:rsid w:val="00AB0A74"/>
    <w:rsid w:val="00AB0FFD"/>
    <w:rsid w:val="00AB321E"/>
    <w:rsid w:val="00AB38A0"/>
    <w:rsid w:val="00AB3923"/>
    <w:rsid w:val="00AB4B43"/>
    <w:rsid w:val="00AB5A13"/>
    <w:rsid w:val="00AB6664"/>
    <w:rsid w:val="00AB6AAF"/>
    <w:rsid w:val="00AB7B4C"/>
    <w:rsid w:val="00AC0A52"/>
    <w:rsid w:val="00AC2FBF"/>
    <w:rsid w:val="00AC3A14"/>
    <w:rsid w:val="00AC3BE7"/>
    <w:rsid w:val="00AC5854"/>
    <w:rsid w:val="00AC58E0"/>
    <w:rsid w:val="00AC6AED"/>
    <w:rsid w:val="00AC6EA1"/>
    <w:rsid w:val="00AC711A"/>
    <w:rsid w:val="00AC79A8"/>
    <w:rsid w:val="00AC7A19"/>
    <w:rsid w:val="00AD1368"/>
    <w:rsid w:val="00AD1E1B"/>
    <w:rsid w:val="00AD20D9"/>
    <w:rsid w:val="00AD2A38"/>
    <w:rsid w:val="00AD2FA8"/>
    <w:rsid w:val="00AD3A76"/>
    <w:rsid w:val="00AD4760"/>
    <w:rsid w:val="00AD5156"/>
    <w:rsid w:val="00AD55AC"/>
    <w:rsid w:val="00AD5CEA"/>
    <w:rsid w:val="00AD762B"/>
    <w:rsid w:val="00AE010A"/>
    <w:rsid w:val="00AE183C"/>
    <w:rsid w:val="00AE18D0"/>
    <w:rsid w:val="00AE1B8F"/>
    <w:rsid w:val="00AE2634"/>
    <w:rsid w:val="00AE2C5E"/>
    <w:rsid w:val="00AE37B4"/>
    <w:rsid w:val="00AE457D"/>
    <w:rsid w:val="00AE4855"/>
    <w:rsid w:val="00AE4D5E"/>
    <w:rsid w:val="00AE5806"/>
    <w:rsid w:val="00AE650F"/>
    <w:rsid w:val="00AE675F"/>
    <w:rsid w:val="00AE69BD"/>
    <w:rsid w:val="00AE6E32"/>
    <w:rsid w:val="00AE73BF"/>
    <w:rsid w:val="00AF0C1A"/>
    <w:rsid w:val="00AF125C"/>
    <w:rsid w:val="00AF2396"/>
    <w:rsid w:val="00AF2FAF"/>
    <w:rsid w:val="00AF363D"/>
    <w:rsid w:val="00AF3C8D"/>
    <w:rsid w:val="00AF4039"/>
    <w:rsid w:val="00AF461A"/>
    <w:rsid w:val="00AF59B6"/>
    <w:rsid w:val="00AF5C4E"/>
    <w:rsid w:val="00AF5F32"/>
    <w:rsid w:val="00AF61C2"/>
    <w:rsid w:val="00B000BF"/>
    <w:rsid w:val="00B0073B"/>
    <w:rsid w:val="00B00948"/>
    <w:rsid w:val="00B01A21"/>
    <w:rsid w:val="00B032A1"/>
    <w:rsid w:val="00B05C6E"/>
    <w:rsid w:val="00B05D39"/>
    <w:rsid w:val="00B07707"/>
    <w:rsid w:val="00B1043F"/>
    <w:rsid w:val="00B10FA3"/>
    <w:rsid w:val="00B137A9"/>
    <w:rsid w:val="00B16325"/>
    <w:rsid w:val="00B17800"/>
    <w:rsid w:val="00B21143"/>
    <w:rsid w:val="00B21A4B"/>
    <w:rsid w:val="00B2264C"/>
    <w:rsid w:val="00B2295E"/>
    <w:rsid w:val="00B2362F"/>
    <w:rsid w:val="00B23F8D"/>
    <w:rsid w:val="00B24254"/>
    <w:rsid w:val="00B2474A"/>
    <w:rsid w:val="00B254E5"/>
    <w:rsid w:val="00B25623"/>
    <w:rsid w:val="00B25847"/>
    <w:rsid w:val="00B270B9"/>
    <w:rsid w:val="00B272A2"/>
    <w:rsid w:val="00B275C1"/>
    <w:rsid w:val="00B27775"/>
    <w:rsid w:val="00B27A5C"/>
    <w:rsid w:val="00B30106"/>
    <w:rsid w:val="00B31191"/>
    <w:rsid w:val="00B3244F"/>
    <w:rsid w:val="00B327A9"/>
    <w:rsid w:val="00B338EE"/>
    <w:rsid w:val="00B33A3A"/>
    <w:rsid w:val="00B34275"/>
    <w:rsid w:val="00B350BA"/>
    <w:rsid w:val="00B353E2"/>
    <w:rsid w:val="00B35BBF"/>
    <w:rsid w:val="00B35C8F"/>
    <w:rsid w:val="00B35CF5"/>
    <w:rsid w:val="00B367A1"/>
    <w:rsid w:val="00B37CA9"/>
    <w:rsid w:val="00B40296"/>
    <w:rsid w:val="00B40BEB"/>
    <w:rsid w:val="00B40C65"/>
    <w:rsid w:val="00B40D21"/>
    <w:rsid w:val="00B415F8"/>
    <w:rsid w:val="00B4217F"/>
    <w:rsid w:val="00B425E8"/>
    <w:rsid w:val="00B44861"/>
    <w:rsid w:val="00B46A3E"/>
    <w:rsid w:val="00B4754D"/>
    <w:rsid w:val="00B47974"/>
    <w:rsid w:val="00B504C3"/>
    <w:rsid w:val="00B50E9C"/>
    <w:rsid w:val="00B51162"/>
    <w:rsid w:val="00B5547A"/>
    <w:rsid w:val="00B60A34"/>
    <w:rsid w:val="00B61176"/>
    <w:rsid w:val="00B617E6"/>
    <w:rsid w:val="00B61A9C"/>
    <w:rsid w:val="00B620ED"/>
    <w:rsid w:val="00B62787"/>
    <w:rsid w:val="00B63FF0"/>
    <w:rsid w:val="00B64D29"/>
    <w:rsid w:val="00B64DA6"/>
    <w:rsid w:val="00B65366"/>
    <w:rsid w:val="00B657D3"/>
    <w:rsid w:val="00B6582B"/>
    <w:rsid w:val="00B66570"/>
    <w:rsid w:val="00B668D1"/>
    <w:rsid w:val="00B66C33"/>
    <w:rsid w:val="00B66FFF"/>
    <w:rsid w:val="00B6747C"/>
    <w:rsid w:val="00B70030"/>
    <w:rsid w:val="00B705A1"/>
    <w:rsid w:val="00B70838"/>
    <w:rsid w:val="00B71A56"/>
    <w:rsid w:val="00B71DA3"/>
    <w:rsid w:val="00B720E9"/>
    <w:rsid w:val="00B7331B"/>
    <w:rsid w:val="00B74421"/>
    <w:rsid w:val="00B75334"/>
    <w:rsid w:val="00B7729A"/>
    <w:rsid w:val="00B77F18"/>
    <w:rsid w:val="00B805F5"/>
    <w:rsid w:val="00B808C0"/>
    <w:rsid w:val="00B80B34"/>
    <w:rsid w:val="00B81A61"/>
    <w:rsid w:val="00B835C4"/>
    <w:rsid w:val="00B83A01"/>
    <w:rsid w:val="00B83F4A"/>
    <w:rsid w:val="00B84D16"/>
    <w:rsid w:val="00B84EF0"/>
    <w:rsid w:val="00B85087"/>
    <w:rsid w:val="00B858F0"/>
    <w:rsid w:val="00B86462"/>
    <w:rsid w:val="00B86756"/>
    <w:rsid w:val="00B86FFE"/>
    <w:rsid w:val="00B87AB8"/>
    <w:rsid w:val="00B9076B"/>
    <w:rsid w:val="00B91097"/>
    <w:rsid w:val="00B91DD0"/>
    <w:rsid w:val="00B92164"/>
    <w:rsid w:val="00B92464"/>
    <w:rsid w:val="00B938CD"/>
    <w:rsid w:val="00B939E4"/>
    <w:rsid w:val="00B93C42"/>
    <w:rsid w:val="00B940D4"/>
    <w:rsid w:val="00B94E42"/>
    <w:rsid w:val="00B953AE"/>
    <w:rsid w:val="00B971E2"/>
    <w:rsid w:val="00BA1D22"/>
    <w:rsid w:val="00BA2163"/>
    <w:rsid w:val="00BA2613"/>
    <w:rsid w:val="00BA3274"/>
    <w:rsid w:val="00BA3F17"/>
    <w:rsid w:val="00BA4BEE"/>
    <w:rsid w:val="00BA6B5A"/>
    <w:rsid w:val="00BA6CDD"/>
    <w:rsid w:val="00BA7F7A"/>
    <w:rsid w:val="00BB0E77"/>
    <w:rsid w:val="00BB3141"/>
    <w:rsid w:val="00BB34EA"/>
    <w:rsid w:val="00BB40AC"/>
    <w:rsid w:val="00BB6717"/>
    <w:rsid w:val="00BB6CFD"/>
    <w:rsid w:val="00BB73A1"/>
    <w:rsid w:val="00BC0620"/>
    <w:rsid w:val="00BC11A6"/>
    <w:rsid w:val="00BC1373"/>
    <w:rsid w:val="00BC143B"/>
    <w:rsid w:val="00BC14C5"/>
    <w:rsid w:val="00BC14F1"/>
    <w:rsid w:val="00BC1B82"/>
    <w:rsid w:val="00BC3270"/>
    <w:rsid w:val="00BC3D67"/>
    <w:rsid w:val="00BC6576"/>
    <w:rsid w:val="00BC7B89"/>
    <w:rsid w:val="00BD115F"/>
    <w:rsid w:val="00BD2608"/>
    <w:rsid w:val="00BD291C"/>
    <w:rsid w:val="00BD3350"/>
    <w:rsid w:val="00BD344C"/>
    <w:rsid w:val="00BD34E6"/>
    <w:rsid w:val="00BD3FD3"/>
    <w:rsid w:val="00BD50D1"/>
    <w:rsid w:val="00BD5FD2"/>
    <w:rsid w:val="00BD624D"/>
    <w:rsid w:val="00BD633E"/>
    <w:rsid w:val="00BD697E"/>
    <w:rsid w:val="00BD6A28"/>
    <w:rsid w:val="00BD6F9D"/>
    <w:rsid w:val="00BD7333"/>
    <w:rsid w:val="00BE2D10"/>
    <w:rsid w:val="00BE2E45"/>
    <w:rsid w:val="00BE2F47"/>
    <w:rsid w:val="00BE3005"/>
    <w:rsid w:val="00BE3C50"/>
    <w:rsid w:val="00BE482A"/>
    <w:rsid w:val="00BF0684"/>
    <w:rsid w:val="00BF0BBF"/>
    <w:rsid w:val="00BF30B6"/>
    <w:rsid w:val="00BF35EB"/>
    <w:rsid w:val="00BF3C1C"/>
    <w:rsid w:val="00BF4650"/>
    <w:rsid w:val="00BF484E"/>
    <w:rsid w:val="00BF4AA4"/>
    <w:rsid w:val="00BF505B"/>
    <w:rsid w:val="00BF5401"/>
    <w:rsid w:val="00BF609B"/>
    <w:rsid w:val="00BF6C07"/>
    <w:rsid w:val="00BF740E"/>
    <w:rsid w:val="00BF7DCF"/>
    <w:rsid w:val="00C003BE"/>
    <w:rsid w:val="00C00753"/>
    <w:rsid w:val="00C0180C"/>
    <w:rsid w:val="00C02022"/>
    <w:rsid w:val="00C02DAD"/>
    <w:rsid w:val="00C05088"/>
    <w:rsid w:val="00C051DE"/>
    <w:rsid w:val="00C059CD"/>
    <w:rsid w:val="00C078D9"/>
    <w:rsid w:val="00C11E6B"/>
    <w:rsid w:val="00C12925"/>
    <w:rsid w:val="00C12E87"/>
    <w:rsid w:val="00C13746"/>
    <w:rsid w:val="00C1391B"/>
    <w:rsid w:val="00C15066"/>
    <w:rsid w:val="00C15A69"/>
    <w:rsid w:val="00C16C69"/>
    <w:rsid w:val="00C170A1"/>
    <w:rsid w:val="00C200B7"/>
    <w:rsid w:val="00C20CBA"/>
    <w:rsid w:val="00C21887"/>
    <w:rsid w:val="00C220A1"/>
    <w:rsid w:val="00C22EE0"/>
    <w:rsid w:val="00C23030"/>
    <w:rsid w:val="00C24271"/>
    <w:rsid w:val="00C2549C"/>
    <w:rsid w:val="00C2583E"/>
    <w:rsid w:val="00C25DBB"/>
    <w:rsid w:val="00C26551"/>
    <w:rsid w:val="00C26A51"/>
    <w:rsid w:val="00C3040B"/>
    <w:rsid w:val="00C315CB"/>
    <w:rsid w:val="00C32711"/>
    <w:rsid w:val="00C3285C"/>
    <w:rsid w:val="00C32FF3"/>
    <w:rsid w:val="00C3301F"/>
    <w:rsid w:val="00C35256"/>
    <w:rsid w:val="00C37948"/>
    <w:rsid w:val="00C40379"/>
    <w:rsid w:val="00C40BC5"/>
    <w:rsid w:val="00C41FA6"/>
    <w:rsid w:val="00C42F18"/>
    <w:rsid w:val="00C443AA"/>
    <w:rsid w:val="00C4444B"/>
    <w:rsid w:val="00C45939"/>
    <w:rsid w:val="00C4602C"/>
    <w:rsid w:val="00C46E55"/>
    <w:rsid w:val="00C46F9F"/>
    <w:rsid w:val="00C472D6"/>
    <w:rsid w:val="00C47EA2"/>
    <w:rsid w:val="00C5186E"/>
    <w:rsid w:val="00C52118"/>
    <w:rsid w:val="00C52E43"/>
    <w:rsid w:val="00C5349D"/>
    <w:rsid w:val="00C54513"/>
    <w:rsid w:val="00C55652"/>
    <w:rsid w:val="00C5582D"/>
    <w:rsid w:val="00C55F38"/>
    <w:rsid w:val="00C5641B"/>
    <w:rsid w:val="00C56689"/>
    <w:rsid w:val="00C6055C"/>
    <w:rsid w:val="00C6106A"/>
    <w:rsid w:val="00C620A4"/>
    <w:rsid w:val="00C627DC"/>
    <w:rsid w:val="00C64050"/>
    <w:rsid w:val="00C64722"/>
    <w:rsid w:val="00C649AF"/>
    <w:rsid w:val="00C659A8"/>
    <w:rsid w:val="00C661FF"/>
    <w:rsid w:val="00C66221"/>
    <w:rsid w:val="00C66E01"/>
    <w:rsid w:val="00C703BC"/>
    <w:rsid w:val="00C70656"/>
    <w:rsid w:val="00C70F25"/>
    <w:rsid w:val="00C72585"/>
    <w:rsid w:val="00C73275"/>
    <w:rsid w:val="00C73AF8"/>
    <w:rsid w:val="00C73EC0"/>
    <w:rsid w:val="00C749A7"/>
    <w:rsid w:val="00C74C9A"/>
    <w:rsid w:val="00C74D51"/>
    <w:rsid w:val="00C761D6"/>
    <w:rsid w:val="00C761FD"/>
    <w:rsid w:val="00C76EA0"/>
    <w:rsid w:val="00C80868"/>
    <w:rsid w:val="00C80887"/>
    <w:rsid w:val="00C811A3"/>
    <w:rsid w:val="00C815DA"/>
    <w:rsid w:val="00C82684"/>
    <w:rsid w:val="00C8279A"/>
    <w:rsid w:val="00C830D7"/>
    <w:rsid w:val="00C83BA7"/>
    <w:rsid w:val="00C851B1"/>
    <w:rsid w:val="00C85328"/>
    <w:rsid w:val="00C86FCC"/>
    <w:rsid w:val="00C877C2"/>
    <w:rsid w:val="00C878FC"/>
    <w:rsid w:val="00C90291"/>
    <w:rsid w:val="00C90DB2"/>
    <w:rsid w:val="00C91700"/>
    <w:rsid w:val="00C923C1"/>
    <w:rsid w:val="00C935C9"/>
    <w:rsid w:val="00C947AB"/>
    <w:rsid w:val="00C95102"/>
    <w:rsid w:val="00C9535E"/>
    <w:rsid w:val="00C95CA2"/>
    <w:rsid w:val="00C96A51"/>
    <w:rsid w:val="00CA0A02"/>
    <w:rsid w:val="00CA110A"/>
    <w:rsid w:val="00CA2B72"/>
    <w:rsid w:val="00CA2F0D"/>
    <w:rsid w:val="00CA3715"/>
    <w:rsid w:val="00CA6AE3"/>
    <w:rsid w:val="00CA786C"/>
    <w:rsid w:val="00CA78B0"/>
    <w:rsid w:val="00CB0321"/>
    <w:rsid w:val="00CB0AB6"/>
    <w:rsid w:val="00CB1B61"/>
    <w:rsid w:val="00CB4277"/>
    <w:rsid w:val="00CB448D"/>
    <w:rsid w:val="00CB69C8"/>
    <w:rsid w:val="00CB6A22"/>
    <w:rsid w:val="00CB6FDD"/>
    <w:rsid w:val="00CB7BE7"/>
    <w:rsid w:val="00CC05E3"/>
    <w:rsid w:val="00CC0832"/>
    <w:rsid w:val="00CC12BE"/>
    <w:rsid w:val="00CC168D"/>
    <w:rsid w:val="00CC1AFC"/>
    <w:rsid w:val="00CC1B59"/>
    <w:rsid w:val="00CC2C1B"/>
    <w:rsid w:val="00CC582D"/>
    <w:rsid w:val="00CC7ABA"/>
    <w:rsid w:val="00CD10DD"/>
    <w:rsid w:val="00CD124D"/>
    <w:rsid w:val="00CD157B"/>
    <w:rsid w:val="00CD24B7"/>
    <w:rsid w:val="00CD2ADE"/>
    <w:rsid w:val="00CD2EEE"/>
    <w:rsid w:val="00CD307B"/>
    <w:rsid w:val="00CD3483"/>
    <w:rsid w:val="00CD43C3"/>
    <w:rsid w:val="00CD4E59"/>
    <w:rsid w:val="00CD5B3C"/>
    <w:rsid w:val="00CD5C54"/>
    <w:rsid w:val="00CD688E"/>
    <w:rsid w:val="00CE147D"/>
    <w:rsid w:val="00CE20D7"/>
    <w:rsid w:val="00CE328F"/>
    <w:rsid w:val="00CE45C7"/>
    <w:rsid w:val="00CE5CDB"/>
    <w:rsid w:val="00CE7CE2"/>
    <w:rsid w:val="00CF07FB"/>
    <w:rsid w:val="00CF0AFA"/>
    <w:rsid w:val="00CF10F9"/>
    <w:rsid w:val="00CF1590"/>
    <w:rsid w:val="00CF1F30"/>
    <w:rsid w:val="00CF3A96"/>
    <w:rsid w:val="00CF4E8D"/>
    <w:rsid w:val="00CF6452"/>
    <w:rsid w:val="00CF7AC0"/>
    <w:rsid w:val="00D0156F"/>
    <w:rsid w:val="00D018D1"/>
    <w:rsid w:val="00D01A5E"/>
    <w:rsid w:val="00D01C30"/>
    <w:rsid w:val="00D01F76"/>
    <w:rsid w:val="00D026AE"/>
    <w:rsid w:val="00D036C4"/>
    <w:rsid w:val="00D03A02"/>
    <w:rsid w:val="00D0422C"/>
    <w:rsid w:val="00D04466"/>
    <w:rsid w:val="00D04F34"/>
    <w:rsid w:val="00D05449"/>
    <w:rsid w:val="00D067E3"/>
    <w:rsid w:val="00D06D77"/>
    <w:rsid w:val="00D070F9"/>
    <w:rsid w:val="00D07C58"/>
    <w:rsid w:val="00D1003C"/>
    <w:rsid w:val="00D12148"/>
    <w:rsid w:val="00D12BDA"/>
    <w:rsid w:val="00D13B24"/>
    <w:rsid w:val="00D13D95"/>
    <w:rsid w:val="00D1581A"/>
    <w:rsid w:val="00D161BB"/>
    <w:rsid w:val="00D162A4"/>
    <w:rsid w:val="00D1775E"/>
    <w:rsid w:val="00D20505"/>
    <w:rsid w:val="00D20965"/>
    <w:rsid w:val="00D212AE"/>
    <w:rsid w:val="00D22819"/>
    <w:rsid w:val="00D22B01"/>
    <w:rsid w:val="00D22BA8"/>
    <w:rsid w:val="00D2450E"/>
    <w:rsid w:val="00D24AD7"/>
    <w:rsid w:val="00D24AE5"/>
    <w:rsid w:val="00D24B71"/>
    <w:rsid w:val="00D273F2"/>
    <w:rsid w:val="00D30126"/>
    <w:rsid w:val="00D3174B"/>
    <w:rsid w:val="00D325A5"/>
    <w:rsid w:val="00D327FB"/>
    <w:rsid w:val="00D329F1"/>
    <w:rsid w:val="00D32B78"/>
    <w:rsid w:val="00D32C45"/>
    <w:rsid w:val="00D32D77"/>
    <w:rsid w:val="00D34EC1"/>
    <w:rsid w:val="00D35472"/>
    <w:rsid w:val="00D35B85"/>
    <w:rsid w:val="00D40935"/>
    <w:rsid w:val="00D40A91"/>
    <w:rsid w:val="00D4153E"/>
    <w:rsid w:val="00D415AB"/>
    <w:rsid w:val="00D415F2"/>
    <w:rsid w:val="00D41F97"/>
    <w:rsid w:val="00D4214F"/>
    <w:rsid w:val="00D42715"/>
    <w:rsid w:val="00D431E1"/>
    <w:rsid w:val="00D43F10"/>
    <w:rsid w:val="00D43FBC"/>
    <w:rsid w:val="00D4416A"/>
    <w:rsid w:val="00D445A6"/>
    <w:rsid w:val="00D44AAE"/>
    <w:rsid w:val="00D44F02"/>
    <w:rsid w:val="00D44F0F"/>
    <w:rsid w:val="00D45682"/>
    <w:rsid w:val="00D45E01"/>
    <w:rsid w:val="00D462FA"/>
    <w:rsid w:val="00D46DAF"/>
    <w:rsid w:val="00D47A40"/>
    <w:rsid w:val="00D50368"/>
    <w:rsid w:val="00D50607"/>
    <w:rsid w:val="00D51609"/>
    <w:rsid w:val="00D5235A"/>
    <w:rsid w:val="00D5387D"/>
    <w:rsid w:val="00D53884"/>
    <w:rsid w:val="00D54CFB"/>
    <w:rsid w:val="00D56EC2"/>
    <w:rsid w:val="00D57021"/>
    <w:rsid w:val="00D601E1"/>
    <w:rsid w:val="00D6360A"/>
    <w:rsid w:val="00D63A5C"/>
    <w:rsid w:val="00D64168"/>
    <w:rsid w:val="00D665DC"/>
    <w:rsid w:val="00D668C3"/>
    <w:rsid w:val="00D672CF"/>
    <w:rsid w:val="00D67562"/>
    <w:rsid w:val="00D67B74"/>
    <w:rsid w:val="00D67BCB"/>
    <w:rsid w:val="00D710E7"/>
    <w:rsid w:val="00D71253"/>
    <w:rsid w:val="00D714DC"/>
    <w:rsid w:val="00D71850"/>
    <w:rsid w:val="00D71A71"/>
    <w:rsid w:val="00D71AA6"/>
    <w:rsid w:val="00D720BA"/>
    <w:rsid w:val="00D731DB"/>
    <w:rsid w:val="00D73699"/>
    <w:rsid w:val="00D74DAB"/>
    <w:rsid w:val="00D77000"/>
    <w:rsid w:val="00D8013F"/>
    <w:rsid w:val="00D80A04"/>
    <w:rsid w:val="00D80A18"/>
    <w:rsid w:val="00D80C02"/>
    <w:rsid w:val="00D81CD0"/>
    <w:rsid w:val="00D81EF8"/>
    <w:rsid w:val="00D82794"/>
    <w:rsid w:val="00D82E69"/>
    <w:rsid w:val="00D83364"/>
    <w:rsid w:val="00D847F3"/>
    <w:rsid w:val="00D84FB5"/>
    <w:rsid w:val="00D85B3C"/>
    <w:rsid w:val="00D86CE6"/>
    <w:rsid w:val="00D86DDE"/>
    <w:rsid w:val="00D918A0"/>
    <w:rsid w:val="00D919E1"/>
    <w:rsid w:val="00D92D07"/>
    <w:rsid w:val="00D92E14"/>
    <w:rsid w:val="00D93BA1"/>
    <w:rsid w:val="00D93F3D"/>
    <w:rsid w:val="00D94EDF"/>
    <w:rsid w:val="00D951B5"/>
    <w:rsid w:val="00D95BE6"/>
    <w:rsid w:val="00D9621C"/>
    <w:rsid w:val="00D96674"/>
    <w:rsid w:val="00D96CC5"/>
    <w:rsid w:val="00D96F0A"/>
    <w:rsid w:val="00D97FBF"/>
    <w:rsid w:val="00DA0543"/>
    <w:rsid w:val="00DA1795"/>
    <w:rsid w:val="00DA24EF"/>
    <w:rsid w:val="00DA26D3"/>
    <w:rsid w:val="00DA2847"/>
    <w:rsid w:val="00DA2B4D"/>
    <w:rsid w:val="00DA2BCC"/>
    <w:rsid w:val="00DA46A5"/>
    <w:rsid w:val="00DA476F"/>
    <w:rsid w:val="00DA5CD0"/>
    <w:rsid w:val="00DA7A10"/>
    <w:rsid w:val="00DB0077"/>
    <w:rsid w:val="00DB118E"/>
    <w:rsid w:val="00DB17AC"/>
    <w:rsid w:val="00DB1D8A"/>
    <w:rsid w:val="00DB29B5"/>
    <w:rsid w:val="00DB393B"/>
    <w:rsid w:val="00DB40C4"/>
    <w:rsid w:val="00DB415B"/>
    <w:rsid w:val="00DB44A8"/>
    <w:rsid w:val="00DB47FC"/>
    <w:rsid w:val="00DB4CF3"/>
    <w:rsid w:val="00DB5B00"/>
    <w:rsid w:val="00DB5B72"/>
    <w:rsid w:val="00DB76B4"/>
    <w:rsid w:val="00DB7CC6"/>
    <w:rsid w:val="00DC07F7"/>
    <w:rsid w:val="00DC09A5"/>
    <w:rsid w:val="00DC11DB"/>
    <w:rsid w:val="00DC2234"/>
    <w:rsid w:val="00DC3E3A"/>
    <w:rsid w:val="00DC68E0"/>
    <w:rsid w:val="00DC6CF3"/>
    <w:rsid w:val="00DC6D10"/>
    <w:rsid w:val="00DC7511"/>
    <w:rsid w:val="00DC7D9C"/>
    <w:rsid w:val="00DD0915"/>
    <w:rsid w:val="00DD16F8"/>
    <w:rsid w:val="00DD245D"/>
    <w:rsid w:val="00DD2B10"/>
    <w:rsid w:val="00DD2E01"/>
    <w:rsid w:val="00DD3200"/>
    <w:rsid w:val="00DD3413"/>
    <w:rsid w:val="00DD3593"/>
    <w:rsid w:val="00DD3F18"/>
    <w:rsid w:val="00DD42E0"/>
    <w:rsid w:val="00DD4847"/>
    <w:rsid w:val="00DD6007"/>
    <w:rsid w:val="00DD6D9B"/>
    <w:rsid w:val="00DE146E"/>
    <w:rsid w:val="00DE1EDD"/>
    <w:rsid w:val="00DE1F14"/>
    <w:rsid w:val="00DE2682"/>
    <w:rsid w:val="00DE2804"/>
    <w:rsid w:val="00DE2A0F"/>
    <w:rsid w:val="00DE370A"/>
    <w:rsid w:val="00DE42C1"/>
    <w:rsid w:val="00DE4588"/>
    <w:rsid w:val="00DE54A0"/>
    <w:rsid w:val="00DE7110"/>
    <w:rsid w:val="00DF00EF"/>
    <w:rsid w:val="00DF0EC7"/>
    <w:rsid w:val="00DF12C6"/>
    <w:rsid w:val="00DF1897"/>
    <w:rsid w:val="00DF219A"/>
    <w:rsid w:val="00DF25DF"/>
    <w:rsid w:val="00DF2613"/>
    <w:rsid w:val="00DF4005"/>
    <w:rsid w:val="00DF6536"/>
    <w:rsid w:val="00DF67E6"/>
    <w:rsid w:val="00E00942"/>
    <w:rsid w:val="00E00EA1"/>
    <w:rsid w:val="00E00FCE"/>
    <w:rsid w:val="00E02FA9"/>
    <w:rsid w:val="00E03278"/>
    <w:rsid w:val="00E03BDD"/>
    <w:rsid w:val="00E044FF"/>
    <w:rsid w:val="00E05BD4"/>
    <w:rsid w:val="00E05CB7"/>
    <w:rsid w:val="00E07409"/>
    <w:rsid w:val="00E074FA"/>
    <w:rsid w:val="00E11E60"/>
    <w:rsid w:val="00E12330"/>
    <w:rsid w:val="00E139C2"/>
    <w:rsid w:val="00E15BA4"/>
    <w:rsid w:val="00E15C3A"/>
    <w:rsid w:val="00E16DF0"/>
    <w:rsid w:val="00E17A1A"/>
    <w:rsid w:val="00E21357"/>
    <w:rsid w:val="00E21C99"/>
    <w:rsid w:val="00E255C6"/>
    <w:rsid w:val="00E25695"/>
    <w:rsid w:val="00E25BF4"/>
    <w:rsid w:val="00E27236"/>
    <w:rsid w:val="00E275CF"/>
    <w:rsid w:val="00E27B67"/>
    <w:rsid w:val="00E302F6"/>
    <w:rsid w:val="00E311D5"/>
    <w:rsid w:val="00E3303C"/>
    <w:rsid w:val="00E33544"/>
    <w:rsid w:val="00E33686"/>
    <w:rsid w:val="00E33731"/>
    <w:rsid w:val="00E35118"/>
    <w:rsid w:val="00E35B3A"/>
    <w:rsid w:val="00E35DF2"/>
    <w:rsid w:val="00E37854"/>
    <w:rsid w:val="00E37ED8"/>
    <w:rsid w:val="00E403C8"/>
    <w:rsid w:val="00E41427"/>
    <w:rsid w:val="00E42640"/>
    <w:rsid w:val="00E439DC"/>
    <w:rsid w:val="00E44B89"/>
    <w:rsid w:val="00E45778"/>
    <w:rsid w:val="00E458D1"/>
    <w:rsid w:val="00E45C8B"/>
    <w:rsid w:val="00E45F92"/>
    <w:rsid w:val="00E4748E"/>
    <w:rsid w:val="00E47A24"/>
    <w:rsid w:val="00E51337"/>
    <w:rsid w:val="00E517B9"/>
    <w:rsid w:val="00E519AD"/>
    <w:rsid w:val="00E51A3B"/>
    <w:rsid w:val="00E52DAB"/>
    <w:rsid w:val="00E533BA"/>
    <w:rsid w:val="00E55137"/>
    <w:rsid w:val="00E55C8A"/>
    <w:rsid w:val="00E5699A"/>
    <w:rsid w:val="00E57108"/>
    <w:rsid w:val="00E57D41"/>
    <w:rsid w:val="00E60CE2"/>
    <w:rsid w:val="00E60D66"/>
    <w:rsid w:val="00E61CE5"/>
    <w:rsid w:val="00E624C8"/>
    <w:rsid w:val="00E62ED6"/>
    <w:rsid w:val="00E646E6"/>
    <w:rsid w:val="00E64B1D"/>
    <w:rsid w:val="00E65142"/>
    <w:rsid w:val="00E6579E"/>
    <w:rsid w:val="00E6581E"/>
    <w:rsid w:val="00E65E3B"/>
    <w:rsid w:val="00E66362"/>
    <w:rsid w:val="00E6639D"/>
    <w:rsid w:val="00E665CF"/>
    <w:rsid w:val="00E66A20"/>
    <w:rsid w:val="00E67392"/>
    <w:rsid w:val="00E7041B"/>
    <w:rsid w:val="00E71AAB"/>
    <w:rsid w:val="00E753C7"/>
    <w:rsid w:val="00E755EE"/>
    <w:rsid w:val="00E7563B"/>
    <w:rsid w:val="00E75D64"/>
    <w:rsid w:val="00E75F81"/>
    <w:rsid w:val="00E76331"/>
    <w:rsid w:val="00E76371"/>
    <w:rsid w:val="00E76B9C"/>
    <w:rsid w:val="00E777BF"/>
    <w:rsid w:val="00E80F2D"/>
    <w:rsid w:val="00E81D24"/>
    <w:rsid w:val="00E82031"/>
    <w:rsid w:val="00E82C01"/>
    <w:rsid w:val="00E833AD"/>
    <w:rsid w:val="00E835BA"/>
    <w:rsid w:val="00E845B3"/>
    <w:rsid w:val="00E84964"/>
    <w:rsid w:val="00E86ED3"/>
    <w:rsid w:val="00E87AA3"/>
    <w:rsid w:val="00E90DEA"/>
    <w:rsid w:val="00E912C5"/>
    <w:rsid w:val="00E92C0D"/>
    <w:rsid w:val="00E93058"/>
    <w:rsid w:val="00E93223"/>
    <w:rsid w:val="00E96270"/>
    <w:rsid w:val="00E96588"/>
    <w:rsid w:val="00E96B47"/>
    <w:rsid w:val="00E9783E"/>
    <w:rsid w:val="00EA0D91"/>
    <w:rsid w:val="00EA1DDB"/>
    <w:rsid w:val="00EA3310"/>
    <w:rsid w:val="00EA3BE2"/>
    <w:rsid w:val="00EA4DFC"/>
    <w:rsid w:val="00EA53AB"/>
    <w:rsid w:val="00EA5EFD"/>
    <w:rsid w:val="00EA65E2"/>
    <w:rsid w:val="00EA7AF9"/>
    <w:rsid w:val="00EB037E"/>
    <w:rsid w:val="00EB1963"/>
    <w:rsid w:val="00EB1FC8"/>
    <w:rsid w:val="00EB2CE9"/>
    <w:rsid w:val="00EB2DAD"/>
    <w:rsid w:val="00EB3234"/>
    <w:rsid w:val="00EB3366"/>
    <w:rsid w:val="00EB3CA9"/>
    <w:rsid w:val="00EB477E"/>
    <w:rsid w:val="00EB49EA"/>
    <w:rsid w:val="00EB5723"/>
    <w:rsid w:val="00EB67DD"/>
    <w:rsid w:val="00EB6CAC"/>
    <w:rsid w:val="00EB7BB6"/>
    <w:rsid w:val="00EC0DA7"/>
    <w:rsid w:val="00EC1471"/>
    <w:rsid w:val="00EC25FC"/>
    <w:rsid w:val="00EC2847"/>
    <w:rsid w:val="00EC324E"/>
    <w:rsid w:val="00EC5AE2"/>
    <w:rsid w:val="00EC698D"/>
    <w:rsid w:val="00EC6A69"/>
    <w:rsid w:val="00EC7089"/>
    <w:rsid w:val="00EC792C"/>
    <w:rsid w:val="00EC7BC8"/>
    <w:rsid w:val="00ED3203"/>
    <w:rsid w:val="00ED5B1D"/>
    <w:rsid w:val="00ED5EEE"/>
    <w:rsid w:val="00ED783D"/>
    <w:rsid w:val="00ED7DFF"/>
    <w:rsid w:val="00EE1165"/>
    <w:rsid w:val="00EE16C9"/>
    <w:rsid w:val="00EE1C0F"/>
    <w:rsid w:val="00EE1CD1"/>
    <w:rsid w:val="00EE20A8"/>
    <w:rsid w:val="00EE2AED"/>
    <w:rsid w:val="00EE2D12"/>
    <w:rsid w:val="00EE33AB"/>
    <w:rsid w:val="00EE3609"/>
    <w:rsid w:val="00EE3C71"/>
    <w:rsid w:val="00EE4274"/>
    <w:rsid w:val="00EE6008"/>
    <w:rsid w:val="00EE7766"/>
    <w:rsid w:val="00EE78DB"/>
    <w:rsid w:val="00EE7F81"/>
    <w:rsid w:val="00EF0A96"/>
    <w:rsid w:val="00EF16DD"/>
    <w:rsid w:val="00EF40C1"/>
    <w:rsid w:val="00EF4A21"/>
    <w:rsid w:val="00EF62AA"/>
    <w:rsid w:val="00EF6831"/>
    <w:rsid w:val="00F012B3"/>
    <w:rsid w:val="00F01308"/>
    <w:rsid w:val="00F01CAF"/>
    <w:rsid w:val="00F02DCB"/>
    <w:rsid w:val="00F036F9"/>
    <w:rsid w:val="00F038AE"/>
    <w:rsid w:val="00F03C68"/>
    <w:rsid w:val="00F043EA"/>
    <w:rsid w:val="00F056FB"/>
    <w:rsid w:val="00F05B45"/>
    <w:rsid w:val="00F05EFB"/>
    <w:rsid w:val="00F06430"/>
    <w:rsid w:val="00F0665F"/>
    <w:rsid w:val="00F10164"/>
    <w:rsid w:val="00F11751"/>
    <w:rsid w:val="00F11A21"/>
    <w:rsid w:val="00F120E9"/>
    <w:rsid w:val="00F124E6"/>
    <w:rsid w:val="00F12C68"/>
    <w:rsid w:val="00F13DF4"/>
    <w:rsid w:val="00F16B23"/>
    <w:rsid w:val="00F20639"/>
    <w:rsid w:val="00F20A7D"/>
    <w:rsid w:val="00F243D3"/>
    <w:rsid w:val="00F24E1D"/>
    <w:rsid w:val="00F250A2"/>
    <w:rsid w:val="00F25762"/>
    <w:rsid w:val="00F25C6F"/>
    <w:rsid w:val="00F26BDB"/>
    <w:rsid w:val="00F26F8E"/>
    <w:rsid w:val="00F2750E"/>
    <w:rsid w:val="00F31B84"/>
    <w:rsid w:val="00F32411"/>
    <w:rsid w:val="00F34088"/>
    <w:rsid w:val="00F35145"/>
    <w:rsid w:val="00F353B0"/>
    <w:rsid w:val="00F35807"/>
    <w:rsid w:val="00F35CE7"/>
    <w:rsid w:val="00F3686E"/>
    <w:rsid w:val="00F36C83"/>
    <w:rsid w:val="00F37C1E"/>
    <w:rsid w:val="00F4144C"/>
    <w:rsid w:val="00F42D9A"/>
    <w:rsid w:val="00F4394A"/>
    <w:rsid w:val="00F442D2"/>
    <w:rsid w:val="00F4458A"/>
    <w:rsid w:val="00F44C9A"/>
    <w:rsid w:val="00F46031"/>
    <w:rsid w:val="00F462FB"/>
    <w:rsid w:val="00F46954"/>
    <w:rsid w:val="00F46CBC"/>
    <w:rsid w:val="00F509A7"/>
    <w:rsid w:val="00F50C04"/>
    <w:rsid w:val="00F51057"/>
    <w:rsid w:val="00F518F2"/>
    <w:rsid w:val="00F51D0B"/>
    <w:rsid w:val="00F52C1D"/>
    <w:rsid w:val="00F53370"/>
    <w:rsid w:val="00F5367F"/>
    <w:rsid w:val="00F55C97"/>
    <w:rsid w:val="00F55D15"/>
    <w:rsid w:val="00F56158"/>
    <w:rsid w:val="00F5662F"/>
    <w:rsid w:val="00F57704"/>
    <w:rsid w:val="00F5797F"/>
    <w:rsid w:val="00F57F16"/>
    <w:rsid w:val="00F60417"/>
    <w:rsid w:val="00F60D06"/>
    <w:rsid w:val="00F60E79"/>
    <w:rsid w:val="00F6360D"/>
    <w:rsid w:val="00F6398F"/>
    <w:rsid w:val="00F63CF4"/>
    <w:rsid w:val="00F64AEA"/>
    <w:rsid w:val="00F66036"/>
    <w:rsid w:val="00F66A03"/>
    <w:rsid w:val="00F66C1D"/>
    <w:rsid w:val="00F67033"/>
    <w:rsid w:val="00F6708D"/>
    <w:rsid w:val="00F67128"/>
    <w:rsid w:val="00F67196"/>
    <w:rsid w:val="00F67DA6"/>
    <w:rsid w:val="00F67E88"/>
    <w:rsid w:val="00F7030A"/>
    <w:rsid w:val="00F704AD"/>
    <w:rsid w:val="00F70A03"/>
    <w:rsid w:val="00F72738"/>
    <w:rsid w:val="00F72B26"/>
    <w:rsid w:val="00F73976"/>
    <w:rsid w:val="00F741C9"/>
    <w:rsid w:val="00F75078"/>
    <w:rsid w:val="00F755E2"/>
    <w:rsid w:val="00F762F9"/>
    <w:rsid w:val="00F767BA"/>
    <w:rsid w:val="00F76CEF"/>
    <w:rsid w:val="00F76EB2"/>
    <w:rsid w:val="00F77EC1"/>
    <w:rsid w:val="00F8103E"/>
    <w:rsid w:val="00F81262"/>
    <w:rsid w:val="00F8210E"/>
    <w:rsid w:val="00F83125"/>
    <w:rsid w:val="00F8383C"/>
    <w:rsid w:val="00F838D0"/>
    <w:rsid w:val="00F83D32"/>
    <w:rsid w:val="00F83D88"/>
    <w:rsid w:val="00F8428D"/>
    <w:rsid w:val="00F85220"/>
    <w:rsid w:val="00F86BEC"/>
    <w:rsid w:val="00F87ECE"/>
    <w:rsid w:val="00F87FD4"/>
    <w:rsid w:val="00F91B53"/>
    <w:rsid w:val="00F91D62"/>
    <w:rsid w:val="00F92A01"/>
    <w:rsid w:val="00F934AB"/>
    <w:rsid w:val="00F94649"/>
    <w:rsid w:val="00F9489B"/>
    <w:rsid w:val="00F97E2F"/>
    <w:rsid w:val="00FA03C0"/>
    <w:rsid w:val="00FA06B2"/>
    <w:rsid w:val="00FA1271"/>
    <w:rsid w:val="00FA1815"/>
    <w:rsid w:val="00FA4C48"/>
    <w:rsid w:val="00FA4D8B"/>
    <w:rsid w:val="00FA5831"/>
    <w:rsid w:val="00FA5A80"/>
    <w:rsid w:val="00FA6715"/>
    <w:rsid w:val="00FA6E2E"/>
    <w:rsid w:val="00FB13DC"/>
    <w:rsid w:val="00FB472E"/>
    <w:rsid w:val="00FB4949"/>
    <w:rsid w:val="00FB5062"/>
    <w:rsid w:val="00FB51E8"/>
    <w:rsid w:val="00FB536E"/>
    <w:rsid w:val="00FB6011"/>
    <w:rsid w:val="00FB6203"/>
    <w:rsid w:val="00FB62FA"/>
    <w:rsid w:val="00FC0082"/>
    <w:rsid w:val="00FC2277"/>
    <w:rsid w:val="00FC2A34"/>
    <w:rsid w:val="00FC2E3C"/>
    <w:rsid w:val="00FC3F08"/>
    <w:rsid w:val="00FC5032"/>
    <w:rsid w:val="00FC5126"/>
    <w:rsid w:val="00FC54CC"/>
    <w:rsid w:val="00FC5530"/>
    <w:rsid w:val="00FC5E59"/>
    <w:rsid w:val="00FC6F9F"/>
    <w:rsid w:val="00FC763F"/>
    <w:rsid w:val="00FD3392"/>
    <w:rsid w:val="00FD35EB"/>
    <w:rsid w:val="00FD3A14"/>
    <w:rsid w:val="00FD586D"/>
    <w:rsid w:val="00FD6FD4"/>
    <w:rsid w:val="00FE0E3B"/>
    <w:rsid w:val="00FE10ED"/>
    <w:rsid w:val="00FE14B6"/>
    <w:rsid w:val="00FE3C8D"/>
    <w:rsid w:val="00FE4619"/>
    <w:rsid w:val="00FE46FF"/>
    <w:rsid w:val="00FE7594"/>
    <w:rsid w:val="00FE7FFC"/>
    <w:rsid w:val="00FF04A2"/>
    <w:rsid w:val="00FF19FB"/>
    <w:rsid w:val="00FF1DE0"/>
    <w:rsid w:val="00FF1FC8"/>
    <w:rsid w:val="00FF24B3"/>
    <w:rsid w:val="00FF3E7B"/>
    <w:rsid w:val="00FF4196"/>
    <w:rsid w:val="00FF5440"/>
    <w:rsid w:val="00FF5D6C"/>
    <w:rsid w:val="00FF6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4BEAB"/>
  <w15:docId w15:val="{EC1E9A09-9555-40E3-9E88-31387DF87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24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3C36"/>
    <w:pPr>
      <w:ind w:left="720"/>
      <w:contextualSpacing/>
    </w:pPr>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2132DA"/>
    <w:rPr>
      <w:sz w:val="16"/>
      <w:szCs w:val="16"/>
    </w:rPr>
  </w:style>
  <w:style w:type="paragraph" w:styleId="CommentText">
    <w:name w:val="annotation text"/>
    <w:basedOn w:val="Normal"/>
    <w:link w:val="CommentTextChar"/>
    <w:uiPriority w:val="99"/>
    <w:unhideWhenUsed/>
    <w:rsid w:val="002132DA"/>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2132DA"/>
    <w:rPr>
      <w:sz w:val="20"/>
      <w:szCs w:val="20"/>
    </w:rPr>
  </w:style>
  <w:style w:type="paragraph" w:styleId="CommentSubject">
    <w:name w:val="annotation subject"/>
    <w:basedOn w:val="CommentText"/>
    <w:next w:val="CommentText"/>
    <w:link w:val="CommentSubjectChar"/>
    <w:uiPriority w:val="99"/>
    <w:semiHidden/>
    <w:unhideWhenUsed/>
    <w:rsid w:val="002132DA"/>
    <w:rPr>
      <w:b/>
      <w:bCs/>
    </w:rPr>
  </w:style>
  <w:style w:type="character" w:customStyle="1" w:styleId="CommentSubjectChar">
    <w:name w:val="Comment Subject Char"/>
    <w:basedOn w:val="CommentTextChar"/>
    <w:link w:val="CommentSubject"/>
    <w:uiPriority w:val="99"/>
    <w:semiHidden/>
    <w:rsid w:val="002132DA"/>
    <w:rPr>
      <w:b/>
      <w:bCs/>
      <w:sz w:val="20"/>
      <w:szCs w:val="20"/>
    </w:rPr>
  </w:style>
  <w:style w:type="paragraph" w:styleId="Footer">
    <w:name w:val="footer"/>
    <w:basedOn w:val="Normal"/>
    <w:link w:val="FooterChar"/>
    <w:uiPriority w:val="99"/>
    <w:unhideWhenUsed/>
    <w:rsid w:val="00BD3350"/>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BD3350"/>
  </w:style>
  <w:style w:type="character" w:styleId="PageNumber">
    <w:name w:val="page number"/>
    <w:basedOn w:val="DefaultParagraphFont"/>
    <w:uiPriority w:val="99"/>
    <w:semiHidden/>
    <w:unhideWhenUsed/>
    <w:rsid w:val="00BD3350"/>
  </w:style>
  <w:style w:type="table" w:styleId="TableGrid">
    <w:name w:val="Table Grid"/>
    <w:basedOn w:val="TableNormal"/>
    <w:uiPriority w:val="39"/>
    <w:rsid w:val="00D32D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544AD"/>
    <w:rPr>
      <w:rFonts w:eastAsiaTheme="minorHAnsi"/>
      <w:sz w:val="18"/>
      <w:szCs w:val="18"/>
    </w:rPr>
  </w:style>
  <w:style w:type="character" w:customStyle="1" w:styleId="BalloonTextChar">
    <w:name w:val="Balloon Text Char"/>
    <w:basedOn w:val="DefaultParagraphFont"/>
    <w:link w:val="BalloonText"/>
    <w:uiPriority w:val="99"/>
    <w:semiHidden/>
    <w:rsid w:val="008544AD"/>
    <w:rPr>
      <w:rFonts w:ascii="Times New Roman" w:hAnsi="Times New Roman" w:cs="Times New Roman"/>
      <w:sz w:val="18"/>
      <w:szCs w:val="18"/>
    </w:rPr>
  </w:style>
  <w:style w:type="paragraph" w:styleId="Revision">
    <w:name w:val="Revision"/>
    <w:hidden/>
    <w:uiPriority w:val="99"/>
    <w:semiHidden/>
    <w:rsid w:val="00EE1CD1"/>
  </w:style>
  <w:style w:type="paragraph" w:styleId="Header">
    <w:name w:val="header"/>
    <w:basedOn w:val="Normal"/>
    <w:link w:val="HeaderChar"/>
    <w:uiPriority w:val="99"/>
    <w:unhideWhenUsed/>
    <w:rsid w:val="00725DD8"/>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725DD8"/>
  </w:style>
  <w:style w:type="character" w:styleId="LineNumber">
    <w:name w:val="line number"/>
    <w:basedOn w:val="DefaultParagraphFont"/>
    <w:uiPriority w:val="99"/>
    <w:semiHidden/>
    <w:unhideWhenUsed/>
    <w:rsid w:val="00725DD8"/>
  </w:style>
  <w:style w:type="character" w:styleId="Hyperlink">
    <w:name w:val="Hyperlink"/>
    <w:basedOn w:val="DefaultParagraphFont"/>
    <w:uiPriority w:val="99"/>
    <w:unhideWhenUsed/>
    <w:rsid w:val="00966943"/>
    <w:rPr>
      <w:color w:val="0563C1" w:themeColor="hyperlink"/>
      <w:u w:val="single"/>
    </w:rPr>
  </w:style>
  <w:style w:type="paragraph" w:styleId="NormalWeb">
    <w:name w:val="Normal (Web)"/>
    <w:basedOn w:val="Normal"/>
    <w:uiPriority w:val="99"/>
    <w:semiHidden/>
    <w:unhideWhenUsed/>
    <w:rsid w:val="009C1A18"/>
    <w:rPr>
      <w:rFonts w:eastAsiaTheme="minorHAnsi"/>
    </w:rPr>
  </w:style>
  <w:style w:type="numbering" w:customStyle="1" w:styleId="CurrentList1">
    <w:name w:val="Current List1"/>
    <w:uiPriority w:val="99"/>
    <w:rsid w:val="009C1A18"/>
    <w:pPr>
      <w:numPr>
        <w:numId w:val="5"/>
      </w:numPr>
    </w:pPr>
  </w:style>
  <w:style w:type="character" w:customStyle="1" w:styleId="mixed-citation">
    <w:name w:val="mixed-citation"/>
    <w:basedOn w:val="DefaultParagraphFont"/>
    <w:rsid w:val="009C1A18"/>
  </w:style>
  <w:style w:type="character" w:styleId="PlaceholderText">
    <w:name w:val="Placeholder Text"/>
    <w:basedOn w:val="DefaultParagraphFont"/>
    <w:uiPriority w:val="99"/>
    <w:semiHidden/>
    <w:rsid w:val="006204B0"/>
    <w:rPr>
      <w:color w:val="808080"/>
    </w:rPr>
  </w:style>
  <w:style w:type="paragraph" w:styleId="FootnoteText">
    <w:name w:val="footnote text"/>
    <w:basedOn w:val="Normal"/>
    <w:link w:val="FootnoteTextChar"/>
    <w:uiPriority w:val="99"/>
    <w:semiHidden/>
    <w:unhideWhenUsed/>
    <w:rsid w:val="00DF1897"/>
    <w:rPr>
      <w:sz w:val="20"/>
      <w:szCs w:val="20"/>
    </w:rPr>
  </w:style>
  <w:style w:type="character" w:customStyle="1" w:styleId="FootnoteTextChar">
    <w:name w:val="Footnote Text Char"/>
    <w:basedOn w:val="DefaultParagraphFont"/>
    <w:link w:val="FootnoteText"/>
    <w:uiPriority w:val="99"/>
    <w:semiHidden/>
    <w:rsid w:val="00DF189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F1897"/>
    <w:rPr>
      <w:vertAlign w:val="superscript"/>
    </w:rPr>
  </w:style>
  <w:style w:type="paragraph" w:styleId="EndnoteText">
    <w:name w:val="endnote text"/>
    <w:basedOn w:val="Normal"/>
    <w:link w:val="EndnoteTextChar"/>
    <w:uiPriority w:val="99"/>
    <w:semiHidden/>
    <w:unhideWhenUsed/>
    <w:rsid w:val="00DF1897"/>
    <w:rPr>
      <w:sz w:val="20"/>
      <w:szCs w:val="20"/>
    </w:rPr>
  </w:style>
  <w:style w:type="character" w:customStyle="1" w:styleId="EndnoteTextChar">
    <w:name w:val="Endnote Text Char"/>
    <w:basedOn w:val="DefaultParagraphFont"/>
    <w:link w:val="EndnoteText"/>
    <w:uiPriority w:val="99"/>
    <w:semiHidden/>
    <w:rsid w:val="00DF1897"/>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DF1897"/>
    <w:rPr>
      <w:vertAlign w:val="superscript"/>
    </w:rPr>
  </w:style>
  <w:style w:type="paragraph" w:customStyle="1" w:styleId="EndNoteBibliographyTitle">
    <w:name w:val="EndNote Bibliography Title"/>
    <w:basedOn w:val="Normal"/>
    <w:link w:val="EndNoteBibliographyTitleChar"/>
    <w:rsid w:val="00027B73"/>
    <w:pPr>
      <w:jc w:val="center"/>
    </w:pPr>
    <w:rPr>
      <w:noProof/>
    </w:rPr>
  </w:style>
  <w:style w:type="character" w:customStyle="1" w:styleId="EndNoteBibliographyTitleChar">
    <w:name w:val="EndNote Bibliography Title Char"/>
    <w:basedOn w:val="DefaultParagraphFont"/>
    <w:link w:val="EndNoteBibliographyTitle"/>
    <w:rsid w:val="00027B73"/>
    <w:rPr>
      <w:rFonts w:ascii="Times New Roman" w:eastAsia="Times New Roman" w:hAnsi="Times New Roman" w:cs="Times New Roman"/>
      <w:noProof/>
    </w:rPr>
  </w:style>
  <w:style w:type="paragraph" w:customStyle="1" w:styleId="EndNoteBibliography">
    <w:name w:val="EndNote Bibliography"/>
    <w:basedOn w:val="Normal"/>
    <w:link w:val="EndNoteBibliographyChar"/>
    <w:rsid w:val="00027B73"/>
    <w:rPr>
      <w:noProof/>
    </w:rPr>
  </w:style>
  <w:style w:type="character" w:customStyle="1" w:styleId="EndNoteBibliographyChar">
    <w:name w:val="EndNote Bibliography Char"/>
    <w:basedOn w:val="DefaultParagraphFont"/>
    <w:link w:val="EndNoteBibliography"/>
    <w:rsid w:val="00027B73"/>
    <w:rPr>
      <w:rFonts w:ascii="Times New Roman" w:eastAsia="Times New Roman" w:hAnsi="Times New Roman" w:cs="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144">
      <w:bodyDiv w:val="1"/>
      <w:marLeft w:val="0"/>
      <w:marRight w:val="0"/>
      <w:marTop w:val="0"/>
      <w:marBottom w:val="0"/>
      <w:divBdr>
        <w:top w:val="none" w:sz="0" w:space="0" w:color="auto"/>
        <w:left w:val="none" w:sz="0" w:space="0" w:color="auto"/>
        <w:bottom w:val="none" w:sz="0" w:space="0" w:color="auto"/>
        <w:right w:val="none" w:sz="0" w:space="0" w:color="auto"/>
      </w:divBdr>
      <w:divsChild>
        <w:div w:id="179592852">
          <w:marLeft w:val="0"/>
          <w:marRight w:val="0"/>
          <w:marTop w:val="0"/>
          <w:marBottom w:val="0"/>
          <w:divBdr>
            <w:top w:val="none" w:sz="0" w:space="0" w:color="auto"/>
            <w:left w:val="none" w:sz="0" w:space="0" w:color="auto"/>
            <w:bottom w:val="none" w:sz="0" w:space="0" w:color="auto"/>
            <w:right w:val="none" w:sz="0" w:space="0" w:color="auto"/>
          </w:divBdr>
        </w:div>
      </w:divsChild>
    </w:div>
    <w:div w:id="4211741">
      <w:bodyDiv w:val="1"/>
      <w:marLeft w:val="0"/>
      <w:marRight w:val="0"/>
      <w:marTop w:val="0"/>
      <w:marBottom w:val="0"/>
      <w:divBdr>
        <w:top w:val="none" w:sz="0" w:space="0" w:color="auto"/>
        <w:left w:val="none" w:sz="0" w:space="0" w:color="auto"/>
        <w:bottom w:val="none" w:sz="0" w:space="0" w:color="auto"/>
        <w:right w:val="none" w:sz="0" w:space="0" w:color="auto"/>
      </w:divBdr>
      <w:divsChild>
        <w:div w:id="2048135870">
          <w:marLeft w:val="0"/>
          <w:marRight w:val="0"/>
          <w:marTop w:val="0"/>
          <w:marBottom w:val="0"/>
          <w:divBdr>
            <w:top w:val="none" w:sz="0" w:space="0" w:color="auto"/>
            <w:left w:val="none" w:sz="0" w:space="0" w:color="auto"/>
            <w:bottom w:val="none" w:sz="0" w:space="0" w:color="auto"/>
            <w:right w:val="none" w:sz="0" w:space="0" w:color="auto"/>
          </w:divBdr>
          <w:divsChild>
            <w:div w:id="1368406774">
              <w:marLeft w:val="0"/>
              <w:marRight w:val="0"/>
              <w:marTop w:val="0"/>
              <w:marBottom w:val="0"/>
              <w:divBdr>
                <w:top w:val="none" w:sz="0" w:space="0" w:color="auto"/>
                <w:left w:val="none" w:sz="0" w:space="0" w:color="auto"/>
                <w:bottom w:val="none" w:sz="0" w:space="0" w:color="auto"/>
                <w:right w:val="none" w:sz="0" w:space="0" w:color="auto"/>
              </w:divBdr>
              <w:divsChild>
                <w:div w:id="159639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709">
      <w:bodyDiv w:val="1"/>
      <w:marLeft w:val="0"/>
      <w:marRight w:val="0"/>
      <w:marTop w:val="0"/>
      <w:marBottom w:val="0"/>
      <w:divBdr>
        <w:top w:val="none" w:sz="0" w:space="0" w:color="auto"/>
        <w:left w:val="none" w:sz="0" w:space="0" w:color="auto"/>
        <w:bottom w:val="none" w:sz="0" w:space="0" w:color="auto"/>
        <w:right w:val="none" w:sz="0" w:space="0" w:color="auto"/>
      </w:divBdr>
    </w:div>
    <w:div w:id="11417039">
      <w:bodyDiv w:val="1"/>
      <w:marLeft w:val="0"/>
      <w:marRight w:val="0"/>
      <w:marTop w:val="0"/>
      <w:marBottom w:val="0"/>
      <w:divBdr>
        <w:top w:val="none" w:sz="0" w:space="0" w:color="auto"/>
        <w:left w:val="none" w:sz="0" w:space="0" w:color="auto"/>
        <w:bottom w:val="none" w:sz="0" w:space="0" w:color="auto"/>
        <w:right w:val="none" w:sz="0" w:space="0" w:color="auto"/>
      </w:divBdr>
    </w:div>
    <w:div w:id="38866220">
      <w:bodyDiv w:val="1"/>
      <w:marLeft w:val="0"/>
      <w:marRight w:val="0"/>
      <w:marTop w:val="0"/>
      <w:marBottom w:val="0"/>
      <w:divBdr>
        <w:top w:val="none" w:sz="0" w:space="0" w:color="auto"/>
        <w:left w:val="none" w:sz="0" w:space="0" w:color="auto"/>
        <w:bottom w:val="none" w:sz="0" w:space="0" w:color="auto"/>
        <w:right w:val="none" w:sz="0" w:space="0" w:color="auto"/>
      </w:divBdr>
      <w:divsChild>
        <w:div w:id="125584659">
          <w:marLeft w:val="0"/>
          <w:marRight w:val="0"/>
          <w:marTop w:val="0"/>
          <w:marBottom w:val="0"/>
          <w:divBdr>
            <w:top w:val="none" w:sz="0" w:space="0" w:color="auto"/>
            <w:left w:val="none" w:sz="0" w:space="0" w:color="auto"/>
            <w:bottom w:val="none" w:sz="0" w:space="0" w:color="auto"/>
            <w:right w:val="none" w:sz="0" w:space="0" w:color="auto"/>
          </w:divBdr>
          <w:divsChild>
            <w:div w:id="1422333970">
              <w:marLeft w:val="0"/>
              <w:marRight w:val="0"/>
              <w:marTop w:val="0"/>
              <w:marBottom w:val="0"/>
              <w:divBdr>
                <w:top w:val="none" w:sz="0" w:space="0" w:color="auto"/>
                <w:left w:val="none" w:sz="0" w:space="0" w:color="auto"/>
                <w:bottom w:val="none" w:sz="0" w:space="0" w:color="auto"/>
                <w:right w:val="none" w:sz="0" w:space="0" w:color="auto"/>
              </w:divBdr>
              <w:divsChild>
                <w:div w:id="13095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02366">
      <w:bodyDiv w:val="1"/>
      <w:marLeft w:val="0"/>
      <w:marRight w:val="0"/>
      <w:marTop w:val="0"/>
      <w:marBottom w:val="0"/>
      <w:divBdr>
        <w:top w:val="none" w:sz="0" w:space="0" w:color="auto"/>
        <w:left w:val="none" w:sz="0" w:space="0" w:color="auto"/>
        <w:bottom w:val="none" w:sz="0" w:space="0" w:color="auto"/>
        <w:right w:val="none" w:sz="0" w:space="0" w:color="auto"/>
      </w:divBdr>
    </w:div>
    <w:div w:id="53044213">
      <w:bodyDiv w:val="1"/>
      <w:marLeft w:val="0"/>
      <w:marRight w:val="0"/>
      <w:marTop w:val="0"/>
      <w:marBottom w:val="0"/>
      <w:divBdr>
        <w:top w:val="none" w:sz="0" w:space="0" w:color="auto"/>
        <w:left w:val="none" w:sz="0" w:space="0" w:color="auto"/>
        <w:bottom w:val="none" w:sz="0" w:space="0" w:color="auto"/>
        <w:right w:val="none" w:sz="0" w:space="0" w:color="auto"/>
      </w:divBdr>
      <w:divsChild>
        <w:div w:id="851188521">
          <w:marLeft w:val="0"/>
          <w:marRight w:val="0"/>
          <w:marTop w:val="0"/>
          <w:marBottom w:val="0"/>
          <w:divBdr>
            <w:top w:val="none" w:sz="0" w:space="0" w:color="auto"/>
            <w:left w:val="none" w:sz="0" w:space="0" w:color="auto"/>
            <w:bottom w:val="none" w:sz="0" w:space="0" w:color="auto"/>
            <w:right w:val="none" w:sz="0" w:space="0" w:color="auto"/>
          </w:divBdr>
          <w:divsChild>
            <w:div w:id="1259675558">
              <w:marLeft w:val="0"/>
              <w:marRight w:val="0"/>
              <w:marTop w:val="0"/>
              <w:marBottom w:val="0"/>
              <w:divBdr>
                <w:top w:val="none" w:sz="0" w:space="0" w:color="auto"/>
                <w:left w:val="none" w:sz="0" w:space="0" w:color="auto"/>
                <w:bottom w:val="none" w:sz="0" w:space="0" w:color="auto"/>
                <w:right w:val="none" w:sz="0" w:space="0" w:color="auto"/>
              </w:divBdr>
              <w:divsChild>
                <w:div w:id="645671661">
                  <w:marLeft w:val="0"/>
                  <w:marRight w:val="0"/>
                  <w:marTop w:val="0"/>
                  <w:marBottom w:val="0"/>
                  <w:divBdr>
                    <w:top w:val="none" w:sz="0" w:space="0" w:color="auto"/>
                    <w:left w:val="none" w:sz="0" w:space="0" w:color="auto"/>
                    <w:bottom w:val="none" w:sz="0" w:space="0" w:color="auto"/>
                    <w:right w:val="none" w:sz="0" w:space="0" w:color="auto"/>
                  </w:divBdr>
                  <w:divsChild>
                    <w:div w:id="177120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21351">
      <w:bodyDiv w:val="1"/>
      <w:marLeft w:val="0"/>
      <w:marRight w:val="0"/>
      <w:marTop w:val="0"/>
      <w:marBottom w:val="0"/>
      <w:divBdr>
        <w:top w:val="none" w:sz="0" w:space="0" w:color="auto"/>
        <w:left w:val="none" w:sz="0" w:space="0" w:color="auto"/>
        <w:bottom w:val="none" w:sz="0" w:space="0" w:color="auto"/>
        <w:right w:val="none" w:sz="0" w:space="0" w:color="auto"/>
      </w:divBdr>
    </w:div>
    <w:div w:id="65761854">
      <w:bodyDiv w:val="1"/>
      <w:marLeft w:val="0"/>
      <w:marRight w:val="0"/>
      <w:marTop w:val="0"/>
      <w:marBottom w:val="0"/>
      <w:divBdr>
        <w:top w:val="none" w:sz="0" w:space="0" w:color="auto"/>
        <w:left w:val="none" w:sz="0" w:space="0" w:color="auto"/>
        <w:bottom w:val="none" w:sz="0" w:space="0" w:color="auto"/>
        <w:right w:val="none" w:sz="0" w:space="0" w:color="auto"/>
      </w:divBdr>
      <w:divsChild>
        <w:div w:id="890268126">
          <w:marLeft w:val="0"/>
          <w:marRight w:val="0"/>
          <w:marTop w:val="0"/>
          <w:marBottom w:val="0"/>
          <w:divBdr>
            <w:top w:val="none" w:sz="0" w:space="0" w:color="auto"/>
            <w:left w:val="none" w:sz="0" w:space="0" w:color="auto"/>
            <w:bottom w:val="none" w:sz="0" w:space="0" w:color="auto"/>
            <w:right w:val="none" w:sz="0" w:space="0" w:color="auto"/>
          </w:divBdr>
          <w:divsChild>
            <w:div w:id="1784226840">
              <w:marLeft w:val="0"/>
              <w:marRight w:val="0"/>
              <w:marTop w:val="0"/>
              <w:marBottom w:val="0"/>
              <w:divBdr>
                <w:top w:val="none" w:sz="0" w:space="0" w:color="auto"/>
                <w:left w:val="none" w:sz="0" w:space="0" w:color="auto"/>
                <w:bottom w:val="none" w:sz="0" w:space="0" w:color="auto"/>
                <w:right w:val="none" w:sz="0" w:space="0" w:color="auto"/>
              </w:divBdr>
              <w:divsChild>
                <w:div w:id="13168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02908">
      <w:bodyDiv w:val="1"/>
      <w:marLeft w:val="0"/>
      <w:marRight w:val="0"/>
      <w:marTop w:val="0"/>
      <w:marBottom w:val="0"/>
      <w:divBdr>
        <w:top w:val="none" w:sz="0" w:space="0" w:color="auto"/>
        <w:left w:val="none" w:sz="0" w:space="0" w:color="auto"/>
        <w:bottom w:val="none" w:sz="0" w:space="0" w:color="auto"/>
        <w:right w:val="none" w:sz="0" w:space="0" w:color="auto"/>
      </w:divBdr>
      <w:divsChild>
        <w:div w:id="1082723472">
          <w:marLeft w:val="0"/>
          <w:marRight w:val="0"/>
          <w:marTop w:val="0"/>
          <w:marBottom w:val="0"/>
          <w:divBdr>
            <w:top w:val="none" w:sz="0" w:space="0" w:color="auto"/>
            <w:left w:val="none" w:sz="0" w:space="0" w:color="auto"/>
            <w:bottom w:val="none" w:sz="0" w:space="0" w:color="auto"/>
            <w:right w:val="none" w:sz="0" w:space="0" w:color="auto"/>
          </w:divBdr>
          <w:divsChild>
            <w:div w:id="844783831">
              <w:marLeft w:val="0"/>
              <w:marRight w:val="0"/>
              <w:marTop w:val="0"/>
              <w:marBottom w:val="0"/>
              <w:divBdr>
                <w:top w:val="none" w:sz="0" w:space="0" w:color="auto"/>
                <w:left w:val="none" w:sz="0" w:space="0" w:color="auto"/>
                <w:bottom w:val="none" w:sz="0" w:space="0" w:color="auto"/>
                <w:right w:val="none" w:sz="0" w:space="0" w:color="auto"/>
              </w:divBdr>
              <w:divsChild>
                <w:div w:id="8311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65380">
      <w:bodyDiv w:val="1"/>
      <w:marLeft w:val="0"/>
      <w:marRight w:val="0"/>
      <w:marTop w:val="0"/>
      <w:marBottom w:val="0"/>
      <w:divBdr>
        <w:top w:val="none" w:sz="0" w:space="0" w:color="auto"/>
        <w:left w:val="none" w:sz="0" w:space="0" w:color="auto"/>
        <w:bottom w:val="none" w:sz="0" w:space="0" w:color="auto"/>
        <w:right w:val="none" w:sz="0" w:space="0" w:color="auto"/>
      </w:divBdr>
      <w:divsChild>
        <w:div w:id="910624265">
          <w:marLeft w:val="0"/>
          <w:marRight w:val="0"/>
          <w:marTop w:val="0"/>
          <w:marBottom w:val="0"/>
          <w:divBdr>
            <w:top w:val="none" w:sz="0" w:space="0" w:color="auto"/>
            <w:left w:val="none" w:sz="0" w:space="0" w:color="auto"/>
            <w:bottom w:val="none" w:sz="0" w:space="0" w:color="auto"/>
            <w:right w:val="none" w:sz="0" w:space="0" w:color="auto"/>
          </w:divBdr>
          <w:divsChild>
            <w:div w:id="251478225">
              <w:marLeft w:val="0"/>
              <w:marRight w:val="0"/>
              <w:marTop w:val="0"/>
              <w:marBottom w:val="0"/>
              <w:divBdr>
                <w:top w:val="none" w:sz="0" w:space="0" w:color="auto"/>
                <w:left w:val="none" w:sz="0" w:space="0" w:color="auto"/>
                <w:bottom w:val="none" w:sz="0" w:space="0" w:color="auto"/>
                <w:right w:val="none" w:sz="0" w:space="0" w:color="auto"/>
              </w:divBdr>
              <w:divsChild>
                <w:div w:id="9406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2205">
      <w:bodyDiv w:val="1"/>
      <w:marLeft w:val="0"/>
      <w:marRight w:val="0"/>
      <w:marTop w:val="0"/>
      <w:marBottom w:val="0"/>
      <w:divBdr>
        <w:top w:val="none" w:sz="0" w:space="0" w:color="auto"/>
        <w:left w:val="none" w:sz="0" w:space="0" w:color="auto"/>
        <w:bottom w:val="none" w:sz="0" w:space="0" w:color="auto"/>
        <w:right w:val="none" w:sz="0" w:space="0" w:color="auto"/>
      </w:divBdr>
      <w:divsChild>
        <w:div w:id="497113698">
          <w:marLeft w:val="0"/>
          <w:marRight w:val="0"/>
          <w:marTop w:val="0"/>
          <w:marBottom w:val="0"/>
          <w:divBdr>
            <w:top w:val="none" w:sz="0" w:space="0" w:color="auto"/>
            <w:left w:val="none" w:sz="0" w:space="0" w:color="auto"/>
            <w:bottom w:val="none" w:sz="0" w:space="0" w:color="auto"/>
            <w:right w:val="none" w:sz="0" w:space="0" w:color="auto"/>
          </w:divBdr>
          <w:divsChild>
            <w:div w:id="1966233587">
              <w:marLeft w:val="0"/>
              <w:marRight w:val="0"/>
              <w:marTop w:val="0"/>
              <w:marBottom w:val="0"/>
              <w:divBdr>
                <w:top w:val="none" w:sz="0" w:space="0" w:color="auto"/>
                <w:left w:val="none" w:sz="0" w:space="0" w:color="auto"/>
                <w:bottom w:val="none" w:sz="0" w:space="0" w:color="auto"/>
                <w:right w:val="none" w:sz="0" w:space="0" w:color="auto"/>
              </w:divBdr>
              <w:divsChild>
                <w:div w:id="381485533">
                  <w:marLeft w:val="0"/>
                  <w:marRight w:val="0"/>
                  <w:marTop w:val="0"/>
                  <w:marBottom w:val="0"/>
                  <w:divBdr>
                    <w:top w:val="none" w:sz="0" w:space="0" w:color="auto"/>
                    <w:left w:val="none" w:sz="0" w:space="0" w:color="auto"/>
                    <w:bottom w:val="none" w:sz="0" w:space="0" w:color="auto"/>
                    <w:right w:val="none" w:sz="0" w:space="0" w:color="auto"/>
                  </w:divBdr>
                  <w:divsChild>
                    <w:div w:id="188798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079505">
      <w:bodyDiv w:val="1"/>
      <w:marLeft w:val="0"/>
      <w:marRight w:val="0"/>
      <w:marTop w:val="0"/>
      <w:marBottom w:val="0"/>
      <w:divBdr>
        <w:top w:val="none" w:sz="0" w:space="0" w:color="auto"/>
        <w:left w:val="none" w:sz="0" w:space="0" w:color="auto"/>
        <w:bottom w:val="none" w:sz="0" w:space="0" w:color="auto"/>
        <w:right w:val="none" w:sz="0" w:space="0" w:color="auto"/>
      </w:divBdr>
    </w:div>
    <w:div w:id="169226269">
      <w:bodyDiv w:val="1"/>
      <w:marLeft w:val="0"/>
      <w:marRight w:val="0"/>
      <w:marTop w:val="0"/>
      <w:marBottom w:val="0"/>
      <w:divBdr>
        <w:top w:val="none" w:sz="0" w:space="0" w:color="auto"/>
        <w:left w:val="none" w:sz="0" w:space="0" w:color="auto"/>
        <w:bottom w:val="none" w:sz="0" w:space="0" w:color="auto"/>
        <w:right w:val="none" w:sz="0" w:space="0" w:color="auto"/>
      </w:divBdr>
    </w:div>
    <w:div w:id="176310395">
      <w:bodyDiv w:val="1"/>
      <w:marLeft w:val="0"/>
      <w:marRight w:val="0"/>
      <w:marTop w:val="0"/>
      <w:marBottom w:val="0"/>
      <w:divBdr>
        <w:top w:val="none" w:sz="0" w:space="0" w:color="auto"/>
        <w:left w:val="none" w:sz="0" w:space="0" w:color="auto"/>
        <w:bottom w:val="none" w:sz="0" w:space="0" w:color="auto"/>
        <w:right w:val="none" w:sz="0" w:space="0" w:color="auto"/>
      </w:divBdr>
      <w:divsChild>
        <w:div w:id="408189290">
          <w:marLeft w:val="0"/>
          <w:marRight w:val="0"/>
          <w:marTop w:val="0"/>
          <w:marBottom w:val="0"/>
          <w:divBdr>
            <w:top w:val="none" w:sz="0" w:space="0" w:color="auto"/>
            <w:left w:val="none" w:sz="0" w:space="0" w:color="auto"/>
            <w:bottom w:val="none" w:sz="0" w:space="0" w:color="auto"/>
            <w:right w:val="none" w:sz="0" w:space="0" w:color="auto"/>
          </w:divBdr>
          <w:divsChild>
            <w:div w:id="73825433">
              <w:marLeft w:val="0"/>
              <w:marRight w:val="0"/>
              <w:marTop w:val="0"/>
              <w:marBottom w:val="0"/>
              <w:divBdr>
                <w:top w:val="none" w:sz="0" w:space="0" w:color="auto"/>
                <w:left w:val="none" w:sz="0" w:space="0" w:color="auto"/>
                <w:bottom w:val="none" w:sz="0" w:space="0" w:color="auto"/>
                <w:right w:val="none" w:sz="0" w:space="0" w:color="auto"/>
              </w:divBdr>
              <w:divsChild>
                <w:div w:id="1215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43217">
      <w:bodyDiv w:val="1"/>
      <w:marLeft w:val="0"/>
      <w:marRight w:val="0"/>
      <w:marTop w:val="0"/>
      <w:marBottom w:val="0"/>
      <w:divBdr>
        <w:top w:val="none" w:sz="0" w:space="0" w:color="auto"/>
        <w:left w:val="none" w:sz="0" w:space="0" w:color="auto"/>
        <w:bottom w:val="none" w:sz="0" w:space="0" w:color="auto"/>
        <w:right w:val="none" w:sz="0" w:space="0" w:color="auto"/>
      </w:divBdr>
      <w:divsChild>
        <w:div w:id="277688584">
          <w:marLeft w:val="0"/>
          <w:marRight w:val="0"/>
          <w:marTop w:val="0"/>
          <w:marBottom w:val="0"/>
          <w:divBdr>
            <w:top w:val="none" w:sz="0" w:space="0" w:color="auto"/>
            <w:left w:val="none" w:sz="0" w:space="0" w:color="auto"/>
            <w:bottom w:val="none" w:sz="0" w:space="0" w:color="auto"/>
            <w:right w:val="none" w:sz="0" w:space="0" w:color="auto"/>
          </w:divBdr>
          <w:divsChild>
            <w:div w:id="1769037844">
              <w:marLeft w:val="0"/>
              <w:marRight w:val="0"/>
              <w:marTop w:val="0"/>
              <w:marBottom w:val="0"/>
              <w:divBdr>
                <w:top w:val="none" w:sz="0" w:space="0" w:color="auto"/>
                <w:left w:val="none" w:sz="0" w:space="0" w:color="auto"/>
                <w:bottom w:val="none" w:sz="0" w:space="0" w:color="auto"/>
                <w:right w:val="none" w:sz="0" w:space="0" w:color="auto"/>
              </w:divBdr>
              <w:divsChild>
                <w:div w:id="146816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32200">
      <w:bodyDiv w:val="1"/>
      <w:marLeft w:val="0"/>
      <w:marRight w:val="0"/>
      <w:marTop w:val="0"/>
      <w:marBottom w:val="0"/>
      <w:divBdr>
        <w:top w:val="none" w:sz="0" w:space="0" w:color="auto"/>
        <w:left w:val="none" w:sz="0" w:space="0" w:color="auto"/>
        <w:bottom w:val="none" w:sz="0" w:space="0" w:color="auto"/>
        <w:right w:val="none" w:sz="0" w:space="0" w:color="auto"/>
      </w:divBdr>
    </w:div>
    <w:div w:id="205878593">
      <w:bodyDiv w:val="1"/>
      <w:marLeft w:val="0"/>
      <w:marRight w:val="0"/>
      <w:marTop w:val="0"/>
      <w:marBottom w:val="0"/>
      <w:divBdr>
        <w:top w:val="none" w:sz="0" w:space="0" w:color="auto"/>
        <w:left w:val="none" w:sz="0" w:space="0" w:color="auto"/>
        <w:bottom w:val="none" w:sz="0" w:space="0" w:color="auto"/>
        <w:right w:val="none" w:sz="0" w:space="0" w:color="auto"/>
      </w:divBdr>
    </w:div>
    <w:div w:id="213274681">
      <w:bodyDiv w:val="1"/>
      <w:marLeft w:val="0"/>
      <w:marRight w:val="0"/>
      <w:marTop w:val="0"/>
      <w:marBottom w:val="0"/>
      <w:divBdr>
        <w:top w:val="none" w:sz="0" w:space="0" w:color="auto"/>
        <w:left w:val="none" w:sz="0" w:space="0" w:color="auto"/>
        <w:bottom w:val="none" w:sz="0" w:space="0" w:color="auto"/>
        <w:right w:val="none" w:sz="0" w:space="0" w:color="auto"/>
      </w:divBdr>
    </w:div>
    <w:div w:id="249853687">
      <w:bodyDiv w:val="1"/>
      <w:marLeft w:val="0"/>
      <w:marRight w:val="0"/>
      <w:marTop w:val="0"/>
      <w:marBottom w:val="0"/>
      <w:divBdr>
        <w:top w:val="none" w:sz="0" w:space="0" w:color="auto"/>
        <w:left w:val="none" w:sz="0" w:space="0" w:color="auto"/>
        <w:bottom w:val="none" w:sz="0" w:space="0" w:color="auto"/>
        <w:right w:val="none" w:sz="0" w:space="0" w:color="auto"/>
      </w:divBdr>
      <w:divsChild>
        <w:div w:id="831720689">
          <w:marLeft w:val="0"/>
          <w:marRight w:val="0"/>
          <w:marTop w:val="0"/>
          <w:marBottom w:val="0"/>
          <w:divBdr>
            <w:top w:val="none" w:sz="0" w:space="0" w:color="auto"/>
            <w:left w:val="none" w:sz="0" w:space="0" w:color="auto"/>
            <w:bottom w:val="none" w:sz="0" w:space="0" w:color="auto"/>
            <w:right w:val="none" w:sz="0" w:space="0" w:color="auto"/>
          </w:divBdr>
        </w:div>
      </w:divsChild>
    </w:div>
    <w:div w:id="253322550">
      <w:bodyDiv w:val="1"/>
      <w:marLeft w:val="0"/>
      <w:marRight w:val="0"/>
      <w:marTop w:val="0"/>
      <w:marBottom w:val="0"/>
      <w:divBdr>
        <w:top w:val="none" w:sz="0" w:space="0" w:color="auto"/>
        <w:left w:val="none" w:sz="0" w:space="0" w:color="auto"/>
        <w:bottom w:val="none" w:sz="0" w:space="0" w:color="auto"/>
        <w:right w:val="none" w:sz="0" w:space="0" w:color="auto"/>
      </w:divBdr>
    </w:div>
    <w:div w:id="254632596">
      <w:bodyDiv w:val="1"/>
      <w:marLeft w:val="0"/>
      <w:marRight w:val="0"/>
      <w:marTop w:val="0"/>
      <w:marBottom w:val="0"/>
      <w:divBdr>
        <w:top w:val="none" w:sz="0" w:space="0" w:color="auto"/>
        <w:left w:val="none" w:sz="0" w:space="0" w:color="auto"/>
        <w:bottom w:val="none" w:sz="0" w:space="0" w:color="auto"/>
        <w:right w:val="none" w:sz="0" w:space="0" w:color="auto"/>
      </w:divBdr>
    </w:div>
    <w:div w:id="256788412">
      <w:bodyDiv w:val="1"/>
      <w:marLeft w:val="0"/>
      <w:marRight w:val="0"/>
      <w:marTop w:val="0"/>
      <w:marBottom w:val="0"/>
      <w:divBdr>
        <w:top w:val="none" w:sz="0" w:space="0" w:color="auto"/>
        <w:left w:val="none" w:sz="0" w:space="0" w:color="auto"/>
        <w:bottom w:val="none" w:sz="0" w:space="0" w:color="auto"/>
        <w:right w:val="none" w:sz="0" w:space="0" w:color="auto"/>
      </w:divBdr>
    </w:div>
    <w:div w:id="267737120">
      <w:bodyDiv w:val="1"/>
      <w:marLeft w:val="0"/>
      <w:marRight w:val="0"/>
      <w:marTop w:val="0"/>
      <w:marBottom w:val="0"/>
      <w:divBdr>
        <w:top w:val="none" w:sz="0" w:space="0" w:color="auto"/>
        <w:left w:val="none" w:sz="0" w:space="0" w:color="auto"/>
        <w:bottom w:val="none" w:sz="0" w:space="0" w:color="auto"/>
        <w:right w:val="none" w:sz="0" w:space="0" w:color="auto"/>
      </w:divBdr>
      <w:divsChild>
        <w:div w:id="1104806148">
          <w:marLeft w:val="0"/>
          <w:marRight w:val="0"/>
          <w:marTop w:val="0"/>
          <w:marBottom w:val="0"/>
          <w:divBdr>
            <w:top w:val="none" w:sz="0" w:space="0" w:color="auto"/>
            <w:left w:val="none" w:sz="0" w:space="0" w:color="auto"/>
            <w:bottom w:val="none" w:sz="0" w:space="0" w:color="auto"/>
            <w:right w:val="none" w:sz="0" w:space="0" w:color="auto"/>
          </w:divBdr>
        </w:div>
      </w:divsChild>
    </w:div>
    <w:div w:id="291138598">
      <w:bodyDiv w:val="1"/>
      <w:marLeft w:val="0"/>
      <w:marRight w:val="0"/>
      <w:marTop w:val="0"/>
      <w:marBottom w:val="0"/>
      <w:divBdr>
        <w:top w:val="none" w:sz="0" w:space="0" w:color="auto"/>
        <w:left w:val="none" w:sz="0" w:space="0" w:color="auto"/>
        <w:bottom w:val="none" w:sz="0" w:space="0" w:color="auto"/>
        <w:right w:val="none" w:sz="0" w:space="0" w:color="auto"/>
      </w:divBdr>
    </w:div>
    <w:div w:id="332344636">
      <w:bodyDiv w:val="1"/>
      <w:marLeft w:val="0"/>
      <w:marRight w:val="0"/>
      <w:marTop w:val="0"/>
      <w:marBottom w:val="0"/>
      <w:divBdr>
        <w:top w:val="none" w:sz="0" w:space="0" w:color="auto"/>
        <w:left w:val="none" w:sz="0" w:space="0" w:color="auto"/>
        <w:bottom w:val="none" w:sz="0" w:space="0" w:color="auto"/>
        <w:right w:val="none" w:sz="0" w:space="0" w:color="auto"/>
      </w:divBdr>
    </w:div>
    <w:div w:id="410544094">
      <w:bodyDiv w:val="1"/>
      <w:marLeft w:val="0"/>
      <w:marRight w:val="0"/>
      <w:marTop w:val="0"/>
      <w:marBottom w:val="0"/>
      <w:divBdr>
        <w:top w:val="none" w:sz="0" w:space="0" w:color="auto"/>
        <w:left w:val="none" w:sz="0" w:space="0" w:color="auto"/>
        <w:bottom w:val="none" w:sz="0" w:space="0" w:color="auto"/>
        <w:right w:val="none" w:sz="0" w:space="0" w:color="auto"/>
      </w:divBdr>
      <w:divsChild>
        <w:div w:id="1837112352">
          <w:marLeft w:val="0"/>
          <w:marRight w:val="0"/>
          <w:marTop w:val="0"/>
          <w:marBottom w:val="0"/>
          <w:divBdr>
            <w:top w:val="none" w:sz="0" w:space="0" w:color="auto"/>
            <w:left w:val="none" w:sz="0" w:space="0" w:color="auto"/>
            <w:bottom w:val="none" w:sz="0" w:space="0" w:color="auto"/>
            <w:right w:val="none" w:sz="0" w:space="0" w:color="auto"/>
          </w:divBdr>
          <w:divsChild>
            <w:div w:id="1643775773">
              <w:marLeft w:val="0"/>
              <w:marRight w:val="0"/>
              <w:marTop w:val="0"/>
              <w:marBottom w:val="0"/>
              <w:divBdr>
                <w:top w:val="none" w:sz="0" w:space="0" w:color="auto"/>
                <w:left w:val="none" w:sz="0" w:space="0" w:color="auto"/>
                <w:bottom w:val="none" w:sz="0" w:space="0" w:color="auto"/>
                <w:right w:val="none" w:sz="0" w:space="0" w:color="auto"/>
              </w:divBdr>
              <w:divsChild>
                <w:div w:id="36472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714623">
      <w:bodyDiv w:val="1"/>
      <w:marLeft w:val="0"/>
      <w:marRight w:val="0"/>
      <w:marTop w:val="0"/>
      <w:marBottom w:val="0"/>
      <w:divBdr>
        <w:top w:val="none" w:sz="0" w:space="0" w:color="auto"/>
        <w:left w:val="none" w:sz="0" w:space="0" w:color="auto"/>
        <w:bottom w:val="none" w:sz="0" w:space="0" w:color="auto"/>
        <w:right w:val="none" w:sz="0" w:space="0" w:color="auto"/>
      </w:divBdr>
    </w:div>
    <w:div w:id="496729603">
      <w:bodyDiv w:val="1"/>
      <w:marLeft w:val="0"/>
      <w:marRight w:val="0"/>
      <w:marTop w:val="0"/>
      <w:marBottom w:val="0"/>
      <w:divBdr>
        <w:top w:val="none" w:sz="0" w:space="0" w:color="auto"/>
        <w:left w:val="none" w:sz="0" w:space="0" w:color="auto"/>
        <w:bottom w:val="none" w:sz="0" w:space="0" w:color="auto"/>
        <w:right w:val="none" w:sz="0" w:space="0" w:color="auto"/>
      </w:divBdr>
      <w:divsChild>
        <w:div w:id="1393767975">
          <w:marLeft w:val="0"/>
          <w:marRight w:val="0"/>
          <w:marTop w:val="0"/>
          <w:marBottom w:val="0"/>
          <w:divBdr>
            <w:top w:val="none" w:sz="0" w:space="0" w:color="auto"/>
            <w:left w:val="none" w:sz="0" w:space="0" w:color="auto"/>
            <w:bottom w:val="none" w:sz="0" w:space="0" w:color="auto"/>
            <w:right w:val="none" w:sz="0" w:space="0" w:color="auto"/>
          </w:divBdr>
          <w:divsChild>
            <w:div w:id="1369646308">
              <w:marLeft w:val="0"/>
              <w:marRight w:val="0"/>
              <w:marTop w:val="0"/>
              <w:marBottom w:val="0"/>
              <w:divBdr>
                <w:top w:val="none" w:sz="0" w:space="0" w:color="auto"/>
                <w:left w:val="none" w:sz="0" w:space="0" w:color="auto"/>
                <w:bottom w:val="none" w:sz="0" w:space="0" w:color="auto"/>
                <w:right w:val="none" w:sz="0" w:space="0" w:color="auto"/>
              </w:divBdr>
              <w:divsChild>
                <w:div w:id="190232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893087">
      <w:bodyDiv w:val="1"/>
      <w:marLeft w:val="0"/>
      <w:marRight w:val="0"/>
      <w:marTop w:val="0"/>
      <w:marBottom w:val="0"/>
      <w:divBdr>
        <w:top w:val="none" w:sz="0" w:space="0" w:color="auto"/>
        <w:left w:val="none" w:sz="0" w:space="0" w:color="auto"/>
        <w:bottom w:val="none" w:sz="0" w:space="0" w:color="auto"/>
        <w:right w:val="none" w:sz="0" w:space="0" w:color="auto"/>
      </w:divBdr>
      <w:divsChild>
        <w:div w:id="1560944343">
          <w:marLeft w:val="0"/>
          <w:marRight w:val="0"/>
          <w:marTop w:val="0"/>
          <w:marBottom w:val="0"/>
          <w:divBdr>
            <w:top w:val="none" w:sz="0" w:space="0" w:color="auto"/>
            <w:left w:val="none" w:sz="0" w:space="0" w:color="auto"/>
            <w:bottom w:val="none" w:sz="0" w:space="0" w:color="auto"/>
            <w:right w:val="none" w:sz="0" w:space="0" w:color="auto"/>
          </w:divBdr>
          <w:divsChild>
            <w:div w:id="76757025">
              <w:marLeft w:val="0"/>
              <w:marRight w:val="0"/>
              <w:marTop w:val="0"/>
              <w:marBottom w:val="0"/>
              <w:divBdr>
                <w:top w:val="none" w:sz="0" w:space="0" w:color="auto"/>
                <w:left w:val="none" w:sz="0" w:space="0" w:color="auto"/>
                <w:bottom w:val="none" w:sz="0" w:space="0" w:color="auto"/>
                <w:right w:val="none" w:sz="0" w:space="0" w:color="auto"/>
              </w:divBdr>
              <w:divsChild>
                <w:div w:id="39323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253634">
      <w:bodyDiv w:val="1"/>
      <w:marLeft w:val="0"/>
      <w:marRight w:val="0"/>
      <w:marTop w:val="0"/>
      <w:marBottom w:val="0"/>
      <w:divBdr>
        <w:top w:val="none" w:sz="0" w:space="0" w:color="auto"/>
        <w:left w:val="none" w:sz="0" w:space="0" w:color="auto"/>
        <w:bottom w:val="none" w:sz="0" w:space="0" w:color="auto"/>
        <w:right w:val="none" w:sz="0" w:space="0" w:color="auto"/>
      </w:divBdr>
      <w:divsChild>
        <w:div w:id="1337075949">
          <w:marLeft w:val="0"/>
          <w:marRight w:val="0"/>
          <w:marTop w:val="0"/>
          <w:marBottom w:val="0"/>
          <w:divBdr>
            <w:top w:val="none" w:sz="0" w:space="0" w:color="auto"/>
            <w:left w:val="none" w:sz="0" w:space="0" w:color="auto"/>
            <w:bottom w:val="none" w:sz="0" w:space="0" w:color="auto"/>
            <w:right w:val="none" w:sz="0" w:space="0" w:color="auto"/>
          </w:divBdr>
          <w:divsChild>
            <w:div w:id="1871524336">
              <w:marLeft w:val="0"/>
              <w:marRight w:val="0"/>
              <w:marTop w:val="0"/>
              <w:marBottom w:val="0"/>
              <w:divBdr>
                <w:top w:val="none" w:sz="0" w:space="0" w:color="auto"/>
                <w:left w:val="none" w:sz="0" w:space="0" w:color="auto"/>
                <w:bottom w:val="none" w:sz="0" w:space="0" w:color="auto"/>
                <w:right w:val="none" w:sz="0" w:space="0" w:color="auto"/>
              </w:divBdr>
              <w:divsChild>
                <w:div w:id="73486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294348">
      <w:bodyDiv w:val="1"/>
      <w:marLeft w:val="0"/>
      <w:marRight w:val="0"/>
      <w:marTop w:val="0"/>
      <w:marBottom w:val="0"/>
      <w:divBdr>
        <w:top w:val="none" w:sz="0" w:space="0" w:color="auto"/>
        <w:left w:val="none" w:sz="0" w:space="0" w:color="auto"/>
        <w:bottom w:val="none" w:sz="0" w:space="0" w:color="auto"/>
        <w:right w:val="none" w:sz="0" w:space="0" w:color="auto"/>
      </w:divBdr>
      <w:divsChild>
        <w:div w:id="2076969462">
          <w:marLeft w:val="0"/>
          <w:marRight w:val="0"/>
          <w:marTop w:val="0"/>
          <w:marBottom w:val="0"/>
          <w:divBdr>
            <w:top w:val="none" w:sz="0" w:space="0" w:color="auto"/>
            <w:left w:val="none" w:sz="0" w:space="0" w:color="auto"/>
            <w:bottom w:val="none" w:sz="0" w:space="0" w:color="auto"/>
            <w:right w:val="none" w:sz="0" w:space="0" w:color="auto"/>
          </w:divBdr>
          <w:divsChild>
            <w:div w:id="1388259601">
              <w:marLeft w:val="0"/>
              <w:marRight w:val="0"/>
              <w:marTop w:val="0"/>
              <w:marBottom w:val="0"/>
              <w:divBdr>
                <w:top w:val="none" w:sz="0" w:space="0" w:color="auto"/>
                <w:left w:val="none" w:sz="0" w:space="0" w:color="auto"/>
                <w:bottom w:val="none" w:sz="0" w:space="0" w:color="auto"/>
                <w:right w:val="none" w:sz="0" w:space="0" w:color="auto"/>
              </w:divBdr>
              <w:divsChild>
                <w:div w:id="1086728921">
                  <w:marLeft w:val="0"/>
                  <w:marRight w:val="0"/>
                  <w:marTop w:val="0"/>
                  <w:marBottom w:val="0"/>
                  <w:divBdr>
                    <w:top w:val="none" w:sz="0" w:space="0" w:color="auto"/>
                    <w:left w:val="none" w:sz="0" w:space="0" w:color="auto"/>
                    <w:bottom w:val="none" w:sz="0" w:space="0" w:color="auto"/>
                    <w:right w:val="none" w:sz="0" w:space="0" w:color="auto"/>
                  </w:divBdr>
                  <w:divsChild>
                    <w:div w:id="171739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523605">
      <w:bodyDiv w:val="1"/>
      <w:marLeft w:val="0"/>
      <w:marRight w:val="0"/>
      <w:marTop w:val="0"/>
      <w:marBottom w:val="0"/>
      <w:divBdr>
        <w:top w:val="none" w:sz="0" w:space="0" w:color="auto"/>
        <w:left w:val="none" w:sz="0" w:space="0" w:color="auto"/>
        <w:bottom w:val="none" w:sz="0" w:space="0" w:color="auto"/>
        <w:right w:val="none" w:sz="0" w:space="0" w:color="auto"/>
      </w:divBdr>
      <w:divsChild>
        <w:div w:id="1654291472">
          <w:marLeft w:val="0"/>
          <w:marRight w:val="0"/>
          <w:marTop w:val="0"/>
          <w:marBottom w:val="0"/>
          <w:divBdr>
            <w:top w:val="none" w:sz="0" w:space="0" w:color="auto"/>
            <w:left w:val="none" w:sz="0" w:space="0" w:color="auto"/>
            <w:bottom w:val="none" w:sz="0" w:space="0" w:color="auto"/>
            <w:right w:val="none" w:sz="0" w:space="0" w:color="auto"/>
          </w:divBdr>
        </w:div>
      </w:divsChild>
    </w:div>
    <w:div w:id="561602932">
      <w:bodyDiv w:val="1"/>
      <w:marLeft w:val="0"/>
      <w:marRight w:val="0"/>
      <w:marTop w:val="0"/>
      <w:marBottom w:val="0"/>
      <w:divBdr>
        <w:top w:val="none" w:sz="0" w:space="0" w:color="auto"/>
        <w:left w:val="none" w:sz="0" w:space="0" w:color="auto"/>
        <w:bottom w:val="none" w:sz="0" w:space="0" w:color="auto"/>
        <w:right w:val="none" w:sz="0" w:space="0" w:color="auto"/>
      </w:divBdr>
    </w:div>
    <w:div w:id="592786920">
      <w:bodyDiv w:val="1"/>
      <w:marLeft w:val="0"/>
      <w:marRight w:val="0"/>
      <w:marTop w:val="0"/>
      <w:marBottom w:val="0"/>
      <w:divBdr>
        <w:top w:val="none" w:sz="0" w:space="0" w:color="auto"/>
        <w:left w:val="none" w:sz="0" w:space="0" w:color="auto"/>
        <w:bottom w:val="none" w:sz="0" w:space="0" w:color="auto"/>
        <w:right w:val="none" w:sz="0" w:space="0" w:color="auto"/>
      </w:divBdr>
      <w:divsChild>
        <w:div w:id="72774828">
          <w:marLeft w:val="0"/>
          <w:marRight w:val="0"/>
          <w:marTop w:val="0"/>
          <w:marBottom w:val="0"/>
          <w:divBdr>
            <w:top w:val="none" w:sz="0" w:space="0" w:color="auto"/>
            <w:left w:val="none" w:sz="0" w:space="0" w:color="auto"/>
            <w:bottom w:val="none" w:sz="0" w:space="0" w:color="auto"/>
            <w:right w:val="none" w:sz="0" w:space="0" w:color="auto"/>
          </w:divBdr>
        </w:div>
      </w:divsChild>
    </w:div>
    <w:div w:id="614799331">
      <w:bodyDiv w:val="1"/>
      <w:marLeft w:val="0"/>
      <w:marRight w:val="0"/>
      <w:marTop w:val="0"/>
      <w:marBottom w:val="0"/>
      <w:divBdr>
        <w:top w:val="none" w:sz="0" w:space="0" w:color="auto"/>
        <w:left w:val="none" w:sz="0" w:space="0" w:color="auto"/>
        <w:bottom w:val="none" w:sz="0" w:space="0" w:color="auto"/>
        <w:right w:val="none" w:sz="0" w:space="0" w:color="auto"/>
      </w:divBdr>
    </w:div>
    <w:div w:id="617218390">
      <w:bodyDiv w:val="1"/>
      <w:marLeft w:val="0"/>
      <w:marRight w:val="0"/>
      <w:marTop w:val="0"/>
      <w:marBottom w:val="0"/>
      <w:divBdr>
        <w:top w:val="none" w:sz="0" w:space="0" w:color="auto"/>
        <w:left w:val="none" w:sz="0" w:space="0" w:color="auto"/>
        <w:bottom w:val="none" w:sz="0" w:space="0" w:color="auto"/>
        <w:right w:val="none" w:sz="0" w:space="0" w:color="auto"/>
      </w:divBdr>
      <w:divsChild>
        <w:div w:id="2011718350">
          <w:marLeft w:val="0"/>
          <w:marRight w:val="0"/>
          <w:marTop w:val="0"/>
          <w:marBottom w:val="0"/>
          <w:divBdr>
            <w:top w:val="none" w:sz="0" w:space="0" w:color="auto"/>
            <w:left w:val="none" w:sz="0" w:space="0" w:color="auto"/>
            <w:bottom w:val="none" w:sz="0" w:space="0" w:color="auto"/>
            <w:right w:val="none" w:sz="0" w:space="0" w:color="auto"/>
          </w:divBdr>
          <w:divsChild>
            <w:div w:id="943148094">
              <w:marLeft w:val="0"/>
              <w:marRight w:val="0"/>
              <w:marTop w:val="0"/>
              <w:marBottom w:val="0"/>
              <w:divBdr>
                <w:top w:val="none" w:sz="0" w:space="0" w:color="auto"/>
                <w:left w:val="none" w:sz="0" w:space="0" w:color="auto"/>
                <w:bottom w:val="none" w:sz="0" w:space="0" w:color="auto"/>
                <w:right w:val="none" w:sz="0" w:space="0" w:color="auto"/>
              </w:divBdr>
              <w:divsChild>
                <w:div w:id="1871719388">
                  <w:marLeft w:val="0"/>
                  <w:marRight w:val="0"/>
                  <w:marTop w:val="0"/>
                  <w:marBottom w:val="0"/>
                  <w:divBdr>
                    <w:top w:val="none" w:sz="0" w:space="0" w:color="auto"/>
                    <w:left w:val="none" w:sz="0" w:space="0" w:color="auto"/>
                    <w:bottom w:val="none" w:sz="0" w:space="0" w:color="auto"/>
                    <w:right w:val="none" w:sz="0" w:space="0" w:color="auto"/>
                  </w:divBdr>
                  <w:divsChild>
                    <w:div w:id="204092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923282">
      <w:bodyDiv w:val="1"/>
      <w:marLeft w:val="0"/>
      <w:marRight w:val="0"/>
      <w:marTop w:val="0"/>
      <w:marBottom w:val="0"/>
      <w:divBdr>
        <w:top w:val="none" w:sz="0" w:space="0" w:color="auto"/>
        <w:left w:val="none" w:sz="0" w:space="0" w:color="auto"/>
        <w:bottom w:val="none" w:sz="0" w:space="0" w:color="auto"/>
        <w:right w:val="none" w:sz="0" w:space="0" w:color="auto"/>
      </w:divBdr>
      <w:divsChild>
        <w:div w:id="1590770789">
          <w:marLeft w:val="0"/>
          <w:marRight w:val="0"/>
          <w:marTop w:val="0"/>
          <w:marBottom w:val="0"/>
          <w:divBdr>
            <w:top w:val="none" w:sz="0" w:space="0" w:color="auto"/>
            <w:left w:val="none" w:sz="0" w:space="0" w:color="auto"/>
            <w:bottom w:val="none" w:sz="0" w:space="0" w:color="auto"/>
            <w:right w:val="none" w:sz="0" w:space="0" w:color="auto"/>
          </w:divBdr>
        </w:div>
      </w:divsChild>
    </w:div>
    <w:div w:id="623779479">
      <w:bodyDiv w:val="1"/>
      <w:marLeft w:val="0"/>
      <w:marRight w:val="0"/>
      <w:marTop w:val="0"/>
      <w:marBottom w:val="0"/>
      <w:divBdr>
        <w:top w:val="none" w:sz="0" w:space="0" w:color="auto"/>
        <w:left w:val="none" w:sz="0" w:space="0" w:color="auto"/>
        <w:bottom w:val="none" w:sz="0" w:space="0" w:color="auto"/>
        <w:right w:val="none" w:sz="0" w:space="0" w:color="auto"/>
      </w:divBdr>
    </w:div>
    <w:div w:id="698042476">
      <w:bodyDiv w:val="1"/>
      <w:marLeft w:val="0"/>
      <w:marRight w:val="0"/>
      <w:marTop w:val="0"/>
      <w:marBottom w:val="0"/>
      <w:divBdr>
        <w:top w:val="none" w:sz="0" w:space="0" w:color="auto"/>
        <w:left w:val="none" w:sz="0" w:space="0" w:color="auto"/>
        <w:bottom w:val="none" w:sz="0" w:space="0" w:color="auto"/>
        <w:right w:val="none" w:sz="0" w:space="0" w:color="auto"/>
      </w:divBdr>
      <w:divsChild>
        <w:div w:id="419521481">
          <w:marLeft w:val="0"/>
          <w:marRight w:val="0"/>
          <w:marTop w:val="0"/>
          <w:marBottom w:val="0"/>
          <w:divBdr>
            <w:top w:val="none" w:sz="0" w:space="0" w:color="auto"/>
            <w:left w:val="none" w:sz="0" w:space="0" w:color="auto"/>
            <w:bottom w:val="none" w:sz="0" w:space="0" w:color="auto"/>
            <w:right w:val="none" w:sz="0" w:space="0" w:color="auto"/>
          </w:divBdr>
        </w:div>
      </w:divsChild>
    </w:div>
    <w:div w:id="705447215">
      <w:bodyDiv w:val="1"/>
      <w:marLeft w:val="0"/>
      <w:marRight w:val="0"/>
      <w:marTop w:val="0"/>
      <w:marBottom w:val="0"/>
      <w:divBdr>
        <w:top w:val="none" w:sz="0" w:space="0" w:color="auto"/>
        <w:left w:val="none" w:sz="0" w:space="0" w:color="auto"/>
        <w:bottom w:val="none" w:sz="0" w:space="0" w:color="auto"/>
        <w:right w:val="none" w:sz="0" w:space="0" w:color="auto"/>
      </w:divBdr>
      <w:divsChild>
        <w:div w:id="1112166757">
          <w:marLeft w:val="0"/>
          <w:marRight w:val="0"/>
          <w:marTop w:val="0"/>
          <w:marBottom w:val="0"/>
          <w:divBdr>
            <w:top w:val="none" w:sz="0" w:space="0" w:color="auto"/>
            <w:left w:val="none" w:sz="0" w:space="0" w:color="auto"/>
            <w:bottom w:val="none" w:sz="0" w:space="0" w:color="auto"/>
            <w:right w:val="none" w:sz="0" w:space="0" w:color="auto"/>
          </w:divBdr>
          <w:divsChild>
            <w:div w:id="1313488201">
              <w:marLeft w:val="0"/>
              <w:marRight w:val="0"/>
              <w:marTop w:val="0"/>
              <w:marBottom w:val="0"/>
              <w:divBdr>
                <w:top w:val="none" w:sz="0" w:space="0" w:color="auto"/>
                <w:left w:val="none" w:sz="0" w:space="0" w:color="auto"/>
                <w:bottom w:val="none" w:sz="0" w:space="0" w:color="auto"/>
                <w:right w:val="none" w:sz="0" w:space="0" w:color="auto"/>
              </w:divBdr>
              <w:divsChild>
                <w:div w:id="2128305861">
                  <w:marLeft w:val="0"/>
                  <w:marRight w:val="0"/>
                  <w:marTop w:val="0"/>
                  <w:marBottom w:val="0"/>
                  <w:divBdr>
                    <w:top w:val="none" w:sz="0" w:space="0" w:color="auto"/>
                    <w:left w:val="none" w:sz="0" w:space="0" w:color="auto"/>
                    <w:bottom w:val="none" w:sz="0" w:space="0" w:color="auto"/>
                    <w:right w:val="none" w:sz="0" w:space="0" w:color="auto"/>
                  </w:divBdr>
                  <w:divsChild>
                    <w:div w:id="99549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413216">
      <w:bodyDiv w:val="1"/>
      <w:marLeft w:val="0"/>
      <w:marRight w:val="0"/>
      <w:marTop w:val="0"/>
      <w:marBottom w:val="0"/>
      <w:divBdr>
        <w:top w:val="none" w:sz="0" w:space="0" w:color="auto"/>
        <w:left w:val="none" w:sz="0" w:space="0" w:color="auto"/>
        <w:bottom w:val="none" w:sz="0" w:space="0" w:color="auto"/>
        <w:right w:val="none" w:sz="0" w:space="0" w:color="auto"/>
      </w:divBdr>
    </w:div>
    <w:div w:id="713697719">
      <w:bodyDiv w:val="1"/>
      <w:marLeft w:val="0"/>
      <w:marRight w:val="0"/>
      <w:marTop w:val="0"/>
      <w:marBottom w:val="0"/>
      <w:divBdr>
        <w:top w:val="none" w:sz="0" w:space="0" w:color="auto"/>
        <w:left w:val="none" w:sz="0" w:space="0" w:color="auto"/>
        <w:bottom w:val="none" w:sz="0" w:space="0" w:color="auto"/>
        <w:right w:val="none" w:sz="0" w:space="0" w:color="auto"/>
      </w:divBdr>
      <w:divsChild>
        <w:div w:id="1348674657">
          <w:marLeft w:val="0"/>
          <w:marRight w:val="0"/>
          <w:marTop w:val="0"/>
          <w:marBottom w:val="0"/>
          <w:divBdr>
            <w:top w:val="none" w:sz="0" w:space="0" w:color="auto"/>
            <w:left w:val="none" w:sz="0" w:space="0" w:color="auto"/>
            <w:bottom w:val="none" w:sz="0" w:space="0" w:color="auto"/>
            <w:right w:val="none" w:sz="0" w:space="0" w:color="auto"/>
          </w:divBdr>
        </w:div>
      </w:divsChild>
    </w:div>
    <w:div w:id="719519976">
      <w:bodyDiv w:val="1"/>
      <w:marLeft w:val="0"/>
      <w:marRight w:val="0"/>
      <w:marTop w:val="0"/>
      <w:marBottom w:val="0"/>
      <w:divBdr>
        <w:top w:val="none" w:sz="0" w:space="0" w:color="auto"/>
        <w:left w:val="none" w:sz="0" w:space="0" w:color="auto"/>
        <w:bottom w:val="none" w:sz="0" w:space="0" w:color="auto"/>
        <w:right w:val="none" w:sz="0" w:space="0" w:color="auto"/>
      </w:divBdr>
      <w:divsChild>
        <w:div w:id="946236548">
          <w:marLeft w:val="0"/>
          <w:marRight w:val="0"/>
          <w:marTop w:val="0"/>
          <w:marBottom w:val="0"/>
          <w:divBdr>
            <w:top w:val="none" w:sz="0" w:space="0" w:color="auto"/>
            <w:left w:val="none" w:sz="0" w:space="0" w:color="auto"/>
            <w:bottom w:val="none" w:sz="0" w:space="0" w:color="auto"/>
            <w:right w:val="none" w:sz="0" w:space="0" w:color="auto"/>
          </w:divBdr>
        </w:div>
      </w:divsChild>
    </w:div>
    <w:div w:id="720249857">
      <w:bodyDiv w:val="1"/>
      <w:marLeft w:val="0"/>
      <w:marRight w:val="0"/>
      <w:marTop w:val="0"/>
      <w:marBottom w:val="0"/>
      <w:divBdr>
        <w:top w:val="none" w:sz="0" w:space="0" w:color="auto"/>
        <w:left w:val="none" w:sz="0" w:space="0" w:color="auto"/>
        <w:bottom w:val="none" w:sz="0" w:space="0" w:color="auto"/>
        <w:right w:val="none" w:sz="0" w:space="0" w:color="auto"/>
      </w:divBdr>
      <w:divsChild>
        <w:div w:id="1196456820">
          <w:marLeft w:val="0"/>
          <w:marRight w:val="0"/>
          <w:marTop w:val="0"/>
          <w:marBottom w:val="0"/>
          <w:divBdr>
            <w:top w:val="none" w:sz="0" w:space="0" w:color="auto"/>
            <w:left w:val="none" w:sz="0" w:space="0" w:color="auto"/>
            <w:bottom w:val="none" w:sz="0" w:space="0" w:color="auto"/>
            <w:right w:val="none" w:sz="0" w:space="0" w:color="auto"/>
          </w:divBdr>
        </w:div>
      </w:divsChild>
    </w:div>
    <w:div w:id="747774216">
      <w:bodyDiv w:val="1"/>
      <w:marLeft w:val="0"/>
      <w:marRight w:val="0"/>
      <w:marTop w:val="0"/>
      <w:marBottom w:val="0"/>
      <w:divBdr>
        <w:top w:val="none" w:sz="0" w:space="0" w:color="auto"/>
        <w:left w:val="none" w:sz="0" w:space="0" w:color="auto"/>
        <w:bottom w:val="none" w:sz="0" w:space="0" w:color="auto"/>
        <w:right w:val="none" w:sz="0" w:space="0" w:color="auto"/>
      </w:divBdr>
    </w:div>
    <w:div w:id="753206187">
      <w:bodyDiv w:val="1"/>
      <w:marLeft w:val="0"/>
      <w:marRight w:val="0"/>
      <w:marTop w:val="0"/>
      <w:marBottom w:val="0"/>
      <w:divBdr>
        <w:top w:val="none" w:sz="0" w:space="0" w:color="auto"/>
        <w:left w:val="none" w:sz="0" w:space="0" w:color="auto"/>
        <w:bottom w:val="none" w:sz="0" w:space="0" w:color="auto"/>
        <w:right w:val="none" w:sz="0" w:space="0" w:color="auto"/>
      </w:divBdr>
    </w:div>
    <w:div w:id="803156535">
      <w:bodyDiv w:val="1"/>
      <w:marLeft w:val="0"/>
      <w:marRight w:val="0"/>
      <w:marTop w:val="0"/>
      <w:marBottom w:val="0"/>
      <w:divBdr>
        <w:top w:val="none" w:sz="0" w:space="0" w:color="auto"/>
        <w:left w:val="none" w:sz="0" w:space="0" w:color="auto"/>
        <w:bottom w:val="none" w:sz="0" w:space="0" w:color="auto"/>
        <w:right w:val="none" w:sz="0" w:space="0" w:color="auto"/>
      </w:divBdr>
    </w:div>
    <w:div w:id="810832898">
      <w:bodyDiv w:val="1"/>
      <w:marLeft w:val="0"/>
      <w:marRight w:val="0"/>
      <w:marTop w:val="0"/>
      <w:marBottom w:val="0"/>
      <w:divBdr>
        <w:top w:val="none" w:sz="0" w:space="0" w:color="auto"/>
        <w:left w:val="none" w:sz="0" w:space="0" w:color="auto"/>
        <w:bottom w:val="none" w:sz="0" w:space="0" w:color="auto"/>
        <w:right w:val="none" w:sz="0" w:space="0" w:color="auto"/>
      </w:divBdr>
    </w:div>
    <w:div w:id="829978517">
      <w:bodyDiv w:val="1"/>
      <w:marLeft w:val="0"/>
      <w:marRight w:val="0"/>
      <w:marTop w:val="0"/>
      <w:marBottom w:val="0"/>
      <w:divBdr>
        <w:top w:val="none" w:sz="0" w:space="0" w:color="auto"/>
        <w:left w:val="none" w:sz="0" w:space="0" w:color="auto"/>
        <w:bottom w:val="none" w:sz="0" w:space="0" w:color="auto"/>
        <w:right w:val="none" w:sz="0" w:space="0" w:color="auto"/>
      </w:divBdr>
      <w:divsChild>
        <w:div w:id="835149371">
          <w:marLeft w:val="0"/>
          <w:marRight w:val="0"/>
          <w:marTop w:val="0"/>
          <w:marBottom w:val="0"/>
          <w:divBdr>
            <w:top w:val="none" w:sz="0" w:space="0" w:color="auto"/>
            <w:left w:val="none" w:sz="0" w:space="0" w:color="auto"/>
            <w:bottom w:val="none" w:sz="0" w:space="0" w:color="auto"/>
            <w:right w:val="none" w:sz="0" w:space="0" w:color="auto"/>
          </w:divBdr>
        </w:div>
      </w:divsChild>
    </w:div>
    <w:div w:id="831138280">
      <w:bodyDiv w:val="1"/>
      <w:marLeft w:val="0"/>
      <w:marRight w:val="0"/>
      <w:marTop w:val="0"/>
      <w:marBottom w:val="0"/>
      <w:divBdr>
        <w:top w:val="none" w:sz="0" w:space="0" w:color="auto"/>
        <w:left w:val="none" w:sz="0" w:space="0" w:color="auto"/>
        <w:bottom w:val="none" w:sz="0" w:space="0" w:color="auto"/>
        <w:right w:val="none" w:sz="0" w:space="0" w:color="auto"/>
      </w:divBdr>
      <w:divsChild>
        <w:div w:id="2010207062">
          <w:marLeft w:val="0"/>
          <w:marRight w:val="0"/>
          <w:marTop w:val="0"/>
          <w:marBottom w:val="0"/>
          <w:divBdr>
            <w:top w:val="none" w:sz="0" w:space="0" w:color="auto"/>
            <w:left w:val="none" w:sz="0" w:space="0" w:color="auto"/>
            <w:bottom w:val="none" w:sz="0" w:space="0" w:color="auto"/>
            <w:right w:val="none" w:sz="0" w:space="0" w:color="auto"/>
          </w:divBdr>
          <w:divsChild>
            <w:div w:id="2139255919">
              <w:marLeft w:val="0"/>
              <w:marRight w:val="0"/>
              <w:marTop w:val="0"/>
              <w:marBottom w:val="0"/>
              <w:divBdr>
                <w:top w:val="none" w:sz="0" w:space="0" w:color="auto"/>
                <w:left w:val="none" w:sz="0" w:space="0" w:color="auto"/>
                <w:bottom w:val="none" w:sz="0" w:space="0" w:color="auto"/>
                <w:right w:val="none" w:sz="0" w:space="0" w:color="auto"/>
              </w:divBdr>
              <w:divsChild>
                <w:div w:id="173955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627531">
      <w:bodyDiv w:val="1"/>
      <w:marLeft w:val="0"/>
      <w:marRight w:val="0"/>
      <w:marTop w:val="0"/>
      <w:marBottom w:val="0"/>
      <w:divBdr>
        <w:top w:val="none" w:sz="0" w:space="0" w:color="auto"/>
        <w:left w:val="none" w:sz="0" w:space="0" w:color="auto"/>
        <w:bottom w:val="none" w:sz="0" w:space="0" w:color="auto"/>
        <w:right w:val="none" w:sz="0" w:space="0" w:color="auto"/>
      </w:divBdr>
      <w:divsChild>
        <w:div w:id="1734234982">
          <w:marLeft w:val="0"/>
          <w:marRight w:val="0"/>
          <w:marTop w:val="0"/>
          <w:marBottom w:val="0"/>
          <w:divBdr>
            <w:top w:val="none" w:sz="0" w:space="0" w:color="auto"/>
            <w:left w:val="none" w:sz="0" w:space="0" w:color="auto"/>
            <w:bottom w:val="none" w:sz="0" w:space="0" w:color="auto"/>
            <w:right w:val="none" w:sz="0" w:space="0" w:color="auto"/>
          </w:divBdr>
        </w:div>
        <w:div w:id="154687702">
          <w:marLeft w:val="0"/>
          <w:marRight w:val="0"/>
          <w:marTop w:val="0"/>
          <w:marBottom w:val="0"/>
          <w:divBdr>
            <w:top w:val="none" w:sz="0" w:space="0" w:color="auto"/>
            <w:left w:val="none" w:sz="0" w:space="0" w:color="auto"/>
            <w:bottom w:val="none" w:sz="0" w:space="0" w:color="auto"/>
            <w:right w:val="none" w:sz="0" w:space="0" w:color="auto"/>
          </w:divBdr>
        </w:div>
        <w:div w:id="841815723">
          <w:marLeft w:val="0"/>
          <w:marRight w:val="0"/>
          <w:marTop w:val="0"/>
          <w:marBottom w:val="0"/>
          <w:divBdr>
            <w:top w:val="none" w:sz="0" w:space="0" w:color="auto"/>
            <w:left w:val="none" w:sz="0" w:space="0" w:color="auto"/>
            <w:bottom w:val="none" w:sz="0" w:space="0" w:color="auto"/>
            <w:right w:val="none" w:sz="0" w:space="0" w:color="auto"/>
          </w:divBdr>
        </w:div>
        <w:div w:id="467479963">
          <w:marLeft w:val="0"/>
          <w:marRight w:val="0"/>
          <w:marTop w:val="0"/>
          <w:marBottom w:val="0"/>
          <w:divBdr>
            <w:top w:val="none" w:sz="0" w:space="0" w:color="auto"/>
            <w:left w:val="none" w:sz="0" w:space="0" w:color="auto"/>
            <w:bottom w:val="none" w:sz="0" w:space="0" w:color="auto"/>
            <w:right w:val="none" w:sz="0" w:space="0" w:color="auto"/>
          </w:divBdr>
        </w:div>
        <w:div w:id="506793681">
          <w:marLeft w:val="0"/>
          <w:marRight w:val="0"/>
          <w:marTop w:val="0"/>
          <w:marBottom w:val="0"/>
          <w:divBdr>
            <w:top w:val="none" w:sz="0" w:space="0" w:color="auto"/>
            <w:left w:val="none" w:sz="0" w:space="0" w:color="auto"/>
            <w:bottom w:val="none" w:sz="0" w:space="0" w:color="auto"/>
            <w:right w:val="none" w:sz="0" w:space="0" w:color="auto"/>
          </w:divBdr>
        </w:div>
        <w:div w:id="1921134050">
          <w:marLeft w:val="0"/>
          <w:marRight w:val="0"/>
          <w:marTop w:val="0"/>
          <w:marBottom w:val="0"/>
          <w:divBdr>
            <w:top w:val="none" w:sz="0" w:space="0" w:color="auto"/>
            <w:left w:val="none" w:sz="0" w:space="0" w:color="auto"/>
            <w:bottom w:val="none" w:sz="0" w:space="0" w:color="auto"/>
            <w:right w:val="none" w:sz="0" w:space="0" w:color="auto"/>
          </w:divBdr>
        </w:div>
        <w:div w:id="1608124326">
          <w:marLeft w:val="0"/>
          <w:marRight w:val="0"/>
          <w:marTop w:val="0"/>
          <w:marBottom w:val="0"/>
          <w:divBdr>
            <w:top w:val="none" w:sz="0" w:space="0" w:color="auto"/>
            <w:left w:val="none" w:sz="0" w:space="0" w:color="auto"/>
            <w:bottom w:val="none" w:sz="0" w:space="0" w:color="auto"/>
            <w:right w:val="none" w:sz="0" w:space="0" w:color="auto"/>
          </w:divBdr>
        </w:div>
        <w:div w:id="1764837568">
          <w:marLeft w:val="0"/>
          <w:marRight w:val="0"/>
          <w:marTop w:val="0"/>
          <w:marBottom w:val="0"/>
          <w:divBdr>
            <w:top w:val="none" w:sz="0" w:space="0" w:color="auto"/>
            <w:left w:val="none" w:sz="0" w:space="0" w:color="auto"/>
            <w:bottom w:val="none" w:sz="0" w:space="0" w:color="auto"/>
            <w:right w:val="none" w:sz="0" w:space="0" w:color="auto"/>
          </w:divBdr>
        </w:div>
        <w:div w:id="111558509">
          <w:marLeft w:val="0"/>
          <w:marRight w:val="0"/>
          <w:marTop w:val="0"/>
          <w:marBottom w:val="0"/>
          <w:divBdr>
            <w:top w:val="none" w:sz="0" w:space="0" w:color="auto"/>
            <w:left w:val="none" w:sz="0" w:space="0" w:color="auto"/>
            <w:bottom w:val="none" w:sz="0" w:space="0" w:color="auto"/>
            <w:right w:val="none" w:sz="0" w:space="0" w:color="auto"/>
          </w:divBdr>
        </w:div>
        <w:div w:id="1173837151">
          <w:marLeft w:val="0"/>
          <w:marRight w:val="0"/>
          <w:marTop w:val="0"/>
          <w:marBottom w:val="0"/>
          <w:divBdr>
            <w:top w:val="none" w:sz="0" w:space="0" w:color="auto"/>
            <w:left w:val="none" w:sz="0" w:space="0" w:color="auto"/>
            <w:bottom w:val="none" w:sz="0" w:space="0" w:color="auto"/>
            <w:right w:val="none" w:sz="0" w:space="0" w:color="auto"/>
          </w:divBdr>
        </w:div>
      </w:divsChild>
    </w:div>
    <w:div w:id="864441770">
      <w:bodyDiv w:val="1"/>
      <w:marLeft w:val="0"/>
      <w:marRight w:val="0"/>
      <w:marTop w:val="0"/>
      <w:marBottom w:val="0"/>
      <w:divBdr>
        <w:top w:val="none" w:sz="0" w:space="0" w:color="auto"/>
        <w:left w:val="none" w:sz="0" w:space="0" w:color="auto"/>
        <w:bottom w:val="none" w:sz="0" w:space="0" w:color="auto"/>
        <w:right w:val="none" w:sz="0" w:space="0" w:color="auto"/>
      </w:divBdr>
      <w:divsChild>
        <w:div w:id="188956104">
          <w:marLeft w:val="0"/>
          <w:marRight w:val="0"/>
          <w:marTop w:val="0"/>
          <w:marBottom w:val="0"/>
          <w:divBdr>
            <w:top w:val="none" w:sz="0" w:space="0" w:color="auto"/>
            <w:left w:val="none" w:sz="0" w:space="0" w:color="auto"/>
            <w:bottom w:val="none" w:sz="0" w:space="0" w:color="auto"/>
            <w:right w:val="none" w:sz="0" w:space="0" w:color="auto"/>
          </w:divBdr>
          <w:divsChild>
            <w:div w:id="1438721691">
              <w:marLeft w:val="0"/>
              <w:marRight w:val="0"/>
              <w:marTop w:val="0"/>
              <w:marBottom w:val="0"/>
              <w:divBdr>
                <w:top w:val="none" w:sz="0" w:space="0" w:color="auto"/>
                <w:left w:val="none" w:sz="0" w:space="0" w:color="auto"/>
                <w:bottom w:val="none" w:sz="0" w:space="0" w:color="auto"/>
                <w:right w:val="none" w:sz="0" w:space="0" w:color="auto"/>
              </w:divBdr>
              <w:divsChild>
                <w:div w:id="142248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408067">
      <w:bodyDiv w:val="1"/>
      <w:marLeft w:val="0"/>
      <w:marRight w:val="0"/>
      <w:marTop w:val="0"/>
      <w:marBottom w:val="0"/>
      <w:divBdr>
        <w:top w:val="none" w:sz="0" w:space="0" w:color="auto"/>
        <w:left w:val="none" w:sz="0" w:space="0" w:color="auto"/>
        <w:bottom w:val="none" w:sz="0" w:space="0" w:color="auto"/>
        <w:right w:val="none" w:sz="0" w:space="0" w:color="auto"/>
      </w:divBdr>
      <w:divsChild>
        <w:div w:id="1476684655">
          <w:marLeft w:val="0"/>
          <w:marRight w:val="0"/>
          <w:marTop w:val="0"/>
          <w:marBottom w:val="0"/>
          <w:divBdr>
            <w:top w:val="none" w:sz="0" w:space="0" w:color="auto"/>
            <w:left w:val="none" w:sz="0" w:space="0" w:color="auto"/>
            <w:bottom w:val="none" w:sz="0" w:space="0" w:color="auto"/>
            <w:right w:val="none" w:sz="0" w:space="0" w:color="auto"/>
          </w:divBdr>
          <w:divsChild>
            <w:div w:id="277876099">
              <w:marLeft w:val="0"/>
              <w:marRight w:val="0"/>
              <w:marTop w:val="0"/>
              <w:marBottom w:val="0"/>
              <w:divBdr>
                <w:top w:val="none" w:sz="0" w:space="0" w:color="auto"/>
                <w:left w:val="none" w:sz="0" w:space="0" w:color="auto"/>
                <w:bottom w:val="none" w:sz="0" w:space="0" w:color="auto"/>
                <w:right w:val="none" w:sz="0" w:space="0" w:color="auto"/>
              </w:divBdr>
              <w:divsChild>
                <w:div w:id="57659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44418">
      <w:bodyDiv w:val="1"/>
      <w:marLeft w:val="0"/>
      <w:marRight w:val="0"/>
      <w:marTop w:val="0"/>
      <w:marBottom w:val="0"/>
      <w:divBdr>
        <w:top w:val="none" w:sz="0" w:space="0" w:color="auto"/>
        <w:left w:val="none" w:sz="0" w:space="0" w:color="auto"/>
        <w:bottom w:val="none" w:sz="0" w:space="0" w:color="auto"/>
        <w:right w:val="none" w:sz="0" w:space="0" w:color="auto"/>
      </w:divBdr>
      <w:divsChild>
        <w:div w:id="2069188435">
          <w:marLeft w:val="0"/>
          <w:marRight w:val="0"/>
          <w:marTop w:val="0"/>
          <w:marBottom w:val="0"/>
          <w:divBdr>
            <w:top w:val="none" w:sz="0" w:space="0" w:color="auto"/>
            <w:left w:val="none" w:sz="0" w:space="0" w:color="auto"/>
            <w:bottom w:val="none" w:sz="0" w:space="0" w:color="auto"/>
            <w:right w:val="none" w:sz="0" w:space="0" w:color="auto"/>
          </w:divBdr>
        </w:div>
      </w:divsChild>
    </w:div>
    <w:div w:id="900360032">
      <w:bodyDiv w:val="1"/>
      <w:marLeft w:val="0"/>
      <w:marRight w:val="0"/>
      <w:marTop w:val="0"/>
      <w:marBottom w:val="0"/>
      <w:divBdr>
        <w:top w:val="none" w:sz="0" w:space="0" w:color="auto"/>
        <w:left w:val="none" w:sz="0" w:space="0" w:color="auto"/>
        <w:bottom w:val="none" w:sz="0" w:space="0" w:color="auto"/>
        <w:right w:val="none" w:sz="0" w:space="0" w:color="auto"/>
      </w:divBdr>
      <w:divsChild>
        <w:div w:id="280890300">
          <w:marLeft w:val="0"/>
          <w:marRight w:val="0"/>
          <w:marTop w:val="0"/>
          <w:marBottom w:val="0"/>
          <w:divBdr>
            <w:top w:val="none" w:sz="0" w:space="0" w:color="auto"/>
            <w:left w:val="none" w:sz="0" w:space="0" w:color="auto"/>
            <w:bottom w:val="none" w:sz="0" w:space="0" w:color="auto"/>
            <w:right w:val="none" w:sz="0" w:space="0" w:color="auto"/>
          </w:divBdr>
        </w:div>
      </w:divsChild>
    </w:div>
    <w:div w:id="971327056">
      <w:bodyDiv w:val="1"/>
      <w:marLeft w:val="0"/>
      <w:marRight w:val="0"/>
      <w:marTop w:val="0"/>
      <w:marBottom w:val="0"/>
      <w:divBdr>
        <w:top w:val="none" w:sz="0" w:space="0" w:color="auto"/>
        <w:left w:val="none" w:sz="0" w:space="0" w:color="auto"/>
        <w:bottom w:val="none" w:sz="0" w:space="0" w:color="auto"/>
        <w:right w:val="none" w:sz="0" w:space="0" w:color="auto"/>
      </w:divBdr>
      <w:divsChild>
        <w:div w:id="1057124695">
          <w:marLeft w:val="0"/>
          <w:marRight w:val="0"/>
          <w:marTop w:val="0"/>
          <w:marBottom w:val="0"/>
          <w:divBdr>
            <w:top w:val="none" w:sz="0" w:space="0" w:color="auto"/>
            <w:left w:val="none" w:sz="0" w:space="0" w:color="auto"/>
            <w:bottom w:val="none" w:sz="0" w:space="0" w:color="auto"/>
            <w:right w:val="none" w:sz="0" w:space="0" w:color="auto"/>
          </w:divBdr>
        </w:div>
      </w:divsChild>
    </w:div>
    <w:div w:id="997609232">
      <w:bodyDiv w:val="1"/>
      <w:marLeft w:val="0"/>
      <w:marRight w:val="0"/>
      <w:marTop w:val="0"/>
      <w:marBottom w:val="0"/>
      <w:divBdr>
        <w:top w:val="none" w:sz="0" w:space="0" w:color="auto"/>
        <w:left w:val="none" w:sz="0" w:space="0" w:color="auto"/>
        <w:bottom w:val="none" w:sz="0" w:space="0" w:color="auto"/>
        <w:right w:val="none" w:sz="0" w:space="0" w:color="auto"/>
      </w:divBdr>
      <w:divsChild>
        <w:div w:id="2043438062">
          <w:marLeft w:val="0"/>
          <w:marRight w:val="0"/>
          <w:marTop w:val="0"/>
          <w:marBottom w:val="0"/>
          <w:divBdr>
            <w:top w:val="none" w:sz="0" w:space="0" w:color="auto"/>
            <w:left w:val="none" w:sz="0" w:space="0" w:color="auto"/>
            <w:bottom w:val="none" w:sz="0" w:space="0" w:color="auto"/>
            <w:right w:val="none" w:sz="0" w:space="0" w:color="auto"/>
          </w:divBdr>
          <w:divsChild>
            <w:div w:id="1610040985">
              <w:marLeft w:val="0"/>
              <w:marRight w:val="0"/>
              <w:marTop w:val="0"/>
              <w:marBottom w:val="0"/>
              <w:divBdr>
                <w:top w:val="none" w:sz="0" w:space="0" w:color="auto"/>
                <w:left w:val="none" w:sz="0" w:space="0" w:color="auto"/>
                <w:bottom w:val="none" w:sz="0" w:space="0" w:color="auto"/>
                <w:right w:val="none" w:sz="0" w:space="0" w:color="auto"/>
              </w:divBdr>
              <w:divsChild>
                <w:div w:id="89831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961666">
      <w:bodyDiv w:val="1"/>
      <w:marLeft w:val="0"/>
      <w:marRight w:val="0"/>
      <w:marTop w:val="0"/>
      <w:marBottom w:val="0"/>
      <w:divBdr>
        <w:top w:val="none" w:sz="0" w:space="0" w:color="auto"/>
        <w:left w:val="none" w:sz="0" w:space="0" w:color="auto"/>
        <w:bottom w:val="none" w:sz="0" w:space="0" w:color="auto"/>
        <w:right w:val="none" w:sz="0" w:space="0" w:color="auto"/>
      </w:divBdr>
      <w:divsChild>
        <w:div w:id="1429693175">
          <w:marLeft w:val="0"/>
          <w:marRight w:val="0"/>
          <w:marTop w:val="0"/>
          <w:marBottom w:val="0"/>
          <w:divBdr>
            <w:top w:val="none" w:sz="0" w:space="0" w:color="auto"/>
            <w:left w:val="none" w:sz="0" w:space="0" w:color="auto"/>
            <w:bottom w:val="none" w:sz="0" w:space="0" w:color="auto"/>
            <w:right w:val="none" w:sz="0" w:space="0" w:color="auto"/>
          </w:divBdr>
        </w:div>
      </w:divsChild>
    </w:div>
    <w:div w:id="1040865560">
      <w:bodyDiv w:val="1"/>
      <w:marLeft w:val="0"/>
      <w:marRight w:val="0"/>
      <w:marTop w:val="0"/>
      <w:marBottom w:val="0"/>
      <w:divBdr>
        <w:top w:val="none" w:sz="0" w:space="0" w:color="auto"/>
        <w:left w:val="none" w:sz="0" w:space="0" w:color="auto"/>
        <w:bottom w:val="none" w:sz="0" w:space="0" w:color="auto"/>
        <w:right w:val="none" w:sz="0" w:space="0" w:color="auto"/>
      </w:divBdr>
      <w:divsChild>
        <w:div w:id="2131127222">
          <w:marLeft w:val="0"/>
          <w:marRight w:val="0"/>
          <w:marTop w:val="0"/>
          <w:marBottom w:val="0"/>
          <w:divBdr>
            <w:top w:val="none" w:sz="0" w:space="0" w:color="auto"/>
            <w:left w:val="none" w:sz="0" w:space="0" w:color="auto"/>
            <w:bottom w:val="none" w:sz="0" w:space="0" w:color="auto"/>
            <w:right w:val="none" w:sz="0" w:space="0" w:color="auto"/>
          </w:divBdr>
          <w:divsChild>
            <w:div w:id="669873033">
              <w:marLeft w:val="0"/>
              <w:marRight w:val="0"/>
              <w:marTop w:val="0"/>
              <w:marBottom w:val="0"/>
              <w:divBdr>
                <w:top w:val="none" w:sz="0" w:space="0" w:color="auto"/>
                <w:left w:val="none" w:sz="0" w:space="0" w:color="auto"/>
                <w:bottom w:val="none" w:sz="0" w:space="0" w:color="auto"/>
                <w:right w:val="none" w:sz="0" w:space="0" w:color="auto"/>
              </w:divBdr>
              <w:divsChild>
                <w:div w:id="878511142">
                  <w:marLeft w:val="0"/>
                  <w:marRight w:val="0"/>
                  <w:marTop w:val="0"/>
                  <w:marBottom w:val="0"/>
                  <w:divBdr>
                    <w:top w:val="none" w:sz="0" w:space="0" w:color="auto"/>
                    <w:left w:val="none" w:sz="0" w:space="0" w:color="auto"/>
                    <w:bottom w:val="none" w:sz="0" w:space="0" w:color="auto"/>
                    <w:right w:val="none" w:sz="0" w:space="0" w:color="auto"/>
                  </w:divBdr>
                  <w:divsChild>
                    <w:div w:id="12401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792404">
      <w:bodyDiv w:val="1"/>
      <w:marLeft w:val="0"/>
      <w:marRight w:val="0"/>
      <w:marTop w:val="0"/>
      <w:marBottom w:val="0"/>
      <w:divBdr>
        <w:top w:val="none" w:sz="0" w:space="0" w:color="auto"/>
        <w:left w:val="none" w:sz="0" w:space="0" w:color="auto"/>
        <w:bottom w:val="none" w:sz="0" w:space="0" w:color="auto"/>
        <w:right w:val="none" w:sz="0" w:space="0" w:color="auto"/>
      </w:divBdr>
      <w:divsChild>
        <w:div w:id="589658289">
          <w:marLeft w:val="0"/>
          <w:marRight w:val="0"/>
          <w:marTop w:val="0"/>
          <w:marBottom w:val="0"/>
          <w:divBdr>
            <w:top w:val="none" w:sz="0" w:space="0" w:color="auto"/>
            <w:left w:val="none" w:sz="0" w:space="0" w:color="auto"/>
            <w:bottom w:val="none" w:sz="0" w:space="0" w:color="auto"/>
            <w:right w:val="none" w:sz="0" w:space="0" w:color="auto"/>
          </w:divBdr>
          <w:divsChild>
            <w:div w:id="1838762073">
              <w:marLeft w:val="0"/>
              <w:marRight w:val="0"/>
              <w:marTop w:val="0"/>
              <w:marBottom w:val="0"/>
              <w:divBdr>
                <w:top w:val="none" w:sz="0" w:space="0" w:color="auto"/>
                <w:left w:val="none" w:sz="0" w:space="0" w:color="auto"/>
                <w:bottom w:val="none" w:sz="0" w:space="0" w:color="auto"/>
                <w:right w:val="none" w:sz="0" w:space="0" w:color="auto"/>
              </w:divBdr>
              <w:divsChild>
                <w:div w:id="56498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058030">
      <w:bodyDiv w:val="1"/>
      <w:marLeft w:val="0"/>
      <w:marRight w:val="0"/>
      <w:marTop w:val="0"/>
      <w:marBottom w:val="0"/>
      <w:divBdr>
        <w:top w:val="none" w:sz="0" w:space="0" w:color="auto"/>
        <w:left w:val="none" w:sz="0" w:space="0" w:color="auto"/>
        <w:bottom w:val="none" w:sz="0" w:space="0" w:color="auto"/>
        <w:right w:val="none" w:sz="0" w:space="0" w:color="auto"/>
      </w:divBdr>
    </w:div>
    <w:div w:id="1071075597">
      <w:bodyDiv w:val="1"/>
      <w:marLeft w:val="0"/>
      <w:marRight w:val="0"/>
      <w:marTop w:val="0"/>
      <w:marBottom w:val="0"/>
      <w:divBdr>
        <w:top w:val="none" w:sz="0" w:space="0" w:color="auto"/>
        <w:left w:val="none" w:sz="0" w:space="0" w:color="auto"/>
        <w:bottom w:val="none" w:sz="0" w:space="0" w:color="auto"/>
        <w:right w:val="none" w:sz="0" w:space="0" w:color="auto"/>
      </w:divBdr>
    </w:div>
    <w:div w:id="1082750921">
      <w:bodyDiv w:val="1"/>
      <w:marLeft w:val="0"/>
      <w:marRight w:val="0"/>
      <w:marTop w:val="0"/>
      <w:marBottom w:val="0"/>
      <w:divBdr>
        <w:top w:val="none" w:sz="0" w:space="0" w:color="auto"/>
        <w:left w:val="none" w:sz="0" w:space="0" w:color="auto"/>
        <w:bottom w:val="none" w:sz="0" w:space="0" w:color="auto"/>
        <w:right w:val="none" w:sz="0" w:space="0" w:color="auto"/>
      </w:divBdr>
      <w:divsChild>
        <w:div w:id="1220822666">
          <w:marLeft w:val="0"/>
          <w:marRight w:val="0"/>
          <w:marTop w:val="0"/>
          <w:marBottom w:val="0"/>
          <w:divBdr>
            <w:top w:val="none" w:sz="0" w:space="0" w:color="auto"/>
            <w:left w:val="none" w:sz="0" w:space="0" w:color="auto"/>
            <w:bottom w:val="none" w:sz="0" w:space="0" w:color="auto"/>
            <w:right w:val="none" w:sz="0" w:space="0" w:color="auto"/>
          </w:divBdr>
        </w:div>
      </w:divsChild>
    </w:div>
    <w:div w:id="1095201194">
      <w:bodyDiv w:val="1"/>
      <w:marLeft w:val="0"/>
      <w:marRight w:val="0"/>
      <w:marTop w:val="0"/>
      <w:marBottom w:val="0"/>
      <w:divBdr>
        <w:top w:val="none" w:sz="0" w:space="0" w:color="auto"/>
        <w:left w:val="none" w:sz="0" w:space="0" w:color="auto"/>
        <w:bottom w:val="none" w:sz="0" w:space="0" w:color="auto"/>
        <w:right w:val="none" w:sz="0" w:space="0" w:color="auto"/>
      </w:divBdr>
      <w:divsChild>
        <w:div w:id="1053385263">
          <w:marLeft w:val="0"/>
          <w:marRight w:val="0"/>
          <w:marTop w:val="0"/>
          <w:marBottom w:val="0"/>
          <w:divBdr>
            <w:top w:val="none" w:sz="0" w:space="0" w:color="auto"/>
            <w:left w:val="none" w:sz="0" w:space="0" w:color="auto"/>
            <w:bottom w:val="none" w:sz="0" w:space="0" w:color="auto"/>
            <w:right w:val="none" w:sz="0" w:space="0" w:color="auto"/>
          </w:divBdr>
          <w:divsChild>
            <w:div w:id="390734995">
              <w:marLeft w:val="0"/>
              <w:marRight w:val="0"/>
              <w:marTop w:val="0"/>
              <w:marBottom w:val="0"/>
              <w:divBdr>
                <w:top w:val="none" w:sz="0" w:space="0" w:color="auto"/>
                <w:left w:val="none" w:sz="0" w:space="0" w:color="auto"/>
                <w:bottom w:val="none" w:sz="0" w:space="0" w:color="auto"/>
                <w:right w:val="none" w:sz="0" w:space="0" w:color="auto"/>
              </w:divBdr>
              <w:divsChild>
                <w:div w:id="110311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803296">
      <w:bodyDiv w:val="1"/>
      <w:marLeft w:val="0"/>
      <w:marRight w:val="0"/>
      <w:marTop w:val="0"/>
      <w:marBottom w:val="0"/>
      <w:divBdr>
        <w:top w:val="none" w:sz="0" w:space="0" w:color="auto"/>
        <w:left w:val="none" w:sz="0" w:space="0" w:color="auto"/>
        <w:bottom w:val="none" w:sz="0" w:space="0" w:color="auto"/>
        <w:right w:val="none" w:sz="0" w:space="0" w:color="auto"/>
      </w:divBdr>
      <w:divsChild>
        <w:div w:id="582685919">
          <w:marLeft w:val="0"/>
          <w:marRight w:val="0"/>
          <w:marTop w:val="0"/>
          <w:marBottom w:val="0"/>
          <w:divBdr>
            <w:top w:val="none" w:sz="0" w:space="0" w:color="auto"/>
            <w:left w:val="none" w:sz="0" w:space="0" w:color="auto"/>
            <w:bottom w:val="none" w:sz="0" w:space="0" w:color="auto"/>
            <w:right w:val="none" w:sz="0" w:space="0" w:color="auto"/>
          </w:divBdr>
          <w:divsChild>
            <w:div w:id="1379427276">
              <w:marLeft w:val="0"/>
              <w:marRight w:val="0"/>
              <w:marTop w:val="0"/>
              <w:marBottom w:val="0"/>
              <w:divBdr>
                <w:top w:val="none" w:sz="0" w:space="0" w:color="auto"/>
                <w:left w:val="none" w:sz="0" w:space="0" w:color="auto"/>
                <w:bottom w:val="none" w:sz="0" w:space="0" w:color="auto"/>
                <w:right w:val="none" w:sz="0" w:space="0" w:color="auto"/>
              </w:divBdr>
              <w:divsChild>
                <w:div w:id="196302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926938">
      <w:bodyDiv w:val="1"/>
      <w:marLeft w:val="0"/>
      <w:marRight w:val="0"/>
      <w:marTop w:val="0"/>
      <w:marBottom w:val="0"/>
      <w:divBdr>
        <w:top w:val="none" w:sz="0" w:space="0" w:color="auto"/>
        <w:left w:val="none" w:sz="0" w:space="0" w:color="auto"/>
        <w:bottom w:val="none" w:sz="0" w:space="0" w:color="auto"/>
        <w:right w:val="none" w:sz="0" w:space="0" w:color="auto"/>
      </w:divBdr>
    </w:div>
    <w:div w:id="1111783758">
      <w:bodyDiv w:val="1"/>
      <w:marLeft w:val="0"/>
      <w:marRight w:val="0"/>
      <w:marTop w:val="0"/>
      <w:marBottom w:val="0"/>
      <w:divBdr>
        <w:top w:val="none" w:sz="0" w:space="0" w:color="auto"/>
        <w:left w:val="none" w:sz="0" w:space="0" w:color="auto"/>
        <w:bottom w:val="none" w:sz="0" w:space="0" w:color="auto"/>
        <w:right w:val="none" w:sz="0" w:space="0" w:color="auto"/>
      </w:divBdr>
      <w:divsChild>
        <w:div w:id="332800174">
          <w:marLeft w:val="0"/>
          <w:marRight w:val="0"/>
          <w:marTop w:val="0"/>
          <w:marBottom w:val="0"/>
          <w:divBdr>
            <w:top w:val="none" w:sz="0" w:space="0" w:color="auto"/>
            <w:left w:val="none" w:sz="0" w:space="0" w:color="auto"/>
            <w:bottom w:val="none" w:sz="0" w:space="0" w:color="auto"/>
            <w:right w:val="none" w:sz="0" w:space="0" w:color="auto"/>
          </w:divBdr>
          <w:divsChild>
            <w:div w:id="1765149654">
              <w:marLeft w:val="0"/>
              <w:marRight w:val="0"/>
              <w:marTop w:val="0"/>
              <w:marBottom w:val="0"/>
              <w:divBdr>
                <w:top w:val="none" w:sz="0" w:space="0" w:color="auto"/>
                <w:left w:val="none" w:sz="0" w:space="0" w:color="auto"/>
                <w:bottom w:val="none" w:sz="0" w:space="0" w:color="auto"/>
                <w:right w:val="none" w:sz="0" w:space="0" w:color="auto"/>
              </w:divBdr>
              <w:divsChild>
                <w:div w:id="49087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448216">
      <w:bodyDiv w:val="1"/>
      <w:marLeft w:val="0"/>
      <w:marRight w:val="0"/>
      <w:marTop w:val="0"/>
      <w:marBottom w:val="0"/>
      <w:divBdr>
        <w:top w:val="none" w:sz="0" w:space="0" w:color="auto"/>
        <w:left w:val="none" w:sz="0" w:space="0" w:color="auto"/>
        <w:bottom w:val="none" w:sz="0" w:space="0" w:color="auto"/>
        <w:right w:val="none" w:sz="0" w:space="0" w:color="auto"/>
      </w:divBdr>
    </w:div>
    <w:div w:id="1137798847">
      <w:bodyDiv w:val="1"/>
      <w:marLeft w:val="0"/>
      <w:marRight w:val="0"/>
      <w:marTop w:val="0"/>
      <w:marBottom w:val="0"/>
      <w:divBdr>
        <w:top w:val="none" w:sz="0" w:space="0" w:color="auto"/>
        <w:left w:val="none" w:sz="0" w:space="0" w:color="auto"/>
        <w:bottom w:val="none" w:sz="0" w:space="0" w:color="auto"/>
        <w:right w:val="none" w:sz="0" w:space="0" w:color="auto"/>
      </w:divBdr>
      <w:divsChild>
        <w:div w:id="1730566462">
          <w:marLeft w:val="0"/>
          <w:marRight w:val="0"/>
          <w:marTop w:val="0"/>
          <w:marBottom w:val="0"/>
          <w:divBdr>
            <w:top w:val="none" w:sz="0" w:space="0" w:color="auto"/>
            <w:left w:val="none" w:sz="0" w:space="0" w:color="auto"/>
            <w:bottom w:val="none" w:sz="0" w:space="0" w:color="auto"/>
            <w:right w:val="none" w:sz="0" w:space="0" w:color="auto"/>
          </w:divBdr>
          <w:divsChild>
            <w:div w:id="1086801420">
              <w:marLeft w:val="0"/>
              <w:marRight w:val="0"/>
              <w:marTop w:val="0"/>
              <w:marBottom w:val="0"/>
              <w:divBdr>
                <w:top w:val="none" w:sz="0" w:space="0" w:color="auto"/>
                <w:left w:val="none" w:sz="0" w:space="0" w:color="auto"/>
                <w:bottom w:val="none" w:sz="0" w:space="0" w:color="auto"/>
                <w:right w:val="none" w:sz="0" w:space="0" w:color="auto"/>
              </w:divBdr>
              <w:divsChild>
                <w:div w:id="1697997479">
                  <w:marLeft w:val="0"/>
                  <w:marRight w:val="0"/>
                  <w:marTop w:val="0"/>
                  <w:marBottom w:val="0"/>
                  <w:divBdr>
                    <w:top w:val="none" w:sz="0" w:space="0" w:color="auto"/>
                    <w:left w:val="none" w:sz="0" w:space="0" w:color="auto"/>
                    <w:bottom w:val="none" w:sz="0" w:space="0" w:color="auto"/>
                    <w:right w:val="none" w:sz="0" w:space="0" w:color="auto"/>
                  </w:divBdr>
                  <w:divsChild>
                    <w:div w:id="161259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239215">
      <w:bodyDiv w:val="1"/>
      <w:marLeft w:val="0"/>
      <w:marRight w:val="0"/>
      <w:marTop w:val="0"/>
      <w:marBottom w:val="0"/>
      <w:divBdr>
        <w:top w:val="none" w:sz="0" w:space="0" w:color="auto"/>
        <w:left w:val="none" w:sz="0" w:space="0" w:color="auto"/>
        <w:bottom w:val="none" w:sz="0" w:space="0" w:color="auto"/>
        <w:right w:val="none" w:sz="0" w:space="0" w:color="auto"/>
      </w:divBdr>
      <w:divsChild>
        <w:div w:id="1226986297">
          <w:marLeft w:val="0"/>
          <w:marRight w:val="0"/>
          <w:marTop w:val="0"/>
          <w:marBottom w:val="0"/>
          <w:divBdr>
            <w:top w:val="none" w:sz="0" w:space="0" w:color="auto"/>
            <w:left w:val="none" w:sz="0" w:space="0" w:color="auto"/>
            <w:bottom w:val="none" w:sz="0" w:space="0" w:color="auto"/>
            <w:right w:val="none" w:sz="0" w:space="0" w:color="auto"/>
          </w:divBdr>
          <w:divsChild>
            <w:div w:id="983971502">
              <w:marLeft w:val="0"/>
              <w:marRight w:val="0"/>
              <w:marTop w:val="0"/>
              <w:marBottom w:val="0"/>
              <w:divBdr>
                <w:top w:val="none" w:sz="0" w:space="0" w:color="auto"/>
                <w:left w:val="none" w:sz="0" w:space="0" w:color="auto"/>
                <w:bottom w:val="none" w:sz="0" w:space="0" w:color="auto"/>
                <w:right w:val="none" w:sz="0" w:space="0" w:color="auto"/>
              </w:divBdr>
              <w:divsChild>
                <w:div w:id="75065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143012">
      <w:bodyDiv w:val="1"/>
      <w:marLeft w:val="0"/>
      <w:marRight w:val="0"/>
      <w:marTop w:val="0"/>
      <w:marBottom w:val="0"/>
      <w:divBdr>
        <w:top w:val="none" w:sz="0" w:space="0" w:color="auto"/>
        <w:left w:val="none" w:sz="0" w:space="0" w:color="auto"/>
        <w:bottom w:val="none" w:sz="0" w:space="0" w:color="auto"/>
        <w:right w:val="none" w:sz="0" w:space="0" w:color="auto"/>
      </w:divBdr>
      <w:divsChild>
        <w:div w:id="388116962">
          <w:marLeft w:val="0"/>
          <w:marRight w:val="0"/>
          <w:marTop w:val="0"/>
          <w:marBottom w:val="0"/>
          <w:divBdr>
            <w:top w:val="none" w:sz="0" w:space="0" w:color="auto"/>
            <w:left w:val="none" w:sz="0" w:space="0" w:color="auto"/>
            <w:bottom w:val="none" w:sz="0" w:space="0" w:color="auto"/>
            <w:right w:val="none" w:sz="0" w:space="0" w:color="auto"/>
          </w:divBdr>
        </w:div>
      </w:divsChild>
    </w:div>
    <w:div w:id="1176654525">
      <w:bodyDiv w:val="1"/>
      <w:marLeft w:val="0"/>
      <w:marRight w:val="0"/>
      <w:marTop w:val="0"/>
      <w:marBottom w:val="0"/>
      <w:divBdr>
        <w:top w:val="none" w:sz="0" w:space="0" w:color="auto"/>
        <w:left w:val="none" w:sz="0" w:space="0" w:color="auto"/>
        <w:bottom w:val="none" w:sz="0" w:space="0" w:color="auto"/>
        <w:right w:val="none" w:sz="0" w:space="0" w:color="auto"/>
      </w:divBdr>
      <w:divsChild>
        <w:div w:id="744306203">
          <w:marLeft w:val="0"/>
          <w:marRight w:val="0"/>
          <w:marTop w:val="0"/>
          <w:marBottom w:val="0"/>
          <w:divBdr>
            <w:top w:val="none" w:sz="0" w:space="0" w:color="auto"/>
            <w:left w:val="none" w:sz="0" w:space="0" w:color="auto"/>
            <w:bottom w:val="none" w:sz="0" w:space="0" w:color="auto"/>
            <w:right w:val="none" w:sz="0" w:space="0" w:color="auto"/>
          </w:divBdr>
          <w:divsChild>
            <w:div w:id="594898299">
              <w:marLeft w:val="0"/>
              <w:marRight w:val="0"/>
              <w:marTop w:val="0"/>
              <w:marBottom w:val="0"/>
              <w:divBdr>
                <w:top w:val="none" w:sz="0" w:space="0" w:color="auto"/>
                <w:left w:val="none" w:sz="0" w:space="0" w:color="auto"/>
                <w:bottom w:val="none" w:sz="0" w:space="0" w:color="auto"/>
                <w:right w:val="none" w:sz="0" w:space="0" w:color="auto"/>
              </w:divBdr>
              <w:divsChild>
                <w:div w:id="681860567">
                  <w:marLeft w:val="0"/>
                  <w:marRight w:val="0"/>
                  <w:marTop w:val="0"/>
                  <w:marBottom w:val="0"/>
                  <w:divBdr>
                    <w:top w:val="none" w:sz="0" w:space="0" w:color="auto"/>
                    <w:left w:val="none" w:sz="0" w:space="0" w:color="auto"/>
                    <w:bottom w:val="none" w:sz="0" w:space="0" w:color="auto"/>
                    <w:right w:val="none" w:sz="0" w:space="0" w:color="auto"/>
                  </w:divBdr>
                  <w:divsChild>
                    <w:div w:id="137022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113715">
      <w:bodyDiv w:val="1"/>
      <w:marLeft w:val="0"/>
      <w:marRight w:val="0"/>
      <w:marTop w:val="0"/>
      <w:marBottom w:val="0"/>
      <w:divBdr>
        <w:top w:val="none" w:sz="0" w:space="0" w:color="auto"/>
        <w:left w:val="none" w:sz="0" w:space="0" w:color="auto"/>
        <w:bottom w:val="none" w:sz="0" w:space="0" w:color="auto"/>
        <w:right w:val="none" w:sz="0" w:space="0" w:color="auto"/>
      </w:divBdr>
      <w:divsChild>
        <w:div w:id="201552642">
          <w:marLeft w:val="0"/>
          <w:marRight w:val="0"/>
          <w:marTop w:val="0"/>
          <w:marBottom w:val="0"/>
          <w:divBdr>
            <w:top w:val="none" w:sz="0" w:space="0" w:color="auto"/>
            <w:left w:val="none" w:sz="0" w:space="0" w:color="auto"/>
            <w:bottom w:val="none" w:sz="0" w:space="0" w:color="auto"/>
            <w:right w:val="none" w:sz="0" w:space="0" w:color="auto"/>
          </w:divBdr>
          <w:divsChild>
            <w:div w:id="1570263226">
              <w:marLeft w:val="0"/>
              <w:marRight w:val="0"/>
              <w:marTop w:val="0"/>
              <w:marBottom w:val="0"/>
              <w:divBdr>
                <w:top w:val="none" w:sz="0" w:space="0" w:color="auto"/>
                <w:left w:val="none" w:sz="0" w:space="0" w:color="auto"/>
                <w:bottom w:val="none" w:sz="0" w:space="0" w:color="auto"/>
                <w:right w:val="none" w:sz="0" w:space="0" w:color="auto"/>
              </w:divBdr>
              <w:divsChild>
                <w:div w:id="1303537303">
                  <w:marLeft w:val="0"/>
                  <w:marRight w:val="0"/>
                  <w:marTop w:val="0"/>
                  <w:marBottom w:val="0"/>
                  <w:divBdr>
                    <w:top w:val="none" w:sz="0" w:space="0" w:color="auto"/>
                    <w:left w:val="none" w:sz="0" w:space="0" w:color="auto"/>
                    <w:bottom w:val="none" w:sz="0" w:space="0" w:color="auto"/>
                    <w:right w:val="none" w:sz="0" w:space="0" w:color="auto"/>
                  </w:divBdr>
                  <w:divsChild>
                    <w:div w:id="53785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729859">
      <w:bodyDiv w:val="1"/>
      <w:marLeft w:val="0"/>
      <w:marRight w:val="0"/>
      <w:marTop w:val="0"/>
      <w:marBottom w:val="0"/>
      <w:divBdr>
        <w:top w:val="none" w:sz="0" w:space="0" w:color="auto"/>
        <w:left w:val="none" w:sz="0" w:space="0" w:color="auto"/>
        <w:bottom w:val="none" w:sz="0" w:space="0" w:color="auto"/>
        <w:right w:val="none" w:sz="0" w:space="0" w:color="auto"/>
      </w:divBdr>
    </w:div>
    <w:div w:id="1217352440">
      <w:bodyDiv w:val="1"/>
      <w:marLeft w:val="0"/>
      <w:marRight w:val="0"/>
      <w:marTop w:val="0"/>
      <w:marBottom w:val="0"/>
      <w:divBdr>
        <w:top w:val="none" w:sz="0" w:space="0" w:color="auto"/>
        <w:left w:val="none" w:sz="0" w:space="0" w:color="auto"/>
        <w:bottom w:val="none" w:sz="0" w:space="0" w:color="auto"/>
        <w:right w:val="none" w:sz="0" w:space="0" w:color="auto"/>
      </w:divBdr>
      <w:divsChild>
        <w:div w:id="182982703">
          <w:marLeft w:val="0"/>
          <w:marRight w:val="0"/>
          <w:marTop w:val="0"/>
          <w:marBottom w:val="0"/>
          <w:divBdr>
            <w:top w:val="none" w:sz="0" w:space="0" w:color="auto"/>
            <w:left w:val="none" w:sz="0" w:space="0" w:color="auto"/>
            <w:bottom w:val="none" w:sz="0" w:space="0" w:color="auto"/>
            <w:right w:val="none" w:sz="0" w:space="0" w:color="auto"/>
          </w:divBdr>
          <w:divsChild>
            <w:div w:id="2145148671">
              <w:marLeft w:val="0"/>
              <w:marRight w:val="0"/>
              <w:marTop w:val="0"/>
              <w:marBottom w:val="0"/>
              <w:divBdr>
                <w:top w:val="none" w:sz="0" w:space="0" w:color="auto"/>
                <w:left w:val="none" w:sz="0" w:space="0" w:color="auto"/>
                <w:bottom w:val="none" w:sz="0" w:space="0" w:color="auto"/>
                <w:right w:val="none" w:sz="0" w:space="0" w:color="auto"/>
              </w:divBdr>
              <w:divsChild>
                <w:div w:id="26963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621904">
      <w:bodyDiv w:val="1"/>
      <w:marLeft w:val="0"/>
      <w:marRight w:val="0"/>
      <w:marTop w:val="0"/>
      <w:marBottom w:val="0"/>
      <w:divBdr>
        <w:top w:val="none" w:sz="0" w:space="0" w:color="auto"/>
        <w:left w:val="none" w:sz="0" w:space="0" w:color="auto"/>
        <w:bottom w:val="none" w:sz="0" w:space="0" w:color="auto"/>
        <w:right w:val="none" w:sz="0" w:space="0" w:color="auto"/>
      </w:divBdr>
    </w:div>
    <w:div w:id="1259288859">
      <w:bodyDiv w:val="1"/>
      <w:marLeft w:val="0"/>
      <w:marRight w:val="0"/>
      <w:marTop w:val="0"/>
      <w:marBottom w:val="0"/>
      <w:divBdr>
        <w:top w:val="none" w:sz="0" w:space="0" w:color="auto"/>
        <w:left w:val="none" w:sz="0" w:space="0" w:color="auto"/>
        <w:bottom w:val="none" w:sz="0" w:space="0" w:color="auto"/>
        <w:right w:val="none" w:sz="0" w:space="0" w:color="auto"/>
      </w:divBdr>
      <w:divsChild>
        <w:div w:id="1253735471">
          <w:marLeft w:val="0"/>
          <w:marRight w:val="0"/>
          <w:marTop w:val="0"/>
          <w:marBottom w:val="0"/>
          <w:divBdr>
            <w:top w:val="none" w:sz="0" w:space="0" w:color="auto"/>
            <w:left w:val="none" w:sz="0" w:space="0" w:color="auto"/>
            <w:bottom w:val="none" w:sz="0" w:space="0" w:color="auto"/>
            <w:right w:val="none" w:sz="0" w:space="0" w:color="auto"/>
          </w:divBdr>
          <w:divsChild>
            <w:div w:id="2078555936">
              <w:marLeft w:val="0"/>
              <w:marRight w:val="0"/>
              <w:marTop w:val="0"/>
              <w:marBottom w:val="0"/>
              <w:divBdr>
                <w:top w:val="none" w:sz="0" w:space="0" w:color="auto"/>
                <w:left w:val="none" w:sz="0" w:space="0" w:color="auto"/>
                <w:bottom w:val="none" w:sz="0" w:space="0" w:color="auto"/>
                <w:right w:val="none" w:sz="0" w:space="0" w:color="auto"/>
              </w:divBdr>
              <w:divsChild>
                <w:div w:id="105994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989978">
      <w:bodyDiv w:val="1"/>
      <w:marLeft w:val="0"/>
      <w:marRight w:val="0"/>
      <w:marTop w:val="0"/>
      <w:marBottom w:val="0"/>
      <w:divBdr>
        <w:top w:val="none" w:sz="0" w:space="0" w:color="auto"/>
        <w:left w:val="none" w:sz="0" w:space="0" w:color="auto"/>
        <w:bottom w:val="none" w:sz="0" w:space="0" w:color="auto"/>
        <w:right w:val="none" w:sz="0" w:space="0" w:color="auto"/>
      </w:divBdr>
    </w:div>
    <w:div w:id="1301691669">
      <w:bodyDiv w:val="1"/>
      <w:marLeft w:val="0"/>
      <w:marRight w:val="0"/>
      <w:marTop w:val="0"/>
      <w:marBottom w:val="0"/>
      <w:divBdr>
        <w:top w:val="none" w:sz="0" w:space="0" w:color="auto"/>
        <w:left w:val="none" w:sz="0" w:space="0" w:color="auto"/>
        <w:bottom w:val="none" w:sz="0" w:space="0" w:color="auto"/>
        <w:right w:val="none" w:sz="0" w:space="0" w:color="auto"/>
      </w:divBdr>
      <w:divsChild>
        <w:div w:id="454763594">
          <w:marLeft w:val="0"/>
          <w:marRight w:val="0"/>
          <w:marTop w:val="0"/>
          <w:marBottom w:val="0"/>
          <w:divBdr>
            <w:top w:val="none" w:sz="0" w:space="0" w:color="auto"/>
            <w:left w:val="none" w:sz="0" w:space="0" w:color="auto"/>
            <w:bottom w:val="none" w:sz="0" w:space="0" w:color="auto"/>
            <w:right w:val="none" w:sz="0" w:space="0" w:color="auto"/>
          </w:divBdr>
          <w:divsChild>
            <w:div w:id="2036614490">
              <w:marLeft w:val="0"/>
              <w:marRight w:val="0"/>
              <w:marTop w:val="0"/>
              <w:marBottom w:val="0"/>
              <w:divBdr>
                <w:top w:val="none" w:sz="0" w:space="0" w:color="auto"/>
                <w:left w:val="none" w:sz="0" w:space="0" w:color="auto"/>
                <w:bottom w:val="none" w:sz="0" w:space="0" w:color="auto"/>
                <w:right w:val="none" w:sz="0" w:space="0" w:color="auto"/>
              </w:divBdr>
              <w:divsChild>
                <w:div w:id="170258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514233">
      <w:bodyDiv w:val="1"/>
      <w:marLeft w:val="0"/>
      <w:marRight w:val="0"/>
      <w:marTop w:val="0"/>
      <w:marBottom w:val="0"/>
      <w:divBdr>
        <w:top w:val="none" w:sz="0" w:space="0" w:color="auto"/>
        <w:left w:val="none" w:sz="0" w:space="0" w:color="auto"/>
        <w:bottom w:val="none" w:sz="0" w:space="0" w:color="auto"/>
        <w:right w:val="none" w:sz="0" w:space="0" w:color="auto"/>
      </w:divBdr>
      <w:divsChild>
        <w:div w:id="1480996833">
          <w:marLeft w:val="0"/>
          <w:marRight w:val="0"/>
          <w:marTop w:val="0"/>
          <w:marBottom w:val="0"/>
          <w:divBdr>
            <w:top w:val="none" w:sz="0" w:space="0" w:color="auto"/>
            <w:left w:val="none" w:sz="0" w:space="0" w:color="auto"/>
            <w:bottom w:val="none" w:sz="0" w:space="0" w:color="auto"/>
            <w:right w:val="none" w:sz="0" w:space="0" w:color="auto"/>
          </w:divBdr>
          <w:divsChild>
            <w:div w:id="1311642334">
              <w:marLeft w:val="0"/>
              <w:marRight w:val="0"/>
              <w:marTop w:val="0"/>
              <w:marBottom w:val="0"/>
              <w:divBdr>
                <w:top w:val="none" w:sz="0" w:space="0" w:color="auto"/>
                <w:left w:val="none" w:sz="0" w:space="0" w:color="auto"/>
                <w:bottom w:val="none" w:sz="0" w:space="0" w:color="auto"/>
                <w:right w:val="none" w:sz="0" w:space="0" w:color="auto"/>
              </w:divBdr>
              <w:divsChild>
                <w:div w:id="555896923">
                  <w:marLeft w:val="0"/>
                  <w:marRight w:val="0"/>
                  <w:marTop w:val="0"/>
                  <w:marBottom w:val="0"/>
                  <w:divBdr>
                    <w:top w:val="none" w:sz="0" w:space="0" w:color="auto"/>
                    <w:left w:val="none" w:sz="0" w:space="0" w:color="auto"/>
                    <w:bottom w:val="none" w:sz="0" w:space="0" w:color="auto"/>
                    <w:right w:val="none" w:sz="0" w:space="0" w:color="auto"/>
                  </w:divBdr>
                  <w:divsChild>
                    <w:div w:id="15191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5524112">
      <w:bodyDiv w:val="1"/>
      <w:marLeft w:val="0"/>
      <w:marRight w:val="0"/>
      <w:marTop w:val="0"/>
      <w:marBottom w:val="0"/>
      <w:divBdr>
        <w:top w:val="none" w:sz="0" w:space="0" w:color="auto"/>
        <w:left w:val="none" w:sz="0" w:space="0" w:color="auto"/>
        <w:bottom w:val="none" w:sz="0" w:space="0" w:color="auto"/>
        <w:right w:val="none" w:sz="0" w:space="0" w:color="auto"/>
      </w:divBdr>
      <w:divsChild>
        <w:div w:id="1981688173">
          <w:marLeft w:val="0"/>
          <w:marRight w:val="0"/>
          <w:marTop w:val="0"/>
          <w:marBottom w:val="0"/>
          <w:divBdr>
            <w:top w:val="none" w:sz="0" w:space="0" w:color="auto"/>
            <w:left w:val="none" w:sz="0" w:space="0" w:color="auto"/>
            <w:bottom w:val="none" w:sz="0" w:space="0" w:color="auto"/>
            <w:right w:val="none" w:sz="0" w:space="0" w:color="auto"/>
          </w:divBdr>
        </w:div>
      </w:divsChild>
    </w:div>
    <w:div w:id="1335499803">
      <w:bodyDiv w:val="1"/>
      <w:marLeft w:val="0"/>
      <w:marRight w:val="0"/>
      <w:marTop w:val="0"/>
      <w:marBottom w:val="0"/>
      <w:divBdr>
        <w:top w:val="none" w:sz="0" w:space="0" w:color="auto"/>
        <w:left w:val="none" w:sz="0" w:space="0" w:color="auto"/>
        <w:bottom w:val="none" w:sz="0" w:space="0" w:color="auto"/>
        <w:right w:val="none" w:sz="0" w:space="0" w:color="auto"/>
      </w:divBdr>
      <w:divsChild>
        <w:div w:id="1584728357">
          <w:marLeft w:val="0"/>
          <w:marRight w:val="0"/>
          <w:marTop w:val="0"/>
          <w:marBottom w:val="0"/>
          <w:divBdr>
            <w:top w:val="none" w:sz="0" w:space="0" w:color="auto"/>
            <w:left w:val="none" w:sz="0" w:space="0" w:color="auto"/>
            <w:bottom w:val="none" w:sz="0" w:space="0" w:color="auto"/>
            <w:right w:val="none" w:sz="0" w:space="0" w:color="auto"/>
          </w:divBdr>
        </w:div>
      </w:divsChild>
    </w:div>
    <w:div w:id="1360929588">
      <w:bodyDiv w:val="1"/>
      <w:marLeft w:val="0"/>
      <w:marRight w:val="0"/>
      <w:marTop w:val="0"/>
      <w:marBottom w:val="0"/>
      <w:divBdr>
        <w:top w:val="none" w:sz="0" w:space="0" w:color="auto"/>
        <w:left w:val="none" w:sz="0" w:space="0" w:color="auto"/>
        <w:bottom w:val="none" w:sz="0" w:space="0" w:color="auto"/>
        <w:right w:val="none" w:sz="0" w:space="0" w:color="auto"/>
      </w:divBdr>
    </w:div>
    <w:div w:id="1373921383">
      <w:bodyDiv w:val="1"/>
      <w:marLeft w:val="0"/>
      <w:marRight w:val="0"/>
      <w:marTop w:val="0"/>
      <w:marBottom w:val="0"/>
      <w:divBdr>
        <w:top w:val="none" w:sz="0" w:space="0" w:color="auto"/>
        <w:left w:val="none" w:sz="0" w:space="0" w:color="auto"/>
        <w:bottom w:val="none" w:sz="0" w:space="0" w:color="auto"/>
        <w:right w:val="none" w:sz="0" w:space="0" w:color="auto"/>
      </w:divBdr>
      <w:divsChild>
        <w:div w:id="1650866626">
          <w:marLeft w:val="0"/>
          <w:marRight w:val="0"/>
          <w:marTop w:val="0"/>
          <w:marBottom w:val="0"/>
          <w:divBdr>
            <w:top w:val="none" w:sz="0" w:space="0" w:color="auto"/>
            <w:left w:val="none" w:sz="0" w:space="0" w:color="auto"/>
            <w:bottom w:val="none" w:sz="0" w:space="0" w:color="auto"/>
            <w:right w:val="none" w:sz="0" w:space="0" w:color="auto"/>
          </w:divBdr>
          <w:divsChild>
            <w:div w:id="1703092038">
              <w:marLeft w:val="0"/>
              <w:marRight w:val="0"/>
              <w:marTop w:val="0"/>
              <w:marBottom w:val="0"/>
              <w:divBdr>
                <w:top w:val="none" w:sz="0" w:space="0" w:color="auto"/>
                <w:left w:val="none" w:sz="0" w:space="0" w:color="auto"/>
                <w:bottom w:val="none" w:sz="0" w:space="0" w:color="auto"/>
                <w:right w:val="none" w:sz="0" w:space="0" w:color="auto"/>
              </w:divBdr>
              <w:divsChild>
                <w:div w:id="8180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679526">
      <w:bodyDiv w:val="1"/>
      <w:marLeft w:val="0"/>
      <w:marRight w:val="0"/>
      <w:marTop w:val="0"/>
      <w:marBottom w:val="0"/>
      <w:divBdr>
        <w:top w:val="none" w:sz="0" w:space="0" w:color="auto"/>
        <w:left w:val="none" w:sz="0" w:space="0" w:color="auto"/>
        <w:bottom w:val="none" w:sz="0" w:space="0" w:color="auto"/>
        <w:right w:val="none" w:sz="0" w:space="0" w:color="auto"/>
      </w:divBdr>
      <w:divsChild>
        <w:div w:id="408696621">
          <w:marLeft w:val="0"/>
          <w:marRight w:val="0"/>
          <w:marTop w:val="0"/>
          <w:marBottom w:val="0"/>
          <w:divBdr>
            <w:top w:val="none" w:sz="0" w:space="0" w:color="auto"/>
            <w:left w:val="none" w:sz="0" w:space="0" w:color="auto"/>
            <w:bottom w:val="none" w:sz="0" w:space="0" w:color="auto"/>
            <w:right w:val="none" w:sz="0" w:space="0" w:color="auto"/>
          </w:divBdr>
          <w:divsChild>
            <w:div w:id="599684578">
              <w:marLeft w:val="0"/>
              <w:marRight w:val="0"/>
              <w:marTop w:val="0"/>
              <w:marBottom w:val="0"/>
              <w:divBdr>
                <w:top w:val="none" w:sz="0" w:space="0" w:color="auto"/>
                <w:left w:val="none" w:sz="0" w:space="0" w:color="auto"/>
                <w:bottom w:val="none" w:sz="0" w:space="0" w:color="auto"/>
                <w:right w:val="none" w:sz="0" w:space="0" w:color="auto"/>
              </w:divBdr>
              <w:divsChild>
                <w:div w:id="171384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597684">
      <w:bodyDiv w:val="1"/>
      <w:marLeft w:val="0"/>
      <w:marRight w:val="0"/>
      <w:marTop w:val="0"/>
      <w:marBottom w:val="0"/>
      <w:divBdr>
        <w:top w:val="none" w:sz="0" w:space="0" w:color="auto"/>
        <w:left w:val="none" w:sz="0" w:space="0" w:color="auto"/>
        <w:bottom w:val="none" w:sz="0" w:space="0" w:color="auto"/>
        <w:right w:val="none" w:sz="0" w:space="0" w:color="auto"/>
      </w:divBdr>
    </w:div>
    <w:div w:id="1461221221">
      <w:bodyDiv w:val="1"/>
      <w:marLeft w:val="0"/>
      <w:marRight w:val="0"/>
      <w:marTop w:val="0"/>
      <w:marBottom w:val="0"/>
      <w:divBdr>
        <w:top w:val="none" w:sz="0" w:space="0" w:color="auto"/>
        <w:left w:val="none" w:sz="0" w:space="0" w:color="auto"/>
        <w:bottom w:val="none" w:sz="0" w:space="0" w:color="auto"/>
        <w:right w:val="none" w:sz="0" w:space="0" w:color="auto"/>
      </w:divBdr>
      <w:divsChild>
        <w:div w:id="2561822">
          <w:marLeft w:val="0"/>
          <w:marRight w:val="0"/>
          <w:marTop w:val="0"/>
          <w:marBottom w:val="0"/>
          <w:divBdr>
            <w:top w:val="none" w:sz="0" w:space="0" w:color="auto"/>
            <w:left w:val="none" w:sz="0" w:space="0" w:color="auto"/>
            <w:bottom w:val="none" w:sz="0" w:space="0" w:color="auto"/>
            <w:right w:val="none" w:sz="0" w:space="0" w:color="auto"/>
          </w:divBdr>
          <w:divsChild>
            <w:div w:id="1586763297">
              <w:marLeft w:val="0"/>
              <w:marRight w:val="0"/>
              <w:marTop w:val="0"/>
              <w:marBottom w:val="0"/>
              <w:divBdr>
                <w:top w:val="none" w:sz="0" w:space="0" w:color="auto"/>
                <w:left w:val="none" w:sz="0" w:space="0" w:color="auto"/>
                <w:bottom w:val="none" w:sz="0" w:space="0" w:color="auto"/>
                <w:right w:val="none" w:sz="0" w:space="0" w:color="auto"/>
              </w:divBdr>
              <w:divsChild>
                <w:div w:id="71939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84827">
          <w:marLeft w:val="0"/>
          <w:marRight w:val="0"/>
          <w:marTop w:val="0"/>
          <w:marBottom w:val="0"/>
          <w:divBdr>
            <w:top w:val="none" w:sz="0" w:space="0" w:color="auto"/>
            <w:left w:val="none" w:sz="0" w:space="0" w:color="auto"/>
            <w:bottom w:val="none" w:sz="0" w:space="0" w:color="auto"/>
            <w:right w:val="none" w:sz="0" w:space="0" w:color="auto"/>
          </w:divBdr>
          <w:divsChild>
            <w:div w:id="167789833">
              <w:marLeft w:val="0"/>
              <w:marRight w:val="0"/>
              <w:marTop w:val="0"/>
              <w:marBottom w:val="0"/>
              <w:divBdr>
                <w:top w:val="none" w:sz="0" w:space="0" w:color="auto"/>
                <w:left w:val="none" w:sz="0" w:space="0" w:color="auto"/>
                <w:bottom w:val="none" w:sz="0" w:space="0" w:color="auto"/>
                <w:right w:val="none" w:sz="0" w:space="0" w:color="auto"/>
              </w:divBdr>
              <w:divsChild>
                <w:div w:id="156094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053119">
          <w:marLeft w:val="0"/>
          <w:marRight w:val="0"/>
          <w:marTop w:val="0"/>
          <w:marBottom w:val="0"/>
          <w:divBdr>
            <w:top w:val="none" w:sz="0" w:space="0" w:color="auto"/>
            <w:left w:val="none" w:sz="0" w:space="0" w:color="auto"/>
            <w:bottom w:val="none" w:sz="0" w:space="0" w:color="auto"/>
            <w:right w:val="none" w:sz="0" w:space="0" w:color="auto"/>
          </w:divBdr>
          <w:divsChild>
            <w:div w:id="726301905">
              <w:marLeft w:val="0"/>
              <w:marRight w:val="0"/>
              <w:marTop w:val="0"/>
              <w:marBottom w:val="0"/>
              <w:divBdr>
                <w:top w:val="none" w:sz="0" w:space="0" w:color="auto"/>
                <w:left w:val="none" w:sz="0" w:space="0" w:color="auto"/>
                <w:bottom w:val="none" w:sz="0" w:space="0" w:color="auto"/>
                <w:right w:val="none" w:sz="0" w:space="0" w:color="auto"/>
              </w:divBdr>
              <w:divsChild>
                <w:div w:id="117407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145548">
          <w:marLeft w:val="0"/>
          <w:marRight w:val="0"/>
          <w:marTop w:val="0"/>
          <w:marBottom w:val="0"/>
          <w:divBdr>
            <w:top w:val="none" w:sz="0" w:space="0" w:color="auto"/>
            <w:left w:val="none" w:sz="0" w:space="0" w:color="auto"/>
            <w:bottom w:val="none" w:sz="0" w:space="0" w:color="auto"/>
            <w:right w:val="none" w:sz="0" w:space="0" w:color="auto"/>
          </w:divBdr>
          <w:divsChild>
            <w:div w:id="132915350">
              <w:marLeft w:val="0"/>
              <w:marRight w:val="0"/>
              <w:marTop w:val="0"/>
              <w:marBottom w:val="0"/>
              <w:divBdr>
                <w:top w:val="none" w:sz="0" w:space="0" w:color="auto"/>
                <w:left w:val="none" w:sz="0" w:space="0" w:color="auto"/>
                <w:bottom w:val="none" w:sz="0" w:space="0" w:color="auto"/>
                <w:right w:val="none" w:sz="0" w:space="0" w:color="auto"/>
              </w:divBdr>
              <w:divsChild>
                <w:div w:id="134489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595913">
          <w:marLeft w:val="0"/>
          <w:marRight w:val="0"/>
          <w:marTop w:val="0"/>
          <w:marBottom w:val="0"/>
          <w:divBdr>
            <w:top w:val="none" w:sz="0" w:space="0" w:color="auto"/>
            <w:left w:val="none" w:sz="0" w:space="0" w:color="auto"/>
            <w:bottom w:val="none" w:sz="0" w:space="0" w:color="auto"/>
            <w:right w:val="none" w:sz="0" w:space="0" w:color="auto"/>
          </w:divBdr>
          <w:divsChild>
            <w:div w:id="1922566472">
              <w:marLeft w:val="0"/>
              <w:marRight w:val="0"/>
              <w:marTop w:val="0"/>
              <w:marBottom w:val="0"/>
              <w:divBdr>
                <w:top w:val="none" w:sz="0" w:space="0" w:color="auto"/>
                <w:left w:val="none" w:sz="0" w:space="0" w:color="auto"/>
                <w:bottom w:val="none" w:sz="0" w:space="0" w:color="auto"/>
                <w:right w:val="none" w:sz="0" w:space="0" w:color="auto"/>
              </w:divBdr>
              <w:divsChild>
                <w:div w:id="31982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884899">
          <w:marLeft w:val="0"/>
          <w:marRight w:val="0"/>
          <w:marTop w:val="0"/>
          <w:marBottom w:val="0"/>
          <w:divBdr>
            <w:top w:val="none" w:sz="0" w:space="0" w:color="auto"/>
            <w:left w:val="none" w:sz="0" w:space="0" w:color="auto"/>
            <w:bottom w:val="none" w:sz="0" w:space="0" w:color="auto"/>
            <w:right w:val="none" w:sz="0" w:space="0" w:color="auto"/>
          </w:divBdr>
          <w:divsChild>
            <w:div w:id="810832770">
              <w:marLeft w:val="0"/>
              <w:marRight w:val="0"/>
              <w:marTop w:val="0"/>
              <w:marBottom w:val="0"/>
              <w:divBdr>
                <w:top w:val="none" w:sz="0" w:space="0" w:color="auto"/>
                <w:left w:val="none" w:sz="0" w:space="0" w:color="auto"/>
                <w:bottom w:val="none" w:sz="0" w:space="0" w:color="auto"/>
                <w:right w:val="none" w:sz="0" w:space="0" w:color="auto"/>
              </w:divBdr>
              <w:divsChild>
                <w:div w:id="29892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194447">
          <w:marLeft w:val="0"/>
          <w:marRight w:val="0"/>
          <w:marTop w:val="0"/>
          <w:marBottom w:val="0"/>
          <w:divBdr>
            <w:top w:val="none" w:sz="0" w:space="0" w:color="auto"/>
            <w:left w:val="none" w:sz="0" w:space="0" w:color="auto"/>
            <w:bottom w:val="none" w:sz="0" w:space="0" w:color="auto"/>
            <w:right w:val="none" w:sz="0" w:space="0" w:color="auto"/>
          </w:divBdr>
          <w:divsChild>
            <w:div w:id="2120947925">
              <w:marLeft w:val="0"/>
              <w:marRight w:val="0"/>
              <w:marTop w:val="0"/>
              <w:marBottom w:val="0"/>
              <w:divBdr>
                <w:top w:val="none" w:sz="0" w:space="0" w:color="auto"/>
                <w:left w:val="none" w:sz="0" w:space="0" w:color="auto"/>
                <w:bottom w:val="none" w:sz="0" w:space="0" w:color="auto"/>
                <w:right w:val="none" w:sz="0" w:space="0" w:color="auto"/>
              </w:divBdr>
              <w:divsChild>
                <w:div w:id="25455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952899">
          <w:marLeft w:val="0"/>
          <w:marRight w:val="0"/>
          <w:marTop w:val="0"/>
          <w:marBottom w:val="0"/>
          <w:divBdr>
            <w:top w:val="none" w:sz="0" w:space="0" w:color="auto"/>
            <w:left w:val="none" w:sz="0" w:space="0" w:color="auto"/>
            <w:bottom w:val="none" w:sz="0" w:space="0" w:color="auto"/>
            <w:right w:val="none" w:sz="0" w:space="0" w:color="auto"/>
          </w:divBdr>
          <w:divsChild>
            <w:div w:id="1479346642">
              <w:marLeft w:val="0"/>
              <w:marRight w:val="0"/>
              <w:marTop w:val="0"/>
              <w:marBottom w:val="0"/>
              <w:divBdr>
                <w:top w:val="none" w:sz="0" w:space="0" w:color="auto"/>
                <w:left w:val="none" w:sz="0" w:space="0" w:color="auto"/>
                <w:bottom w:val="none" w:sz="0" w:space="0" w:color="auto"/>
                <w:right w:val="none" w:sz="0" w:space="0" w:color="auto"/>
              </w:divBdr>
              <w:divsChild>
                <w:div w:id="166142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706894">
          <w:marLeft w:val="0"/>
          <w:marRight w:val="0"/>
          <w:marTop w:val="0"/>
          <w:marBottom w:val="0"/>
          <w:divBdr>
            <w:top w:val="none" w:sz="0" w:space="0" w:color="auto"/>
            <w:left w:val="none" w:sz="0" w:space="0" w:color="auto"/>
            <w:bottom w:val="none" w:sz="0" w:space="0" w:color="auto"/>
            <w:right w:val="none" w:sz="0" w:space="0" w:color="auto"/>
          </w:divBdr>
          <w:divsChild>
            <w:div w:id="948928456">
              <w:marLeft w:val="0"/>
              <w:marRight w:val="0"/>
              <w:marTop w:val="0"/>
              <w:marBottom w:val="0"/>
              <w:divBdr>
                <w:top w:val="none" w:sz="0" w:space="0" w:color="auto"/>
                <w:left w:val="none" w:sz="0" w:space="0" w:color="auto"/>
                <w:bottom w:val="none" w:sz="0" w:space="0" w:color="auto"/>
                <w:right w:val="none" w:sz="0" w:space="0" w:color="auto"/>
              </w:divBdr>
              <w:divsChild>
                <w:div w:id="75767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88554">
          <w:marLeft w:val="0"/>
          <w:marRight w:val="0"/>
          <w:marTop w:val="0"/>
          <w:marBottom w:val="0"/>
          <w:divBdr>
            <w:top w:val="none" w:sz="0" w:space="0" w:color="auto"/>
            <w:left w:val="none" w:sz="0" w:space="0" w:color="auto"/>
            <w:bottom w:val="none" w:sz="0" w:space="0" w:color="auto"/>
            <w:right w:val="none" w:sz="0" w:space="0" w:color="auto"/>
          </w:divBdr>
          <w:divsChild>
            <w:div w:id="1631470372">
              <w:marLeft w:val="0"/>
              <w:marRight w:val="0"/>
              <w:marTop w:val="0"/>
              <w:marBottom w:val="0"/>
              <w:divBdr>
                <w:top w:val="none" w:sz="0" w:space="0" w:color="auto"/>
                <w:left w:val="none" w:sz="0" w:space="0" w:color="auto"/>
                <w:bottom w:val="none" w:sz="0" w:space="0" w:color="auto"/>
                <w:right w:val="none" w:sz="0" w:space="0" w:color="auto"/>
              </w:divBdr>
              <w:divsChild>
                <w:div w:id="15391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10753">
          <w:marLeft w:val="0"/>
          <w:marRight w:val="0"/>
          <w:marTop w:val="0"/>
          <w:marBottom w:val="0"/>
          <w:divBdr>
            <w:top w:val="none" w:sz="0" w:space="0" w:color="auto"/>
            <w:left w:val="none" w:sz="0" w:space="0" w:color="auto"/>
            <w:bottom w:val="none" w:sz="0" w:space="0" w:color="auto"/>
            <w:right w:val="none" w:sz="0" w:space="0" w:color="auto"/>
          </w:divBdr>
          <w:divsChild>
            <w:div w:id="89812232">
              <w:marLeft w:val="0"/>
              <w:marRight w:val="0"/>
              <w:marTop w:val="0"/>
              <w:marBottom w:val="0"/>
              <w:divBdr>
                <w:top w:val="none" w:sz="0" w:space="0" w:color="auto"/>
                <w:left w:val="none" w:sz="0" w:space="0" w:color="auto"/>
                <w:bottom w:val="none" w:sz="0" w:space="0" w:color="auto"/>
                <w:right w:val="none" w:sz="0" w:space="0" w:color="auto"/>
              </w:divBdr>
              <w:divsChild>
                <w:div w:id="98647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11751">
          <w:marLeft w:val="0"/>
          <w:marRight w:val="0"/>
          <w:marTop w:val="0"/>
          <w:marBottom w:val="0"/>
          <w:divBdr>
            <w:top w:val="none" w:sz="0" w:space="0" w:color="auto"/>
            <w:left w:val="none" w:sz="0" w:space="0" w:color="auto"/>
            <w:bottom w:val="none" w:sz="0" w:space="0" w:color="auto"/>
            <w:right w:val="none" w:sz="0" w:space="0" w:color="auto"/>
          </w:divBdr>
          <w:divsChild>
            <w:div w:id="1112673747">
              <w:marLeft w:val="0"/>
              <w:marRight w:val="0"/>
              <w:marTop w:val="0"/>
              <w:marBottom w:val="0"/>
              <w:divBdr>
                <w:top w:val="none" w:sz="0" w:space="0" w:color="auto"/>
                <w:left w:val="none" w:sz="0" w:space="0" w:color="auto"/>
                <w:bottom w:val="none" w:sz="0" w:space="0" w:color="auto"/>
                <w:right w:val="none" w:sz="0" w:space="0" w:color="auto"/>
              </w:divBdr>
              <w:divsChild>
                <w:div w:id="173913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637944">
          <w:marLeft w:val="0"/>
          <w:marRight w:val="0"/>
          <w:marTop w:val="0"/>
          <w:marBottom w:val="0"/>
          <w:divBdr>
            <w:top w:val="none" w:sz="0" w:space="0" w:color="auto"/>
            <w:left w:val="none" w:sz="0" w:space="0" w:color="auto"/>
            <w:bottom w:val="none" w:sz="0" w:space="0" w:color="auto"/>
            <w:right w:val="none" w:sz="0" w:space="0" w:color="auto"/>
          </w:divBdr>
          <w:divsChild>
            <w:div w:id="1098720344">
              <w:marLeft w:val="0"/>
              <w:marRight w:val="0"/>
              <w:marTop w:val="0"/>
              <w:marBottom w:val="0"/>
              <w:divBdr>
                <w:top w:val="none" w:sz="0" w:space="0" w:color="auto"/>
                <w:left w:val="none" w:sz="0" w:space="0" w:color="auto"/>
                <w:bottom w:val="none" w:sz="0" w:space="0" w:color="auto"/>
                <w:right w:val="none" w:sz="0" w:space="0" w:color="auto"/>
              </w:divBdr>
              <w:divsChild>
                <w:div w:id="111621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187170">
      <w:bodyDiv w:val="1"/>
      <w:marLeft w:val="0"/>
      <w:marRight w:val="0"/>
      <w:marTop w:val="0"/>
      <w:marBottom w:val="0"/>
      <w:divBdr>
        <w:top w:val="none" w:sz="0" w:space="0" w:color="auto"/>
        <w:left w:val="none" w:sz="0" w:space="0" w:color="auto"/>
        <w:bottom w:val="none" w:sz="0" w:space="0" w:color="auto"/>
        <w:right w:val="none" w:sz="0" w:space="0" w:color="auto"/>
      </w:divBdr>
    </w:div>
    <w:div w:id="1532575498">
      <w:bodyDiv w:val="1"/>
      <w:marLeft w:val="0"/>
      <w:marRight w:val="0"/>
      <w:marTop w:val="0"/>
      <w:marBottom w:val="0"/>
      <w:divBdr>
        <w:top w:val="none" w:sz="0" w:space="0" w:color="auto"/>
        <w:left w:val="none" w:sz="0" w:space="0" w:color="auto"/>
        <w:bottom w:val="none" w:sz="0" w:space="0" w:color="auto"/>
        <w:right w:val="none" w:sz="0" w:space="0" w:color="auto"/>
      </w:divBdr>
    </w:div>
    <w:div w:id="1532915930">
      <w:bodyDiv w:val="1"/>
      <w:marLeft w:val="0"/>
      <w:marRight w:val="0"/>
      <w:marTop w:val="0"/>
      <w:marBottom w:val="0"/>
      <w:divBdr>
        <w:top w:val="none" w:sz="0" w:space="0" w:color="auto"/>
        <w:left w:val="none" w:sz="0" w:space="0" w:color="auto"/>
        <w:bottom w:val="none" w:sz="0" w:space="0" w:color="auto"/>
        <w:right w:val="none" w:sz="0" w:space="0" w:color="auto"/>
      </w:divBdr>
      <w:divsChild>
        <w:div w:id="899294039">
          <w:marLeft w:val="0"/>
          <w:marRight w:val="0"/>
          <w:marTop w:val="0"/>
          <w:marBottom w:val="0"/>
          <w:divBdr>
            <w:top w:val="none" w:sz="0" w:space="0" w:color="auto"/>
            <w:left w:val="none" w:sz="0" w:space="0" w:color="auto"/>
            <w:bottom w:val="none" w:sz="0" w:space="0" w:color="auto"/>
            <w:right w:val="none" w:sz="0" w:space="0" w:color="auto"/>
          </w:divBdr>
          <w:divsChild>
            <w:div w:id="1235899953">
              <w:marLeft w:val="0"/>
              <w:marRight w:val="0"/>
              <w:marTop w:val="0"/>
              <w:marBottom w:val="0"/>
              <w:divBdr>
                <w:top w:val="none" w:sz="0" w:space="0" w:color="auto"/>
                <w:left w:val="none" w:sz="0" w:space="0" w:color="auto"/>
                <w:bottom w:val="none" w:sz="0" w:space="0" w:color="auto"/>
                <w:right w:val="none" w:sz="0" w:space="0" w:color="auto"/>
              </w:divBdr>
              <w:divsChild>
                <w:div w:id="68317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620316">
      <w:bodyDiv w:val="1"/>
      <w:marLeft w:val="0"/>
      <w:marRight w:val="0"/>
      <w:marTop w:val="0"/>
      <w:marBottom w:val="0"/>
      <w:divBdr>
        <w:top w:val="none" w:sz="0" w:space="0" w:color="auto"/>
        <w:left w:val="none" w:sz="0" w:space="0" w:color="auto"/>
        <w:bottom w:val="none" w:sz="0" w:space="0" w:color="auto"/>
        <w:right w:val="none" w:sz="0" w:space="0" w:color="auto"/>
      </w:divBdr>
    </w:div>
    <w:div w:id="1543322034">
      <w:bodyDiv w:val="1"/>
      <w:marLeft w:val="0"/>
      <w:marRight w:val="0"/>
      <w:marTop w:val="0"/>
      <w:marBottom w:val="0"/>
      <w:divBdr>
        <w:top w:val="none" w:sz="0" w:space="0" w:color="auto"/>
        <w:left w:val="none" w:sz="0" w:space="0" w:color="auto"/>
        <w:bottom w:val="none" w:sz="0" w:space="0" w:color="auto"/>
        <w:right w:val="none" w:sz="0" w:space="0" w:color="auto"/>
      </w:divBdr>
    </w:div>
    <w:div w:id="1556969305">
      <w:bodyDiv w:val="1"/>
      <w:marLeft w:val="0"/>
      <w:marRight w:val="0"/>
      <w:marTop w:val="0"/>
      <w:marBottom w:val="0"/>
      <w:divBdr>
        <w:top w:val="none" w:sz="0" w:space="0" w:color="auto"/>
        <w:left w:val="none" w:sz="0" w:space="0" w:color="auto"/>
        <w:bottom w:val="none" w:sz="0" w:space="0" w:color="auto"/>
        <w:right w:val="none" w:sz="0" w:space="0" w:color="auto"/>
      </w:divBdr>
    </w:div>
    <w:div w:id="1576284015">
      <w:bodyDiv w:val="1"/>
      <w:marLeft w:val="0"/>
      <w:marRight w:val="0"/>
      <w:marTop w:val="0"/>
      <w:marBottom w:val="0"/>
      <w:divBdr>
        <w:top w:val="none" w:sz="0" w:space="0" w:color="auto"/>
        <w:left w:val="none" w:sz="0" w:space="0" w:color="auto"/>
        <w:bottom w:val="none" w:sz="0" w:space="0" w:color="auto"/>
        <w:right w:val="none" w:sz="0" w:space="0" w:color="auto"/>
      </w:divBdr>
    </w:div>
    <w:div w:id="1586107959">
      <w:bodyDiv w:val="1"/>
      <w:marLeft w:val="0"/>
      <w:marRight w:val="0"/>
      <w:marTop w:val="0"/>
      <w:marBottom w:val="0"/>
      <w:divBdr>
        <w:top w:val="none" w:sz="0" w:space="0" w:color="auto"/>
        <w:left w:val="none" w:sz="0" w:space="0" w:color="auto"/>
        <w:bottom w:val="none" w:sz="0" w:space="0" w:color="auto"/>
        <w:right w:val="none" w:sz="0" w:space="0" w:color="auto"/>
      </w:divBdr>
      <w:divsChild>
        <w:div w:id="646134851">
          <w:marLeft w:val="0"/>
          <w:marRight w:val="0"/>
          <w:marTop w:val="0"/>
          <w:marBottom w:val="0"/>
          <w:divBdr>
            <w:top w:val="none" w:sz="0" w:space="0" w:color="auto"/>
            <w:left w:val="none" w:sz="0" w:space="0" w:color="auto"/>
            <w:bottom w:val="none" w:sz="0" w:space="0" w:color="auto"/>
            <w:right w:val="none" w:sz="0" w:space="0" w:color="auto"/>
          </w:divBdr>
        </w:div>
      </w:divsChild>
    </w:div>
    <w:div w:id="1611859501">
      <w:bodyDiv w:val="1"/>
      <w:marLeft w:val="0"/>
      <w:marRight w:val="0"/>
      <w:marTop w:val="0"/>
      <w:marBottom w:val="0"/>
      <w:divBdr>
        <w:top w:val="none" w:sz="0" w:space="0" w:color="auto"/>
        <w:left w:val="none" w:sz="0" w:space="0" w:color="auto"/>
        <w:bottom w:val="none" w:sz="0" w:space="0" w:color="auto"/>
        <w:right w:val="none" w:sz="0" w:space="0" w:color="auto"/>
      </w:divBdr>
      <w:divsChild>
        <w:div w:id="1244684864">
          <w:marLeft w:val="0"/>
          <w:marRight w:val="0"/>
          <w:marTop w:val="0"/>
          <w:marBottom w:val="0"/>
          <w:divBdr>
            <w:top w:val="none" w:sz="0" w:space="0" w:color="auto"/>
            <w:left w:val="none" w:sz="0" w:space="0" w:color="auto"/>
            <w:bottom w:val="none" w:sz="0" w:space="0" w:color="auto"/>
            <w:right w:val="none" w:sz="0" w:space="0" w:color="auto"/>
          </w:divBdr>
          <w:divsChild>
            <w:div w:id="531696329">
              <w:marLeft w:val="0"/>
              <w:marRight w:val="0"/>
              <w:marTop w:val="0"/>
              <w:marBottom w:val="0"/>
              <w:divBdr>
                <w:top w:val="none" w:sz="0" w:space="0" w:color="auto"/>
                <w:left w:val="none" w:sz="0" w:space="0" w:color="auto"/>
                <w:bottom w:val="none" w:sz="0" w:space="0" w:color="auto"/>
                <w:right w:val="none" w:sz="0" w:space="0" w:color="auto"/>
              </w:divBdr>
              <w:divsChild>
                <w:div w:id="733772799">
                  <w:marLeft w:val="0"/>
                  <w:marRight w:val="0"/>
                  <w:marTop w:val="0"/>
                  <w:marBottom w:val="0"/>
                  <w:divBdr>
                    <w:top w:val="none" w:sz="0" w:space="0" w:color="auto"/>
                    <w:left w:val="none" w:sz="0" w:space="0" w:color="auto"/>
                    <w:bottom w:val="none" w:sz="0" w:space="0" w:color="auto"/>
                    <w:right w:val="none" w:sz="0" w:space="0" w:color="auto"/>
                  </w:divBdr>
                  <w:divsChild>
                    <w:div w:id="119662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508896">
      <w:bodyDiv w:val="1"/>
      <w:marLeft w:val="0"/>
      <w:marRight w:val="0"/>
      <w:marTop w:val="0"/>
      <w:marBottom w:val="0"/>
      <w:divBdr>
        <w:top w:val="none" w:sz="0" w:space="0" w:color="auto"/>
        <w:left w:val="none" w:sz="0" w:space="0" w:color="auto"/>
        <w:bottom w:val="none" w:sz="0" w:space="0" w:color="auto"/>
        <w:right w:val="none" w:sz="0" w:space="0" w:color="auto"/>
      </w:divBdr>
      <w:divsChild>
        <w:div w:id="1647970367">
          <w:marLeft w:val="0"/>
          <w:marRight w:val="0"/>
          <w:marTop w:val="0"/>
          <w:marBottom w:val="0"/>
          <w:divBdr>
            <w:top w:val="none" w:sz="0" w:space="0" w:color="auto"/>
            <w:left w:val="none" w:sz="0" w:space="0" w:color="auto"/>
            <w:bottom w:val="none" w:sz="0" w:space="0" w:color="auto"/>
            <w:right w:val="none" w:sz="0" w:space="0" w:color="auto"/>
          </w:divBdr>
          <w:divsChild>
            <w:div w:id="574902453">
              <w:marLeft w:val="0"/>
              <w:marRight w:val="0"/>
              <w:marTop w:val="0"/>
              <w:marBottom w:val="0"/>
              <w:divBdr>
                <w:top w:val="none" w:sz="0" w:space="0" w:color="auto"/>
                <w:left w:val="none" w:sz="0" w:space="0" w:color="auto"/>
                <w:bottom w:val="none" w:sz="0" w:space="0" w:color="auto"/>
                <w:right w:val="none" w:sz="0" w:space="0" w:color="auto"/>
              </w:divBdr>
              <w:divsChild>
                <w:div w:id="13657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830740">
      <w:bodyDiv w:val="1"/>
      <w:marLeft w:val="0"/>
      <w:marRight w:val="0"/>
      <w:marTop w:val="0"/>
      <w:marBottom w:val="0"/>
      <w:divBdr>
        <w:top w:val="none" w:sz="0" w:space="0" w:color="auto"/>
        <w:left w:val="none" w:sz="0" w:space="0" w:color="auto"/>
        <w:bottom w:val="none" w:sz="0" w:space="0" w:color="auto"/>
        <w:right w:val="none" w:sz="0" w:space="0" w:color="auto"/>
      </w:divBdr>
      <w:divsChild>
        <w:div w:id="538857857">
          <w:marLeft w:val="0"/>
          <w:marRight w:val="0"/>
          <w:marTop w:val="0"/>
          <w:marBottom w:val="0"/>
          <w:divBdr>
            <w:top w:val="none" w:sz="0" w:space="0" w:color="auto"/>
            <w:left w:val="none" w:sz="0" w:space="0" w:color="auto"/>
            <w:bottom w:val="none" w:sz="0" w:space="0" w:color="auto"/>
            <w:right w:val="none" w:sz="0" w:space="0" w:color="auto"/>
          </w:divBdr>
          <w:divsChild>
            <w:div w:id="842549681">
              <w:marLeft w:val="0"/>
              <w:marRight w:val="0"/>
              <w:marTop w:val="0"/>
              <w:marBottom w:val="0"/>
              <w:divBdr>
                <w:top w:val="none" w:sz="0" w:space="0" w:color="auto"/>
                <w:left w:val="none" w:sz="0" w:space="0" w:color="auto"/>
                <w:bottom w:val="none" w:sz="0" w:space="0" w:color="auto"/>
                <w:right w:val="none" w:sz="0" w:space="0" w:color="auto"/>
              </w:divBdr>
              <w:divsChild>
                <w:div w:id="17014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285656">
      <w:bodyDiv w:val="1"/>
      <w:marLeft w:val="0"/>
      <w:marRight w:val="0"/>
      <w:marTop w:val="0"/>
      <w:marBottom w:val="0"/>
      <w:divBdr>
        <w:top w:val="none" w:sz="0" w:space="0" w:color="auto"/>
        <w:left w:val="none" w:sz="0" w:space="0" w:color="auto"/>
        <w:bottom w:val="none" w:sz="0" w:space="0" w:color="auto"/>
        <w:right w:val="none" w:sz="0" w:space="0" w:color="auto"/>
      </w:divBdr>
      <w:divsChild>
        <w:div w:id="349380839">
          <w:marLeft w:val="0"/>
          <w:marRight w:val="0"/>
          <w:marTop w:val="0"/>
          <w:marBottom w:val="0"/>
          <w:divBdr>
            <w:top w:val="none" w:sz="0" w:space="0" w:color="auto"/>
            <w:left w:val="none" w:sz="0" w:space="0" w:color="auto"/>
            <w:bottom w:val="none" w:sz="0" w:space="0" w:color="auto"/>
            <w:right w:val="none" w:sz="0" w:space="0" w:color="auto"/>
          </w:divBdr>
          <w:divsChild>
            <w:div w:id="1727799359">
              <w:marLeft w:val="0"/>
              <w:marRight w:val="0"/>
              <w:marTop w:val="0"/>
              <w:marBottom w:val="0"/>
              <w:divBdr>
                <w:top w:val="none" w:sz="0" w:space="0" w:color="auto"/>
                <w:left w:val="none" w:sz="0" w:space="0" w:color="auto"/>
                <w:bottom w:val="none" w:sz="0" w:space="0" w:color="auto"/>
                <w:right w:val="none" w:sz="0" w:space="0" w:color="auto"/>
              </w:divBdr>
              <w:divsChild>
                <w:div w:id="7139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542281">
      <w:bodyDiv w:val="1"/>
      <w:marLeft w:val="0"/>
      <w:marRight w:val="0"/>
      <w:marTop w:val="0"/>
      <w:marBottom w:val="0"/>
      <w:divBdr>
        <w:top w:val="none" w:sz="0" w:space="0" w:color="auto"/>
        <w:left w:val="none" w:sz="0" w:space="0" w:color="auto"/>
        <w:bottom w:val="none" w:sz="0" w:space="0" w:color="auto"/>
        <w:right w:val="none" w:sz="0" w:space="0" w:color="auto"/>
      </w:divBdr>
      <w:divsChild>
        <w:div w:id="172114771">
          <w:marLeft w:val="0"/>
          <w:marRight w:val="0"/>
          <w:marTop w:val="0"/>
          <w:marBottom w:val="0"/>
          <w:divBdr>
            <w:top w:val="none" w:sz="0" w:space="0" w:color="auto"/>
            <w:left w:val="none" w:sz="0" w:space="0" w:color="auto"/>
            <w:bottom w:val="none" w:sz="0" w:space="0" w:color="auto"/>
            <w:right w:val="none" w:sz="0" w:space="0" w:color="auto"/>
          </w:divBdr>
        </w:div>
      </w:divsChild>
    </w:div>
    <w:div w:id="1682396352">
      <w:bodyDiv w:val="1"/>
      <w:marLeft w:val="0"/>
      <w:marRight w:val="0"/>
      <w:marTop w:val="0"/>
      <w:marBottom w:val="0"/>
      <w:divBdr>
        <w:top w:val="none" w:sz="0" w:space="0" w:color="auto"/>
        <w:left w:val="none" w:sz="0" w:space="0" w:color="auto"/>
        <w:bottom w:val="none" w:sz="0" w:space="0" w:color="auto"/>
        <w:right w:val="none" w:sz="0" w:space="0" w:color="auto"/>
      </w:divBdr>
      <w:divsChild>
        <w:div w:id="628318050">
          <w:marLeft w:val="0"/>
          <w:marRight w:val="0"/>
          <w:marTop w:val="0"/>
          <w:marBottom w:val="0"/>
          <w:divBdr>
            <w:top w:val="none" w:sz="0" w:space="0" w:color="auto"/>
            <w:left w:val="none" w:sz="0" w:space="0" w:color="auto"/>
            <w:bottom w:val="none" w:sz="0" w:space="0" w:color="auto"/>
            <w:right w:val="none" w:sz="0" w:space="0" w:color="auto"/>
          </w:divBdr>
          <w:divsChild>
            <w:div w:id="2097897716">
              <w:marLeft w:val="0"/>
              <w:marRight w:val="0"/>
              <w:marTop w:val="0"/>
              <w:marBottom w:val="0"/>
              <w:divBdr>
                <w:top w:val="none" w:sz="0" w:space="0" w:color="auto"/>
                <w:left w:val="none" w:sz="0" w:space="0" w:color="auto"/>
                <w:bottom w:val="none" w:sz="0" w:space="0" w:color="auto"/>
                <w:right w:val="none" w:sz="0" w:space="0" w:color="auto"/>
              </w:divBdr>
              <w:divsChild>
                <w:div w:id="1311593428">
                  <w:marLeft w:val="0"/>
                  <w:marRight w:val="0"/>
                  <w:marTop w:val="0"/>
                  <w:marBottom w:val="0"/>
                  <w:divBdr>
                    <w:top w:val="none" w:sz="0" w:space="0" w:color="auto"/>
                    <w:left w:val="none" w:sz="0" w:space="0" w:color="auto"/>
                    <w:bottom w:val="none" w:sz="0" w:space="0" w:color="auto"/>
                    <w:right w:val="none" w:sz="0" w:space="0" w:color="auto"/>
                  </w:divBdr>
                  <w:divsChild>
                    <w:div w:id="22009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362418">
      <w:bodyDiv w:val="1"/>
      <w:marLeft w:val="0"/>
      <w:marRight w:val="0"/>
      <w:marTop w:val="0"/>
      <w:marBottom w:val="0"/>
      <w:divBdr>
        <w:top w:val="none" w:sz="0" w:space="0" w:color="auto"/>
        <w:left w:val="none" w:sz="0" w:space="0" w:color="auto"/>
        <w:bottom w:val="none" w:sz="0" w:space="0" w:color="auto"/>
        <w:right w:val="none" w:sz="0" w:space="0" w:color="auto"/>
      </w:divBdr>
    </w:div>
    <w:div w:id="1716737115">
      <w:bodyDiv w:val="1"/>
      <w:marLeft w:val="0"/>
      <w:marRight w:val="0"/>
      <w:marTop w:val="0"/>
      <w:marBottom w:val="0"/>
      <w:divBdr>
        <w:top w:val="none" w:sz="0" w:space="0" w:color="auto"/>
        <w:left w:val="none" w:sz="0" w:space="0" w:color="auto"/>
        <w:bottom w:val="none" w:sz="0" w:space="0" w:color="auto"/>
        <w:right w:val="none" w:sz="0" w:space="0" w:color="auto"/>
      </w:divBdr>
      <w:divsChild>
        <w:div w:id="599681611">
          <w:marLeft w:val="0"/>
          <w:marRight w:val="0"/>
          <w:marTop w:val="0"/>
          <w:marBottom w:val="0"/>
          <w:divBdr>
            <w:top w:val="none" w:sz="0" w:space="0" w:color="auto"/>
            <w:left w:val="none" w:sz="0" w:space="0" w:color="auto"/>
            <w:bottom w:val="none" w:sz="0" w:space="0" w:color="auto"/>
            <w:right w:val="none" w:sz="0" w:space="0" w:color="auto"/>
          </w:divBdr>
          <w:divsChild>
            <w:div w:id="1955669923">
              <w:marLeft w:val="0"/>
              <w:marRight w:val="0"/>
              <w:marTop w:val="0"/>
              <w:marBottom w:val="0"/>
              <w:divBdr>
                <w:top w:val="none" w:sz="0" w:space="0" w:color="auto"/>
                <w:left w:val="none" w:sz="0" w:space="0" w:color="auto"/>
                <w:bottom w:val="none" w:sz="0" w:space="0" w:color="auto"/>
                <w:right w:val="none" w:sz="0" w:space="0" w:color="auto"/>
              </w:divBdr>
              <w:divsChild>
                <w:div w:id="68625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341942">
      <w:bodyDiv w:val="1"/>
      <w:marLeft w:val="0"/>
      <w:marRight w:val="0"/>
      <w:marTop w:val="0"/>
      <w:marBottom w:val="0"/>
      <w:divBdr>
        <w:top w:val="none" w:sz="0" w:space="0" w:color="auto"/>
        <w:left w:val="none" w:sz="0" w:space="0" w:color="auto"/>
        <w:bottom w:val="none" w:sz="0" w:space="0" w:color="auto"/>
        <w:right w:val="none" w:sz="0" w:space="0" w:color="auto"/>
      </w:divBdr>
    </w:div>
    <w:div w:id="1807819517">
      <w:bodyDiv w:val="1"/>
      <w:marLeft w:val="0"/>
      <w:marRight w:val="0"/>
      <w:marTop w:val="0"/>
      <w:marBottom w:val="0"/>
      <w:divBdr>
        <w:top w:val="none" w:sz="0" w:space="0" w:color="auto"/>
        <w:left w:val="none" w:sz="0" w:space="0" w:color="auto"/>
        <w:bottom w:val="none" w:sz="0" w:space="0" w:color="auto"/>
        <w:right w:val="none" w:sz="0" w:space="0" w:color="auto"/>
      </w:divBdr>
    </w:div>
    <w:div w:id="1854494059">
      <w:bodyDiv w:val="1"/>
      <w:marLeft w:val="0"/>
      <w:marRight w:val="0"/>
      <w:marTop w:val="0"/>
      <w:marBottom w:val="0"/>
      <w:divBdr>
        <w:top w:val="none" w:sz="0" w:space="0" w:color="auto"/>
        <w:left w:val="none" w:sz="0" w:space="0" w:color="auto"/>
        <w:bottom w:val="none" w:sz="0" w:space="0" w:color="auto"/>
        <w:right w:val="none" w:sz="0" w:space="0" w:color="auto"/>
      </w:divBdr>
      <w:divsChild>
        <w:div w:id="2143110589">
          <w:marLeft w:val="0"/>
          <w:marRight w:val="0"/>
          <w:marTop w:val="0"/>
          <w:marBottom w:val="0"/>
          <w:divBdr>
            <w:top w:val="none" w:sz="0" w:space="0" w:color="auto"/>
            <w:left w:val="none" w:sz="0" w:space="0" w:color="auto"/>
            <w:bottom w:val="none" w:sz="0" w:space="0" w:color="auto"/>
            <w:right w:val="none" w:sz="0" w:space="0" w:color="auto"/>
          </w:divBdr>
        </w:div>
      </w:divsChild>
    </w:div>
    <w:div w:id="1895041606">
      <w:bodyDiv w:val="1"/>
      <w:marLeft w:val="0"/>
      <w:marRight w:val="0"/>
      <w:marTop w:val="0"/>
      <w:marBottom w:val="0"/>
      <w:divBdr>
        <w:top w:val="none" w:sz="0" w:space="0" w:color="auto"/>
        <w:left w:val="none" w:sz="0" w:space="0" w:color="auto"/>
        <w:bottom w:val="none" w:sz="0" w:space="0" w:color="auto"/>
        <w:right w:val="none" w:sz="0" w:space="0" w:color="auto"/>
      </w:divBdr>
      <w:divsChild>
        <w:div w:id="735856951">
          <w:marLeft w:val="0"/>
          <w:marRight w:val="0"/>
          <w:marTop w:val="0"/>
          <w:marBottom w:val="0"/>
          <w:divBdr>
            <w:top w:val="none" w:sz="0" w:space="0" w:color="auto"/>
            <w:left w:val="none" w:sz="0" w:space="0" w:color="auto"/>
            <w:bottom w:val="none" w:sz="0" w:space="0" w:color="auto"/>
            <w:right w:val="none" w:sz="0" w:space="0" w:color="auto"/>
          </w:divBdr>
        </w:div>
      </w:divsChild>
    </w:div>
    <w:div w:id="1905211585">
      <w:bodyDiv w:val="1"/>
      <w:marLeft w:val="0"/>
      <w:marRight w:val="0"/>
      <w:marTop w:val="0"/>
      <w:marBottom w:val="0"/>
      <w:divBdr>
        <w:top w:val="none" w:sz="0" w:space="0" w:color="auto"/>
        <w:left w:val="none" w:sz="0" w:space="0" w:color="auto"/>
        <w:bottom w:val="none" w:sz="0" w:space="0" w:color="auto"/>
        <w:right w:val="none" w:sz="0" w:space="0" w:color="auto"/>
      </w:divBdr>
    </w:div>
    <w:div w:id="1939675505">
      <w:bodyDiv w:val="1"/>
      <w:marLeft w:val="0"/>
      <w:marRight w:val="0"/>
      <w:marTop w:val="0"/>
      <w:marBottom w:val="0"/>
      <w:divBdr>
        <w:top w:val="none" w:sz="0" w:space="0" w:color="auto"/>
        <w:left w:val="none" w:sz="0" w:space="0" w:color="auto"/>
        <w:bottom w:val="none" w:sz="0" w:space="0" w:color="auto"/>
        <w:right w:val="none" w:sz="0" w:space="0" w:color="auto"/>
      </w:divBdr>
      <w:divsChild>
        <w:div w:id="1409840106">
          <w:marLeft w:val="0"/>
          <w:marRight w:val="0"/>
          <w:marTop w:val="0"/>
          <w:marBottom w:val="0"/>
          <w:divBdr>
            <w:top w:val="none" w:sz="0" w:space="0" w:color="auto"/>
            <w:left w:val="none" w:sz="0" w:space="0" w:color="auto"/>
            <w:bottom w:val="none" w:sz="0" w:space="0" w:color="auto"/>
            <w:right w:val="none" w:sz="0" w:space="0" w:color="auto"/>
          </w:divBdr>
          <w:divsChild>
            <w:div w:id="931820544">
              <w:marLeft w:val="0"/>
              <w:marRight w:val="0"/>
              <w:marTop w:val="0"/>
              <w:marBottom w:val="0"/>
              <w:divBdr>
                <w:top w:val="none" w:sz="0" w:space="0" w:color="auto"/>
                <w:left w:val="none" w:sz="0" w:space="0" w:color="auto"/>
                <w:bottom w:val="none" w:sz="0" w:space="0" w:color="auto"/>
                <w:right w:val="none" w:sz="0" w:space="0" w:color="auto"/>
              </w:divBdr>
              <w:divsChild>
                <w:div w:id="211381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157327">
      <w:bodyDiv w:val="1"/>
      <w:marLeft w:val="0"/>
      <w:marRight w:val="0"/>
      <w:marTop w:val="0"/>
      <w:marBottom w:val="0"/>
      <w:divBdr>
        <w:top w:val="none" w:sz="0" w:space="0" w:color="auto"/>
        <w:left w:val="none" w:sz="0" w:space="0" w:color="auto"/>
        <w:bottom w:val="none" w:sz="0" w:space="0" w:color="auto"/>
        <w:right w:val="none" w:sz="0" w:space="0" w:color="auto"/>
      </w:divBdr>
      <w:divsChild>
        <w:div w:id="2125730877">
          <w:marLeft w:val="0"/>
          <w:marRight w:val="0"/>
          <w:marTop w:val="0"/>
          <w:marBottom w:val="0"/>
          <w:divBdr>
            <w:top w:val="none" w:sz="0" w:space="0" w:color="auto"/>
            <w:left w:val="none" w:sz="0" w:space="0" w:color="auto"/>
            <w:bottom w:val="none" w:sz="0" w:space="0" w:color="auto"/>
            <w:right w:val="none" w:sz="0" w:space="0" w:color="auto"/>
          </w:divBdr>
          <w:divsChild>
            <w:div w:id="279385409">
              <w:marLeft w:val="0"/>
              <w:marRight w:val="0"/>
              <w:marTop w:val="0"/>
              <w:marBottom w:val="0"/>
              <w:divBdr>
                <w:top w:val="none" w:sz="0" w:space="0" w:color="auto"/>
                <w:left w:val="none" w:sz="0" w:space="0" w:color="auto"/>
                <w:bottom w:val="none" w:sz="0" w:space="0" w:color="auto"/>
                <w:right w:val="none" w:sz="0" w:space="0" w:color="auto"/>
              </w:divBdr>
              <w:divsChild>
                <w:div w:id="40746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309729">
      <w:bodyDiv w:val="1"/>
      <w:marLeft w:val="0"/>
      <w:marRight w:val="0"/>
      <w:marTop w:val="0"/>
      <w:marBottom w:val="0"/>
      <w:divBdr>
        <w:top w:val="none" w:sz="0" w:space="0" w:color="auto"/>
        <w:left w:val="none" w:sz="0" w:space="0" w:color="auto"/>
        <w:bottom w:val="none" w:sz="0" w:space="0" w:color="auto"/>
        <w:right w:val="none" w:sz="0" w:space="0" w:color="auto"/>
      </w:divBdr>
      <w:divsChild>
        <w:div w:id="190606230">
          <w:marLeft w:val="0"/>
          <w:marRight w:val="0"/>
          <w:marTop w:val="0"/>
          <w:marBottom w:val="0"/>
          <w:divBdr>
            <w:top w:val="none" w:sz="0" w:space="0" w:color="auto"/>
            <w:left w:val="none" w:sz="0" w:space="0" w:color="auto"/>
            <w:bottom w:val="none" w:sz="0" w:space="0" w:color="auto"/>
            <w:right w:val="none" w:sz="0" w:space="0" w:color="auto"/>
          </w:divBdr>
          <w:divsChild>
            <w:div w:id="1346901187">
              <w:marLeft w:val="0"/>
              <w:marRight w:val="0"/>
              <w:marTop w:val="0"/>
              <w:marBottom w:val="0"/>
              <w:divBdr>
                <w:top w:val="none" w:sz="0" w:space="0" w:color="auto"/>
                <w:left w:val="none" w:sz="0" w:space="0" w:color="auto"/>
                <w:bottom w:val="none" w:sz="0" w:space="0" w:color="auto"/>
                <w:right w:val="none" w:sz="0" w:space="0" w:color="auto"/>
              </w:divBdr>
              <w:divsChild>
                <w:div w:id="211335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850501">
      <w:bodyDiv w:val="1"/>
      <w:marLeft w:val="0"/>
      <w:marRight w:val="0"/>
      <w:marTop w:val="0"/>
      <w:marBottom w:val="0"/>
      <w:divBdr>
        <w:top w:val="none" w:sz="0" w:space="0" w:color="auto"/>
        <w:left w:val="none" w:sz="0" w:space="0" w:color="auto"/>
        <w:bottom w:val="none" w:sz="0" w:space="0" w:color="auto"/>
        <w:right w:val="none" w:sz="0" w:space="0" w:color="auto"/>
      </w:divBdr>
      <w:divsChild>
        <w:div w:id="736174385">
          <w:marLeft w:val="0"/>
          <w:marRight w:val="0"/>
          <w:marTop w:val="0"/>
          <w:marBottom w:val="0"/>
          <w:divBdr>
            <w:top w:val="none" w:sz="0" w:space="0" w:color="auto"/>
            <w:left w:val="none" w:sz="0" w:space="0" w:color="auto"/>
            <w:bottom w:val="none" w:sz="0" w:space="0" w:color="auto"/>
            <w:right w:val="none" w:sz="0" w:space="0" w:color="auto"/>
          </w:divBdr>
          <w:divsChild>
            <w:div w:id="1786658254">
              <w:marLeft w:val="0"/>
              <w:marRight w:val="0"/>
              <w:marTop w:val="0"/>
              <w:marBottom w:val="0"/>
              <w:divBdr>
                <w:top w:val="none" w:sz="0" w:space="0" w:color="auto"/>
                <w:left w:val="none" w:sz="0" w:space="0" w:color="auto"/>
                <w:bottom w:val="none" w:sz="0" w:space="0" w:color="auto"/>
                <w:right w:val="none" w:sz="0" w:space="0" w:color="auto"/>
              </w:divBdr>
              <w:divsChild>
                <w:div w:id="13241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248889">
      <w:bodyDiv w:val="1"/>
      <w:marLeft w:val="0"/>
      <w:marRight w:val="0"/>
      <w:marTop w:val="0"/>
      <w:marBottom w:val="0"/>
      <w:divBdr>
        <w:top w:val="none" w:sz="0" w:space="0" w:color="auto"/>
        <w:left w:val="none" w:sz="0" w:space="0" w:color="auto"/>
        <w:bottom w:val="none" w:sz="0" w:space="0" w:color="auto"/>
        <w:right w:val="none" w:sz="0" w:space="0" w:color="auto"/>
      </w:divBdr>
    </w:div>
    <w:div w:id="2019581745">
      <w:bodyDiv w:val="1"/>
      <w:marLeft w:val="0"/>
      <w:marRight w:val="0"/>
      <w:marTop w:val="0"/>
      <w:marBottom w:val="0"/>
      <w:divBdr>
        <w:top w:val="none" w:sz="0" w:space="0" w:color="auto"/>
        <w:left w:val="none" w:sz="0" w:space="0" w:color="auto"/>
        <w:bottom w:val="none" w:sz="0" w:space="0" w:color="auto"/>
        <w:right w:val="none" w:sz="0" w:space="0" w:color="auto"/>
      </w:divBdr>
    </w:div>
    <w:div w:id="2059696257">
      <w:bodyDiv w:val="1"/>
      <w:marLeft w:val="0"/>
      <w:marRight w:val="0"/>
      <w:marTop w:val="0"/>
      <w:marBottom w:val="0"/>
      <w:divBdr>
        <w:top w:val="none" w:sz="0" w:space="0" w:color="auto"/>
        <w:left w:val="none" w:sz="0" w:space="0" w:color="auto"/>
        <w:bottom w:val="none" w:sz="0" w:space="0" w:color="auto"/>
        <w:right w:val="none" w:sz="0" w:space="0" w:color="auto"/>
      </w:divBdr>
    </w:div>
    <w:div w:id="2059932207">
      <w:bodyDiv w:val="1"/>
      <w:marLeft w:val="0"/>
      <w:marRight w:val="0"/>
      <w:marTop w:val="0"/>
      <w:marBottom w:val="0"/>
      <w:divBdr>
        <w:top w:val="none" w:sz="0" w:space="0" w:color="auto"/>
        <w:left w:val="none" w:sz="0" w:space="0" w:color="auto"/>
        <w:bottom w:val="none" w:sz="0" w:space="0" w:color="auto"/>
        <w:right w:val="none" w:sz="0" w:space="0" w:color="auto"/>
      </w:divBdr>
    </w:div>
    <w:div w:id="2064912044">
      <w:bodyDiv w:val="1"/>
      <w:marLeft w:val="0"/>
      <w:marRight w:val="0"/>
      <w:marTop w:val="0"/>
      <w:marBottom w:val="0"/>
      <w:divBdr>
        <w:top w:val="none" w:sz="0" w:space="0" w:color="auto"/>
        <w:left w:val="none" w:sz="0" w:space="0" w:color="auto"/>
        <w:bottom w:val="none" w:sz="0" w:space="0" w:color="auto"/>
        <w:right w:val="none" w:sz="0" w:space="0" w:color="auto"/>
      </w:divBdr>
      <w:divsChild>
        <w:div w:id="1226647304">
          <w:marLeft w:val="0"/>
          <w:marRight w:val="0"/>
          <w:marTop w:val="0"/>
          <w:marBottom w:val="0"/>
          <w:divBdr>
            <w:top w:val="none" w:sz="0" w:space="0" w:color="auto"/>
            <w:left w:val="none" w:sz="0" w:space="0" w:color="auto"/>
            <w:bottom w:val="none" w:sz="0" w:space="0" w:color="auto"/>
            <w:right w:val="none" w:sz="0" w:space="0" w:color="auto"/>
          </w:divBdr>
        </w:div>
      </w:divsChild>
    </w:div>
    <w:div w:id="2069106335">
      <w:bodyDiv w:val="1"/>
      <w:marLeft w:val="0"/>
      <w:marRight w:val="0"/>
      <w:marTop w:val="0"/>
      <w:marBottom w:val="0"/>
      <w:divBdr>
        <w:top w:val="none" w:sz="0" w:space="0" w:color="auto"/>
        <w:left w:val="none" w:sz="0" w:space="0" w:color="auto"/>
        <w:bottom w:val="none" w:sz="0" w:space="0" w:color="auto"/>
        <w:right w:val="none" w:sz="0" w:space="0" w:color="auto"/>
      </w:divBdr>
      <w:divsChild>
        <w:div w:id="2061858380">
          <w:marLeft w:val="0"/>
          <w:marRight w:val="0"/>
          <w:marTop w:val="0"/>
          <w:marBottom w:val="0"/>
          <w:divBdr>
            <w:top w:val="none" w:sz="0" w:space="0" w:color="auto"/>
            <w:left w:val="none" w:sz="0" w:space="0" w:color="auto"/>
            <w:bottom w:val="none" w:sz="0" w:space="0" w:color="auto"/>
            <w:right w:val="none" w:sz="0" w:space="0" w:color="auto"/>
          </w:divBdr>
        </w:div>
      </w:divsChild>
    </w:div>
    <w:div w:id="2069915838">
      <w:bodyDiv w:val="1"/>
      <w:marLeft w:val="0"/>
      <w:marRight w:val="0"/>
      <w:marTop w:val="0"/>
      <w:marBottom w:val="0"/>
      <w:divBdr>
        <w:top w:val="none" w:sz="0" w:space="0" w:color="auto"/>
        <w:left w:val="none" w:sz="0" w:space="0" w:color="auto"/>
        <w:bottom w:val="none" w:sz="0" w:space="0" w:color="auto"/>
        <w:right w:val="none" w:sz="0" w:space="0" w:color="auto"/>
      </w:divBdr>
    </w:div>
    <w:div w:id="2079355763">
      <w:bodyDiv w:val="1"/>
      <w:marLeft w:val="0"/>
      <w:marRight w:val="0"/>
      <w:marTop w:val="0"/>
      <w:marBottom w:val="0"/>
      <w:divBdr>
        <w:top w:val="none" w:sz="0" w:space="0" w:color="auto"/>
        <w:left w:val="none" w:sz="0" w:space="0" w:color="auto"/>
        <w:bottom w:val="none" w:sz="0" w:space="0" w:color="auto"/>
        <w:right w:val="none" w:sz="0" w:space="0" w:color="auto"/>
      </w:divBdr>
    </w:div>
    <w:div w:id="2108623269">
      <w:bodyDiv w:val="1"/>
      <w:marLeft w:val="0"/>
      <w:marRight w:val="0"/>
      <w:marTop w:val="0"/>
      <w:marBottom w:val="0"/>
      <w:divBdr>
        <w:top w:val="none" w:sz="0" w:space="0" w:color="auto"/>
        <w:left w:val="none" w:sz="0" w:space="0" w:color="auto"/>
        <w:bottom w:val="none" w:sz="0" w:space="0" w:color="auto"/>
        <w:right w:val="none" w:sz="0" w:space="0" w:color="auto"/>
      </w:divBdr>
      <w:divsChild>
        <w:div w:id="526527588">
          <w:marLeft w:val="0"/>
          <w:marRight w:val="0"/>
          <w:marTop w:val="0"/>
          <w:marBottom w:val="0"/>
          <w:divBdr>
            <w:top w:val="none" w:sz="0" w:space="0" w:color="auto"/>
            <w:left w:val="none" w:sz="0" w:space="0" w:color="auto"/>
            <w:bottom w:val="none" w:sz="0" w:space="0" w:color="auto"/>
            <w:right w:val="none" w:sz="0" w:space="0" w:color="auto"/>
          </w:divBdr>
          <w:divsChild>
            <w:div w:id="889924418">
              <w:marLeft w:val="0"/>
              <w:marRight w:val="0"/>
              <w:marTop w:val="0"/>
              <w:marBottom w:val="0"/>
              <w:divBdr>
                <w:top w:val="none" w:sz="0" w:space="0" w:color="auto"/>
                <w:left w:val="none" w:sz="0" w:space="0" w:color="auto"/>
                <w:bottom w:val="none" w:sz="0" w:space="0" w:color="auto"/>
                <w:right w:val="none" w:sz="0" w:space="0" w:color="auto"/>
              </w:divBdr>
              <w:divsChild>
                <w:div w:id="126314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926306">
      <w:bodyDiv w:val="1"/>
      <w:marLeft w:val="0"/>
      <w:marRight w:val="0"/>
      <w:marTop w:val="0"/>
      <w:marBottom w:val="0"/>
      <w:divBdr>
        <w:top w:val="none" w:sz="0" w:space="0" w:color="auto"/>
        <w:left w:val="none" w:sz="0" w:space="0" w:color="auto"/>
        <w:bottom w:val="none" w:sz="0" w:space="0" w:color="auto"/>
        <w:right w:val="none" w:sz="0" w:space="0" w:color="auto"/>
      </w:divBdr>
      <w:divsChild>
        <w:div w:id="663515928">
          <w:marLeft w:val="0"/>
          <w:marRight w:val="0"/>
          <w:marTop w:val="0"/>
          <w:marBottom w:val="0"/>
          <w:divBdr>
            <w:top w:val="none" w:sz="0" w:space="0" w:color="auto"/>
            <w:left w:val="none" w:sz="0" w:space="0" w:color="auto"/>
            <w:bottom w:val="none" w:sz="0" w:space="0" w:color="auto"/>
            <w:right w:val="none" w:sz="0" w:space="0" w:color="auto"/>
          </w:divBdr>
          <w:divsChild>
            <w:div w:id="1258978791">
              <w:marLeft w:val="0"/>
              <w:marRight w:val="0"/>
              <w:marTop w:val="0"/>
              <w:marBottom w:val="0"/>
              <w:divBdr>
                <w:top w:val="none" w:sz="0" w:space="0" w:color="auto"/>
                <w:left w:val="none" w:sz="0" w:space="0" w:color="auto"/>
                <w:bottom w:val="none" w:sz="0" w:space="0" w:color="auto"/>
                <w:right w:val="none" w:sz="0" w:space="0" w:color="auto"/>
              </w:divBdr>
              <w:divsChild>
                <w:div w:id="160086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3DFBDC6E430D42950FFAD16C430878" ma:contentTypeVersion="4" ma:contentTypeDescription="Create a new document." ma:contentTypeScope="" ma:versionID="00bf4a753f300773f0724467b1ace108">
  <xsd:schema xmlns:xsd="http://www.w3.org/2001/XMLSchema" xmlns:xs="http://www.w3.org/2001/XMLSchema" xmlns:p="http://schemas.microsoft.com/office/2006/metadata/properties" xmlns:ns3="f24a27c3-3a28-4e0a-b3d0-996e4214a1ef" targetNamespace="http://schemas.microsoft.com/office/2006/metadata/properties" ma:root="true" ma:fieldsID="29e90bedcc1e79f195d50a02d74ac744" ns3:_="">
    <xsd:import namespace="f24a27c3-3a28-4e0a-b3d0-996e4214a1e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4a27c3-3a28-4e0a-b3d0-996e4214a1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3D8E5-6813-4A40-8FA8-9FC35481C84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BE2910-26EA-4475-99A3-C8E332A2A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4a27c3-3a28-4e0a-b3d0-996e4214a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8524B9-D461-4AC6-8F96-AB38B9C463E2}">
  <ds:schemaRefs>
    <ds:schemaRef ds:uri="http://schemas.microsoft.com/sharepoint/v3/contenttype/forms"/>
  </ds:schemaRefs>
</ds:datastoreItem>
</file>

<file path=customXml/itemProps4.xml><?xml version="1.0" encoding="utf-8"?>
<ds:datastoreItem xmlns:ds="http://schemas.openxmlformats.org/officeDocument/2006/customXml" ds:itemID="{827F06DA-F90B-4FFF-AAF4-CA7642314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116</Pages>
  <Words>77365</Words>
  <Characters>440987</Characters>
  <Application>Microsoft Office Word</Application>
  <DocSecurity>0</DocSecurity>
  <Lines>3674</Lines>
  <Paragraphs>1034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kligman</dc:creator>
  <cp:keywords/>
  <dc:description/>
  <cp:lastModifiedBy>ben kligman</cp:lastModifiedBy>
  <cp:revision>3</cp:revision>
  <dcterms:created xsi:type="dcterms:W3CDTF">2022-12-11T17:12:00Z</dcterms:created>
  <dcterms:modified xsi:type="dcterms:W3CDTF">2022-12-11T17:13:00Z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0x010100A23DFBDC6E430D42950FFAD16C430878</vt:lpwstr>
  </property>
</Properties>
</file>