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Supplementary Table 3. Information of the high-throughput sequencing data of environmental samples </w:t>
      </w:r>
      <w:r>
        <w:rPr>
          <w:rFonts w:hint="eastAsia" w:ascii="Times New Roman" w:hAnsi="Times New Roman" w:cs="Times New Roman"/>
          <w:b/>
          <w:sz w:val="22"/>
          <w:szCs w:val="24"/>
        </w:rPr>
        <w:t>from</w:t>
      </w:r>
      <w:r>
        <w:rPr>
          <w:rFonts w:ascii="Times New Roman" w:hAnsi="Times New Roman" w:cs="Times New Roman"/>
          <w:b/>
          <w:sz w:val="22"/>
          <w:szCs w:val="24"/>
        </w:rPr>
        <w:t xml:space="preserve"> Huanan Seafood Market</w:t>
      </w:r>
      <w:r>
        <w:rPr>
          <w:rFonts w:ascii="Times New Roman" w:hAnsi="Times New Roman" w:cs="Times New Roman"/>
          <w:b/>
          <w:sz w:val="22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sz w:val="22"/>
          <w:szCs w:val="24"/>
        </w:rPr>
        <w:t>.</w:t>
      </w:r>
    </w:p>
    <w:tbl>
      <w:tblPr>
        <w:tblStyle w:val="9"/>
        <w:tblW w:w="5973" w:type="pct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063"/>
        <w:gridCol w:w="1199"/>
        <w:gridCol w:w="1755"/>
        <w:gridCol w:w="1305"/>
        <w:gridCol w:w="1888"/>
        <w:gridCol w:w="1162"/>
        <w:gridCol w:w="1305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47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No.</w:t>
            </w:r>
          </w:p>
        </w:tc>
        <w:tc>
          <w:tcPr>
            <w:tcW w:w="522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Sample ID</w:t>
            </w:r>
          </w:p>
        </w:tc>
        <w:tc>
          <w:tcPr>
            <w:tcW w:w="589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Lab Code</w:t>
            </w:r>
          </w:p>
        </w:tc>
        <w:tc>
          <w:tcPr>
            <w:tcW w:w="862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GISAID_Accession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zh-CN"/>
              </w:rPr>
              <w:t>b</w:t>
            </w:r>
          </w:p>
        </w:tc>
        <w:tc>
          <w:tcPr>
            <w:tcW w:w="641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 xml:space="preserve">SARS-CoV-2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RT-</w:t>
            </w:r>
            <w:bookmarkStart w:id="0" w:name="_GoBack"/>
            <w:bookmarkEnd w:id="0"/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qPCR result</w:t>
            </w:r>
          </w:p>
        </w:tc>
        <w:tc>
          <w:tcPr>
            <w:tcW w:w="927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Sample type</w:t>
            </w:r>
          </w:p>
        </w:tc>
        <w:tc>
          <w:tcPr>
            <w:tcW w:w="571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Street No.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zh-CN"/>
              </w:rPr>
              <w:t>c</w:t>
            </w:r>
          </w:p>
        </w:tc>
        <w:tc>
          <w:tcPr>
            <w:tcW w:w="641" w:type="pct"/>
            <w:tcBorders>
              <w:top w:val="single" w:color="auto" w:sz="8" w:space="0"/>
              <w:bottom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lang w:val="en-GB" w:eastAsia="en-US"/>
              </w:rPr>
              <w:t>Vendor No.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522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Env_0002</w:t>
            </w:r>
          </w:p>
        </w:tc>
        <w:tc>
          <w:tcPr>
            <w:tcW w:w="589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A2</w:t>
            </w:r>
          </w:p>
        </w:tc>
        <w:tc>
          <w:tcPr>
            <w:tcW w:w="862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EPI_ISL_13052326</w:t>
            </w:r>
          </w:p>
        </w:tc>
        <w:tc>
          <w:tcPr>
            <w:tcW w:w="641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tcBorders>
              <w:top w:val="single" w:color="auto" w:sz="4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15-17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Env_0014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A14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packing bag for hairtail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Env_0015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A15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Env_0018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A18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Shoe covers and soles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15-17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Env_0020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A20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Gloves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15-17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Env_0033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A33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Garbage cart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Env_0055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A55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Env_0061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A61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20-22-24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Env_0063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A63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16-18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Env_0087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A87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Env_0088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A88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Env_0090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A90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Env_0096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A96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Env_0101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A101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Env_0126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B5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6-8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Env_0138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B17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Scale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X44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17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Env_0213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D32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a cart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18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Env_0221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Styrofoam desk in front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19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Env_0262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E48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EPI_ISL_13052339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Blood on the ground in front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20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Env_0275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E61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21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Env_0313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F13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 xml:space="preserve">Surface of the wall 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22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Env_0346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F46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23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Env_0354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F54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24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Env_0398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F98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X6-X4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Env_0400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F100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EPI_ISL_13052342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X6-X4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Q37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EPI_ISL_13052297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the freezer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27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Q61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EPI_ISL_13052298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Cart1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28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Q64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EPI_ISL_13052299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Cart2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Q68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Q69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Feather removal machine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31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Q70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Iron container in inner room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32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Env_0660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1-27-33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33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Env_0664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1-27-37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Env_0682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1-29-4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5-7-9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Env_0686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1-29-8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8-25-D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 inside the stalls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8-25-M1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 inside the stalls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Env_0742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WS-1-1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39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Env_0746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40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Env_0748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WS-2-3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41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WS-4-2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42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Env_0790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CSSQ-1-3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43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HXJC4-1-3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44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W-8-25-D1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EPI_ISL_13052309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 inside the stalls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45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W-8-25-D2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 inside the stalls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46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W-8-25-L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47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W-8-25-L2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48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Env_0813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EWS-2#-2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49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Env_0815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EWS-3#-2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50</w:t>
            </w:r>
          </w:p>
        </w:tc>
        <w:tc>
          <w:tcPr>
            <w:tcW w:w="52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Env_0816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WWS-1#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Env_0817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WWS-1#-2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Env_0818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WWS-1#-3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Env_0820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WWS-2#-2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EPI_ISL_17064539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Env_0821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WWS-2#-3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Env_0828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w-6-29-33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EPI_ISL_13052319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Env_0829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w-zong-1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Env_0830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wws-1#-0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EPI_ISL_13052321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Env_0862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SJ-D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Storehouse 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Env_0865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SJ-L3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Storehouse wire fence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Env_0868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RLC-3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Positive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Storehouse bag surfaces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Env_0516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Table top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Env_0517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Scale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Env_0518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Env_0519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Feather removal machine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EPI_ISL_17064549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Table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HJ200009-20200112-1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Inside of feather removal machine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Outside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34-36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White 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Chopping block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Env_0529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Red 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EPI_ISL_17064559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Scale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HJ200019-20200112-1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Outside surface of freezer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Env_0539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Blue mop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Tongs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EPI_ISL_17064569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HJ200029-20200112-1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the door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 in inner room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35-37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Foam box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Env_0549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Outside surface of freezer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Iron 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EPI_ISL_17064579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Knief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HJ200039-20200112-1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Scale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Feather removal machine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Mop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Env_0559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Sink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Iron 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EPI_ISL_17064589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freezer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HJ200049-20200112-1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Dustpan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Table top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36-38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HJ200051-20200112-1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Outside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Env_0569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HJ200054-20200112-1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Table top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HJ200058-20200112-1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EPI_ISL_17064599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HJ200059-20200112-1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HJ200060-20200112-1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Iron shelf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HJ200062-20200112-1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Env_0578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HJ200063-20200112-1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Basket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HJ200065-20200112-1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White box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HJ200066-20200112-1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Iron 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Env_0582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HJ200067-20200112-1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Bucket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29-31-33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Env_0617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10-31-In2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Environmental swab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Env_0619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10-31-abv2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Environmental swab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Env_0620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06-29-abv1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EPI_ISL_17064609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Environmental swab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Env_0642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1-27-11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129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Env_0643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1-27-12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Env_0657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1-27-28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Env_0674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1-27-52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Env_0697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1-29-19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Env_0701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1-29-23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11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Env_0705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7-26-BX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Env_0707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7-26-PSW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Drainage outlet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Env_0708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7-26-PSN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Drainage outlet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7-26-DH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EPI_ISL_17064619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8-25-BX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Inner surface of refrigerator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139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8-25-D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Knief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Env_0716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8-25-CK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Env_0720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8-25-M2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Env_0749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WS-3-1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WS-4-1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8-25-D1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Env_0754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8-25-D2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8-25-Long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Env_0759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Outside-5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EPI_ISL_17064629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Water drain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Env_0768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HXJMHL-1-2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149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Env_0770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JXRJ-1-1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Env_0788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CSSQ-1-1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Env_0789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CSSQ-1-2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Env_0798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YCHC2-1-2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Env_0799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YCHC2-1-3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Env_0800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HXJC4-1-1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Env_0801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HXJC4-1-2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d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Sewage well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Env_0839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C9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Env_0842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C12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EPI_ISL_17064639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Wall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5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Env_0847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C17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Surface of 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159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Env_0856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E-10-29-2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10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Env_0858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E-A-7-1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Accessory Street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161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Env_0873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CCDC-454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EPI_ISL_17064643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9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162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Env_0875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629-1-L1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EPI_ISL_17064644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163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Env_0877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629-3-C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EPI_ISL_17064645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Cart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164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Env_0879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629-5-L4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EPI_ISL_17064646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165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Env_0882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629-8-L7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EPI_ISL_17064647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166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Env_0885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629-11-L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EPI_ISL_17064648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167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Env_0887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629-13-L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EPI_ISL_17064649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168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Env_0889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629-L-1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EPI_ISL_17064650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169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Env_0893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CCDC-744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EPI_ISL_17064651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170</w:t>
            </w:r>
          </w:p>
        </w:tc>
        <w:tc>
          <w:tcPr>
            <w:tcW w:w="522" w:type="pct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Env_0895</w:t>
            </w:r>
          </w:p>
        </w:tc>
        <w:tc>
          <w:tcPr>
            <w:tcW w:w="589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CCDC-746</w:t>
            </w:r>
          </w:p>
        </w:tc>
        <w:tc>
          <w:tcPr>
            <w:tcW w:w="862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EPI_ISL_17064652</w:t>
            </w:r>
          </w:p>
        </w:tc>
        <w:tc>
          <w:tcPr>
            <w:tcW w:w="641" w:type="pct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641" w:type="pct"/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tcBorders>
              <w:bottom w:val="nil"/>
            </w:tcBorders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171</w:t>
            </w:r>
          </w:p>
        </w:tc>
        <w:tc>
          <w:tcPr>
            <w:tcW w:w="522" w:type="pct"/>
            <w:tcBorders>
              <w:bottom w:val="nil"/>
            </w:tcBorders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Env_0907</w:t>
            </w:r>
          </w:p>
        </w:tc>
        <w:tc>
          <w:tcPr>
            <w:tcW w:w="589" w:type="pct"/>
            <w:tcBorders>
              <w:bottom w:val="nil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CCDC-758</w:t>
            </w:r>
          </w:p>
        </w:tc>
        <w:tc>
          <w:tcPr>
            <w:tcW w:w="862" w:type="pct"/>
            <w:tcBorders>
              <w:bottom w:val="nil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EPI_ISL_17064653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tcBorders>
              <w:bottom w:val="nil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Container</w:t>
            </w:r>
          </w:p>
        </w:tc>
        <w:tc>
          <w:tcPr>
            <w:tcW w:w="571" w:type="pct"/>
            <w:tcBorders>
              <w:bottom w:val="nil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tcBorders>
              <w:bottom w:val="nil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7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172</w:t>
            </w:r>
          </w:p>
        </w:tc>
        <w:tc>
          <w:tcPr>
            <w:tcW w:w="522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Env_0909</w:t>
            </w:r>
          </w:p>
        </w:tc>
        <w:tc>
          <w:tcPr>
            <w:tcW w:w="589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CCDC-760</w:t>
            </w:r>
          </w:p>
        </w:tc>
        <w:tc>
          <w:tcPr>
            <w:tcW w:w="862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GB" w:eastAsia="en-US"/>
              </w:rPr>
              <w:t>EPI_ISL_17064654</w:t>
            </w:r>
          </w:p>
        </w:tc>
        <w:tc>
          <w:tcPr>
            <w:tcW w:w="64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Negative</w:t>
            </w:r>
          </w:p>
        </w:tc>
        <w:tc>
          <w:tcPr>
            <w:tcW w:w="927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Ground</w:t>
            </w:r>
          </w:p>
        </w:tc>
        <w:tc>
          <w:tcPr>
            <w:tcW w:w="571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8</w:t>
            </w:r>
          </w:p>
        </w:tc>
        <w:tc>
          <w:tcPr>
            <w:tcW w:w="641" w:type="pct"/>
            <w:tcBorders>
              <w:top w:val="nil"/>
              <w:bottom w:val="single" w:color="auto" w:sz="8" w:space="0"/>
            </w:tcBorders>
            <w:noWrap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GB" w:eastAsia="en-US"/>
              </w:rPr>
              <w:t>25</w:t>
            </w:r>
          </w:p>
        </w:tc>
      </w:tr>
    </w:tbl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hint="eastAsia" w:ascii="Times New Roman" w:hAnsi="Times New Roman" w:cs="Times New Roman"/>
          <w:sz w:val="22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4"/>
        </w:rPr>
        <w:t xml:space="preserve"> All the raw sequencing data have been uploaded onto the GISAID (China CDC Weekly, 2021, DOI: 10.46234/ccdcw2021.255). The raw sequence data reported in this paper have also been deposited in the Genome Sequence Archive (Genomics, Proteomics &amp; Bioinformatics, 2021, DOI:  10.1016/j.gpb.2021.08.001) in National Genomics Data Center (Nucleic Acids Res, 2022, DOI: 10.1093/nar/gkab951), China National Center for Bioinformation / Beijing Institute of Genomics, Chinese Academy of Sciences that are publicly accessible at </w:t>
      </w:r>
      <w:r>
        <w:fldChar w:fldCharType="begin"/>
      </w:r>
      <w:r>
        <w:instrText xml:space="preserve"> HYPERLINK "https://ngdc.cncb.ac.cn/gsa" </w:instrText>
      </w:r>
      <w:r>
        <w:fldChar w:fldCharType="separate"/>
      </w:r>
      <w:r>
        <w:rPr>
          <w:rStyle w:val="13"/>
          <w:rFonts w:ascii="Times New Roman" w:hAnsi="Times New Roman" w:cs="Times New Roman"/>
          <w:sz w:val="22"/>
          <w:szCs w:val="24"/>
        </w:rPr>
        <w:t>https://ngdc.cncb.ac.cn/gsa</w:t>
      </w:r>
      <w:r>
        <w:rPr>
          <w:rStyle w:val="13"/>
          <w:rFonts w:ascii="Times New Roman" w:hAnsi="Times New Roman" w:cs="Times New Roman"/>
          <w:sz w:val="22"/>
          <w:szCs w:val="24"/>
        </w:rPr>
        <w:fldChar w:fldCharType="end"/>
      </w:r>
      <w:r>
        <w:rPr>
          <w:rFonts w:ascii="Times New Roman" w:hAnsi="Times New Roman" w:cs="Times New Roman"/>
          <w:sz w:val="22"/>
          <w:szCs w:val="24"/>
        </w:rPr>
        <w:t xml:space="preserve"> (GSA: CRA010170). Raw sequence data was deposited into NCBI BioProject under accession number PRJNA948658 (https://www.ncbi.nlm.nih.gov/bioproject/PRJNA948658) and in China National Microbiology Data Center (NMDC) with accession numbers NMDC10018366 (https://nmdc.cn/resource/genomics/sample/detail/NMDC10018366).</w:t>
      </w: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4"/>
        </w:rPr>
        <w:t xml:space="preserve"> Three original samples (Env_0020, Env_0313, and Env_0354) were sequenced twice, for metagenomic analysis (as shown in this table) and viral whole-genome assembly (raw data was shown in Supplementary Table 4), respectively.</w:t>
      </w:r>
    </w:p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2"/>
          <w:szCs w:val="24"/>
        </w:rPr>
        <w:t xml:space="preserve"> The street or vendor information of some samples was not applicable, such as transport carts, trash cans, sewage and silt from drainage channels and sewerage wells.</w:t>
      </w:r>
    </w:p>
    <w:p>
      <w:pPr>
        <w:rPr>
          <w:rFonts w:hint="default" w:ascii="Times New Roman" w:hAnsi="Times New Roman" w:cs="Times New Roman" w:eastAsiaTheme="minorEastAsia"/>
          <w:sz w:val="22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4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sz w:val="22"/>
          <w:szCs w:val="24"/>
          <w:lang w:val="en-US" w:eastAsia="zh-CN"/>
        </w:rPr>
        <w:t xml:space="preserve"> These sanples were processed using the HWTS-C002-16-BGI human rRNA depletion kit (BGI, China).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18"/>
    <w:rsid w:val="003F7B1F"/>
    <w:rsid w:val="006F08F7"/>
    <w:rsid w:val="00716D18"/>
    <w:rsid w:val="00CD1B0A"/>
    <w:rsid w:val="00D52C34"/>
    <w:rsid w:val="07756521"/>
    <w:rsid w:val="2DAF78A4"/>
    <w:rsid w:val="42074B64"/>
    <w:rsid w:val="4A93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2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宋体"/>
      <w:kern w:val="0"/>
      <w:sz w:val="22"/>
      <w:lang w:val="en-GB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954F72"/>
      <w:u w:val="single"/>
    </w:rPr>
  </w:style>
  <w:style w:type="character" w:styleId="12">
    <w:name w:val="line number"/>
    <w:basedOn w:val="10"/>
    <w:semiHidden/>
    <w:unhideWhenUsed/>
    <w:uiPriority w:val="99"/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5">
    <w:name w:val="页眉 字符"/>
    <w:basedOn w:val="10"/>
    <w:link w:val="6"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uiPriority w:val="99"/>
    <w:rPr>
      <w:sz w:val="18"/>
      <w:szCs w:val="18"/>
    </w:rPr>
  </w:style>
  <w:style w:type="character" w:customStyle="1" w:styleId="17">
    <w:name w:val="标题 1 字符"/>
    <w:basedOn w:val="10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0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20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0"/>
    <w:link w:val="3"/>
    <w:semiHidden/>
    <w:uiPriority w:val="99"/>
  </w:style>
  <w:style w:type="character" w:customStyle="1" w:styleId="22">
    <w:name w:val="批注主题 字符"/>
    <w:basedOn w:val="21"/>
    <w:link w:val="7"/>
    <w:semiHidden/>
    <w:uiPriority w:val="99"/>
    <w:rPr>
      <w:b/>
      <w:bCs/>
    </w:rPr>
  </w:style>
  <w:style w:type="paragraph" w:customStyle="1" w:styleId="23">
    <w:name w:val="EndNote Bibliography Title"/>
    <w:basedOn w:val="1"/>
    <w:link w:val="24"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4">
    <w:name w:val="EndNote Bibliography Title 字符"/>
    <w:basedOn w:val="10"/>
    <w:link w:val="23"/>
    <w:uiPriority w:val="0"/>
    <w:rPr>
      <w:rFonts w:ascii="等线" w:hAnsi="等线" w:eastAsia="等线"/>
      <w:sz w:val="20"/>
    </w:rPr>
  </w:style>
  <w:style w:type="paragraph" w:customStyle="1" w:styleId="25">
    <w:name w:val="EndNote Bibliography"/>
    <w:basedOn w:val="1"/>
    <w:link w:val="26"/>
    <w:uiPriority w:val="0"/>
    <w:rPr>
      <w:rFonts w:ascii="等线" w:hAnsi="等线" w:eastAsia="等线"/>
      <w:sz w:val="20"/>
    </w:rPr>
  </w:style>
  <w:style w:type="character" w:customStyle="1" w:styleId="26">
    <w:name w:val="EndNote Bibliography 字符"/>
    <w:basedOn w:val="10"/>
    <w:link w:val="25"/>
    <w:uiPriority w:val="0"/>
    <w:rPr>
      <w:rFonts w:ascii="等线" w:hAnsi="等线" w:eastAsia="等线"/>
      <w:sz w:val="20"/>
    </w:rPr>
  </w:style>
  <w:style w:type="character" w:customStyle="1" w:styleId="2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9">
    <w:name w:val="未处理的提及3"/>
    <w:basedOn w:val="1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0">
    <w:name w:val="List Table 2"/>
    <w:basedOn w:val="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31">
    <w:name w:val="未处理的提及4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34">
    <w:name w:val="xl66"/>
    <w:basedOn w:val="1"/>
    <w:qFormat/>
    <w:uiPriority w:val="0"/>
    <w:pPr>
      <w:widowControl/>
      <w:pBdr>
        <w:top w:val="single" w:color="auto" w:sz="12" w:space="0"/>
        <w:bottom w:val="single" w:color="auto" w:sz="8" w:space="0"/>
      </w:pBdr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35">
    <w:name w:val="xl67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36">
    <w:name w:val="xl68"/>
    <w:basedOn w:val="1"/>
    <w:qFormat/>
    <w:uiPriority w:val="0"/>
    <w:pPr>
      <w:widowControl/>
      <w:pBdr>
        <w:bottom w:val="single" w:color="auto" w:sz="12" w:space="0"/>
      </w:pBdr>
      <w:spacing w:before="100" w:beforeAutospacing="1" w:after="100" w:afterAutospacing="1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37">
    <w:name w:val="xl69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8">
    <w:name w:val="xl70"/>
    <w:basedOn w:val="1"/>
    <w:qFormat/>
    <w:uiPriority w:val="0"/>
    <w:pPr>
      <w:widowControl/>
      <w:pBdr>
        <w:bottom w:val="single" w:color="auto" w:sz="12" w:space="0"/>
      </w:pBdr>
      <w:spacing w:before="100" w:beforeAutospacing="1" w:after="100" w:afterAutospacing="1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39">
    <w:name w:val="period"/>
    <w:basedOn w:val="10"/>
    <w:qFormat/>
    <w:uiPriority w:val="0"/>
  </w:style>
  <w:style w:type="character" w:customStyle="1" w:styleId="40">
    <w:name w:val="cit"/>
    <w:basedOn w:val="10"/>
    <w:qFormat/>
    <w:uiPriority w:val="0"/>
  </w:style>
  <w:style w:type="character" w:customStyle="1" w:styleId="41">
    <w:name w:val="citation-doi"/>
    <w:basedOn w:val="10"/>
    <w:qFormat/>
    <w:uiPriority w:val="0"/>
  </w:style>
  <w:style w:type="character" w:customStyle="1" w:styleId="42">
    <w:name w:val="secondary-date"/>
    <w:basedOn w:val="10"/>
    <w:qFormat/>
    <w:uiPriority w:val="0"/>
  </w:style>
  <w:style w:type="character" w:customStyle="1" w:styleId="43">
    <w:name w:val="未处理的提及5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未处理的提及6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Unresolved Mention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2036</Words>
  <Characters>11611</Characters>
  <Lines>96</Lines>
  <Paragraphs>27</Paragraphs>
  <TotalTime>6</TotalTime>
  <ScaleCrop>false</ScaleCrop>
  <LinksUpToDate>false</LinksUpToDate>
  <CharactersWithSpaces>13620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2023-03-31T13:42:00Z</dcterms:created>
  <dc:creator>He Shawjo</dc:creator>
  <cp:lastModifiedBy>WPS_1667410020</cp:lastModifiedBy>
  <dcterms:modified xsi:type="dcterms:W3CDTF">2023-11-22T05:20:22Z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E0AA4342948745F1A56D780B142CABAD</vt:lpwstr>
  </property>
</Properties>
</file>