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4FC33" w14:textId="1405ADA3" w:rsidR="003B029E" w:rsidRPr="003B029E" w:rsidRDefault="003B029E" w:rsidP="003B029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3B029E">
        <w:rPr>
          <w:rFonts w:ascii="Times New Roman" w:hAnsi="Times New Roman" w:cs="Times New Roman"/>
          <w:b/>
          <w:sz w:val="24"/>
          <w:szCs w:val="24"/>
        </w:rPr>
        <w:t>Supplementary Table 2|</w:t>
      </w:r>
      <w:r w:rsidRPr="003B029E">
        <w:rPr>
          <w:rFonts w:ascii="Times New Roman" w:hAnsi="Times New Roman" w:cs="Times New Roman"/>
          <w:sz w:val="24"/>
          <w:szCs w:val="24"/>
        </w:rPr>
        <w:t xml:space="preserve"> </w:t>
      </w:r>
      <w:r w:rsidR="00632D29" w:rsidRPr="00632D29">
        <w:rPr>
          <w:rFonts w:ascii="Times New Roman" w:hAnsi="Times New Roman" w:cs="Times New Roman"/>
          <w:b/>
          <w:sz w:val="24"/>
          <w:szCs w:val="24"/>
        </w:rPr>
        <w:t>List of NA constructs transiently expressed in mammalian cells assessed for FNI</w:t>
      </w:r>
      <w:r w:rsidR="00632D29">
        <w:rPr>
          <w:rFonts w:ascii="Times New Roman" w:hAnsi="Times New Roman" w:cs="Times New Roman"/>
          <w:b/>
          <w:sz w:val="24"/>
          <w:szCs w:val="24"/>
        </w:rPr>
        <w:t>9, FNI</w:t>
      </w:r>
      <w:r w:rsidR="00715C4D">
        <w:rPr>
          <w:rFonts w:ascii="Times New Roman" w:hAnsi="Times New Roman" w:cs="Times New Roman"/>
          <w:b/>
          <w:sz w:val="24"/>
          <w:szCs w:val="24"/>
        </w:rPr>
        <w:t>17, and FNI19</w:t>
      </w:r>
      <w:r w:rsidR="00632D29" w:rsidRPr="00632D29">
        <w:rPr>
          <w:rFonts w:ascii="Times New Roman" w:hAnsi="Times New Roman" w:cs="Times New Roman"/>
          <w:b/>
          <w:sz w:val="24"/>
          <w:szCs w:val="24"/>
        </w:rPr>
        <w:t xml:space="preserve"> mAbs binding by FACS.</w:t>
      </w:r>
    </w:p>
    <w:p w14:paraId="069CCBDF" w14:textId="77777777" w:rsidR="0062183F" w:rsidRPr="0062183F" w:rsidRDefault="0062183F" w:rsidP="0062183F">
      <w:pPr>
        <w:suppressLineNumbers/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tbl>
      <w:tblPr>
        <w:tblStyle w:val="GridTable5Dark-Accent51"/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459"/>
        <w:gridCol w:w="1074"/>
        <w:gridCol w:w="3405"/>
        <w:gridCol w:w="1616"/>
        <w:gridCol w:w="2801"/>
      </w:tblGrid>
      <w:tr w:rsidR="0062183F" w:rsidRPr="0062183F" w14:paraId="4DBF830A" w14:textId="77777777" w:rsidTr="00D13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4845D88B" w14:textId="77777777" w:rsidR="0062183F" w:rsidRPr="0062183F" w:rsidRDefault="0062183F" w:rsidP="0062183F">
            <w:pPr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4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3A911E9E" w14:textId="77777777" w:rsidR="0062183F" w:rsidRPr="0062183F" w:rsidRDefault="0062183F" w:rsidP="00621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C50703B" w14:textId="77777777" w:rsidR="0062183F" w:rsidRPr="0062183F" w:rsidRDefault="0062183F" w:rsidP="00621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Subtype/</w:t>
            </w: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br/>
              <w:t>Lineage</w:t>
            </w:r>
          </w:p>
        </w:tc>
        <w:tc>
          <w:tcPr>
            <w:tcW w:w="340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64EE89A8" w14:textId="77777777" w:rsidR="0062183F" w:rsidRPr="0062183F" w:rsidRDefault="0062183F" w:rsidP="00621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Strain </w:t>
            </w:r>
          </w:p>
        </w:tc>
        <w:tc>
          <w:tcPr>
            <w:tcW w:w="161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E23E68C" w14:textId="77777777" w:rsidR="0062183F" w:rsidRPr="0062183F" w:rsidRDefault="0062183F" w:rsidP="00621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Accession</w:t>
            </w: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br/>
              <w:t>number</w:t>
            </w:r>
          </w:p>
        </w:tc>
        <w:tc>
          <w:tcPr>
            <w:tcW w:w="28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32504DA5" w14:textId="77777777" w:rsidR="0062183F" w:rsidRPr="0062183F" w:rsidRDefault="0062183F" w:rsidP="00621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62183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 Reference</w:t>
            </w:r>
          </w:p>
        </w:tc>
      </w:tr>
      <w:tr w:rsidR="0062183F" w:rsidRPr="0062183F" w14:paraId="2522A1D0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cBorders>
              <w:left w:val="none" w:sz="0" w:space="0" w:color="auto"/>
            </w:tcBorders>
            <w:shd w:val="clear" w:color="auto" w:fill="auto"/>
            <w:noWrap/>
            <w:textDirection w:val="btLr"/>
            <w:hideMark/>
          </w:tcPr>
          <w:p w14:paraId="4712F724" w14:textId="77777777" w:rsidR="0062183F" w:rsidRPr="0062183F" w:rsidRDefault="0062183F" w:rsidP="006218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Influenza A</w:t>
            </w:r>
          </w:p>
        </w:tc>
        <w:tc>
          <w:tcPr>
            <w:tcW w:w="459" w:type="dxa"/>
            <w:vMerge w:val="restart"/>
            <w:shd w:val="clear" w:color="auto" w:fill="auto"/>
            <w:noWrap/>
            <w:textDirection w:val="btLr"/>
            <w:hideMark/>
          </w:tcPr>
          <w:p w14:paraId="3D9FF81F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Group 1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14:paraId="3CFE8126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N1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0AAD5803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H1N1 A/California/07/2009 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7163053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EPI_ISL_29577 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6948B3B2" w14:textId="3CC14A5D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4</w:t>
            </w:r>
          </w:p>
        </w:tc>
      </w:tr>
      <w:tr w:rsidR="0062183F" w:rsidRPr="0062183F" w14:paraId="6E88A625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3CA65C7D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459" w:type="dxa"/>
            <w:vMerge/>
            <w:hideMark/>
          </w:tcPr>
          <w:p w14:paraId="5536FC87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3982AE12" w14:textId="77777777" w:rsidR="0062183F" w:rsidRPr="0062183F" w:rsidRDefault="0062183F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N1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655CB903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H1N1 A/Stockholm/18/2007 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1328514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EPI_ISL_157400 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7A2813B3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Seasonal strain before 2009 pandemic </w:t>
            </w:r>
          </w:p>
        </w:tc>
      </w:tr>
      <w:tr w:rsidR="0062183F" w:rsidRPr="0062183F" w14:paraId="5C31A4EA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0B5ADDD8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hideMark/>
          </w:tcPr>
          <w:p w14:paraId="37FD5972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0D5D4A2D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N4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4EF35911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H6N4 A/mallard duck/Netherlands/30/2011 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68ACCE45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EPI_ISL_243398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487218E3" w14:textId="08F023C3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62183F" w:rsidRPr="0062183F" w14:paraId="7AE705E6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779086C9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hideMark/>
          </w:tcPr>
          <w:p w14:paraId="7E8FCECB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6DFD32A9" w14:textId="77777777" w:rsidR="0062183F" w:rsidRPr="0062183F" w:rsidRDefault="0062183F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N5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258D7369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H6N5 A/aquatic bird/Korea/CN5/2009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E9139EB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AFQ60391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6467BDBE" w14:textId="1C231E98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6</w:t>
            </w:r>
          </w:p>
        </w:tc>
      </w:tr>
      <w:tr w:rsidR="0062183F" w:rsidRPr="0062183F" w14:paraId="545098D8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0BDA4DA1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 w:val="restart"/>
            <w:shd w:val="clear" w:color="auto" w:fill="auto"/>
            <w:noWrap/>
            <w:textDirection w:val="btLr"/>
            <w:hideMark/>
          </w:tcPr>
          <w:p w14:paraId="50E0E3BE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Group 2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14:paraId="5E8DCA16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008E9493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H2N2 A/Leningrad/134/17/57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78E67210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EPI_ISL_169836 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3BB2C587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Pandemic strain 1957</w:t>
            </w:r>
          </w:p>
        </w:tc>
      </w:tr>
      <w:tr w:rsidR="0062183F" w:rsidRPr="0062183F" w14:paraId="4616FE53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33047747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hideMark/>
          </w:tcPr>
          <w:p w14:paraId="4D60AC58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10C085BC" w14:textId="77777777" w:rsidR="0062183F" w:rsidRPr="0062183F" w:rsidRDefault="0062183F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44D74800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H3N2 A/Hong Kong/68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11F20583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ABQ97206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0CCA4072" w14:textId="23E4C70F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7</w:t>
            </w:r>
          </w:p>
        </w:tc>
      </w:tr>
      <w:tr w:rsidR="0062183F" w:rsidRPr="0062183F" w14:paraId="53F005F3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7B2796BB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459" w:type="dxa"/>
            <w:vMerge/>
            <w:hideMark/>
          </w:tcPr>
          <w:p w14:paraId="38CE894F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66765B76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659FADCF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H7N3 A/Canada/rv504/2004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9DBC646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EPI_ISL_5873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3F5250BC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Similar to H7N3 HPAI WHO recommendation as vaccine candidate</w:t>
            </w:r>
          </w:p>
        </w:tc>
      </w:tr>
      <w:tr w:rsidR="0062183F" w:rsidRPr="0062183F" w14:paraId="2ABCE3E3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3A212A52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hideMark/>
          </w:tcPr>
          <w:p w14:paraId="25616CF9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259E567D" w14:textId="77777777" w:rsidR="0062183F" w:rsidRPr="0062183F" w:rsidRDefault="0062183F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N6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4668BE92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H4N6 A/swine/Ontario/01911-1/99 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B63B39E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AAG17431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7AEE804C" w14:textId="68003CF3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8</w:t>
            </w: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,8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9</w:t>
            </w:r>
          </w:p>
        </w:tc>
      </w:tr>
      <w:tr w:rsidR="0062183F" w:rsidRPr="0062183F" w14:paraId="28CE9A44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2B7F541B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459" w:type="dxa"/>
            <w:vMerge/>
            <w:hideMark/>
          </w:tcPr>
          <w:p w14:paraId="4ECA6514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45947EDE" w14:textId="77777777" w:rsidR="0062183F" w:rsidRPr="0062183F" w:rsidRDefault="0062183F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N7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6CD3D2E0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H7N7 A/Netherlands/078/03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154DDF7A" w14:textId="77777777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EPI_ISL_90875 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678307C9" w14:textId="6A21A02A" w:rsidR="0062183F" w:rsidRPr="0062183F" w:rsidRDefault="0062183F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0</w:t>
            </w:r>
          </w:p>
        </w:tc>
      </w:tr>
      <w:tr w:rsidR="0062183F" w:rsidRPr="0062183F" w14:paraId="42E0DA76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cBorders>
              <w:left w:val="none" w:sz="0" w:space="0" w:color="auto"/>
            </w:tcBorders>
            <w:hideMark/>
          </w:tcPr>
          <w:p w14:paraId="1900D9EE" w14:textId="77777777" w:rsidR="0062183F" w:rsidRPr="0062183F" w:rsidRDefault="0062183F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vMerge/>
            <w:hideMark/>
          </w:tcPr>
          <w:p w14:paraId="50B52DEA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51AF5B86" w14:textId="77777777" w:rsidR="0062183F" w:rsidRPr="0062183F" w:rsidRDefault="0062183F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N9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4F5704A3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H7N9 A/Anhui/1/2013 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5859BCB3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EPI_ISL_138739 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05A916EB" w14:textId="77777777" w:rsidR="0062183F" w:rsidRPr="0062183F" w:rsidRDefault="0062183F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 recommendation on influenza A (H7N9) vaccine virus</w:t>
            </w:r>
          </w:p>
        </w:tc>
      </w:tr>
      <w:tr w:rsidR="00D1313C" w:rsidRPr="0062183F" w14:paraId="0629D7A8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gridSpan w:val="2"/>
            <w:vMerge w:val="restart"/>
            <w:tcBorders>
              <w:left w:val="none" w:sz="0" w:space="0" w:color="auto"/>
            </w:tcBorders>
            <w:shd w:val="clear" w:color="auto" w:fill="auto"/>
            <w:noWrap/>
            <w:textDirection w:val="btLr"/>
            <w:hideMark/>
          </w:tcPr>
          <w:p w14:paraId="4729B756" w14:textId="77777777" w:rsidR="00D1313C" w:rsidRPr="0062183F" w:rsidRDefault="00D1313C" w:rsidP="006218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Influenza B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14:paraId="266B293F" w14:textId="77777777" w:rsidR="00D1313C" w:rsidRPr="0062183F" w:rsidRDefault="00D1313C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Ancestral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781A28E7" w14:textId="77777777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B/Lee/10/1940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1EA03003" w14:textId="77777777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NP_056663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025EB3F1" w14:textId="52DE012A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1</w:t>
            </w:r>
          </w:p>
        </w:tc>
      </w:tr>
      <w:tr w:rsidR="00D1313C" w:rsidRPr="0062183F" w14:paraId="4744FA7D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gridSpan w:val="2"/>
            <w:vMerge/>
            <w:tcBorders>
              <w:left w:val="none" w:sz="0" w:space="0" w:color="auto"/>
            </w:tcBorders>
            <w:shd w:val="clear" w:color="auto" w:fill="auto"/>
            <w:hideMark/>
          </w:tcPr>
          <w:p w14:paraId="0E42F6DE" w14:textId="77777777" w:rsidR="00D1313C" w:rsidRPr="0062183F" w:rsidRDefault="00D1313C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3A055AE9" w14:textId="77777777" w:rsidR="00D1313C" w:rsidRPr="0062183F" w:rsidRDefault="00D1313C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7A7D770B" w14:textId="77777777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B/Brisbane/60/2008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3A4CD3C9" w14:textId="77777777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ADN32819</w:t>
            </w:r>
          </w:p>
        </w:tc>
        <w:tc>
          <w:tcPr>
            <w:tcW w:w="2801" w:type="dxa"/>
            <w:shd w:val="clear" w:color="auto" w:fill="auto"/>
            <w:noWrap/>
          </w:tcPr>
          <w:p w14:paraId="3065AA5A" w14:textId="7E16102F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2</w:t>
            </w:r>
          </w:p>
        </w:tc>
      </w:tr>
      <w:tr w:rsidR="00D1313C" w:rsidRPr="0062183F" w14:paraId="652DBFAF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gridSpan w:val="2"/>
            <w:vMerge/>
            <w:tcBorders>
              <w:left w:val="none" w:sz="0" w:space="0" w:color="auto"/>
            </w:tcBorders>
            <w:shd w:val="clear" w:color="auto" w:fill="auto"/>
            <w:hideMark/>
          </w:tcPr>
          <w:p w14:paraId="3C4A654D" w14:textId="77777777" w:rsidR="00D1313C" w:rsidRPr="0062183F" w:rsidRDefault="00D1313C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0D1D174A" w14:textId="77777777" w:rsidR="00D1313C" w:rsidRPr="0062183F" w:rsidRDefault="00D1313C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30131CF8" w14:textId="77777777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B/Malaysia/2506/2004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684B1A93" w14:textId="77777777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ACR15736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24477A5B" w14:textId="214425A6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2</w:t>
            </w:r>
          </w:p>
        </w:tc>
      </w:tr>
      <w:tr w:rsidR="00D1313C" w:rsidRPr="0062183F" w14:paraId="74E335A5" w14:textId="77777777" w:rsidTr="00D1313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gridSpan w:val="2"/>
            <w:vMerge/>
            <w:tcBorders>
              <w:left w:val="none" w:sz="0" w:space="0" w:color="auto"/>
            </w:tcBorders>
            <w:shd w:val="clear" w:color="auto" w:fill="auto"/>
            <w:hideMark/>
          </w:tcPr>
          <w:p w14:paraId="271F997B" w14:textId="77777777" w:rsidR="00D1313C" w:rsidRPr="0062183F" w:rsidRDefault="00D1313C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024FD5A9" w14:textId="4A993C8F" w:rsidR="00D1313C" w:rsidRPr="0062183F" w:rsidRDefault="00D1313C" w:rsidP="00621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4BC45CEE" w14:textId="06A50876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B/Malaysia/3120318925/2013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472DFA91" w14:textId="7E75A046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ANK57741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49F270EE" w14:textId="184F31F9" w:rsidR="00D1313C" w:rsidRPr="0062183F" w:rsidRDefault="00D1313C" w:rsidP="0062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D1313C" w:rsidRPr="0062183F" w14:paraId="5FF8368B" w14:textId="77777777" w:rsidTr="00D1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gridSpan w:val="2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14:paraId="4B8DFD51" w14:textId="77777777" w:rsidR="00D1313C" w:rsidRPr="0062183F" w:rsidRDefault="00D1313C" w:rsidP="006218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74" w:type="dxa"/>
            <w:shd w:val="clear" w:color="auto" w:fill="auto"/>
            <w:noWrap/>
            <w:hideMark/>
          </w:tcPr>
          <w:p w14:paraId="213BE85D" w14:textId="25CCA979" w:rsidR="00D1313C" w:rsidRPr="0062183F" w:rsidRDefault="00D1313C" w:rsidP="00621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3405" w:type="dxa"/>
            <w:shd w:val="clear" w:color="auto" w:fill="auto"/>
            <w:noWrap/>
            <w:hideMark/>
          </w:tcPr>
          <w:p w14:paraId="124E0CC2" w14:textId="68E58927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B/Yamanashi/166/1998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574C2134" w14:textId="4691F4FC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ABN50507</w:t>
            </w:r>
          </w:p>
        </w:tc>
        <w:tc>
          <w:tcPr>
            <w:tcW w:w="2801" w:type="dxa"/>
            <w:shd w:val="clear" w:color="auto" w:fill="auto"/>
            <w:noWrap/>
            <w:hideMark/>
          </w:tcPr>
          <w:p w14:paraId="1EA2A09C" w14:textId="05FA090F" w:rsidR="00D1313C" w:rsidRPr="0062183F" w:rsidRDefault="00D1313C" w:rsidP="0062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2183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9</w:t>
            </w:r>
            <w:r w:rsidR="009226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vertAlign w:val="superscript"/>
                <w:lang w:val="fr-CH"/>
              </w:rPr>
              <w:t>2</w:t>
            </w:r>
          </w:p>
        </w:tc>
      </w:tr>
    </w:tbl>
    <w:p w14:paraId="70FC209F" w14:textId="15FC8518" w:rsidR="0063252B" w:rsidRDefault="0063252B"/>
    <w:p w14:paraId="138AB9BF" w14:textId="4C048790" w:rsidR="00E32A86" w:rsidRDefault="00E32A86"/>
    <w:p w14:paraId="64D17B79" w14:textId="537ABAD4" w:rsidR="00E32A86" w:rsidRDefault="00E32A86"/>
    <w:p w14:paraId="265E4A1B" w14:textId="0A4DC7A7" w:rsidR="00E32A86" w:rsidRDefault="00E32A86"/>
    <w:p w14:paraId="48DA4ADF" w14:textId="77777777" w:rsidR="00E32A86" w:rsidRPr="003D145C" w:rsidRDefault="00E32A86" w:rsidP="00E32A86">
      <w:pPr>
        <w:spacing w:before="240" w:after="24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F37DC">
        <w:rPr>
          <w:rFonts w:ascii="Times New Roman" w:hAnsi="Times New Roman" w:cs="Times New Roman"/>
          <w:b/>
          <w:bCs/>
          <w:sz w:val="26"/>
          <w:szCs w:val="26"/>
        </w:rPr>
        <w:t>Reference Related to Supplementary Table 2</w:t>
      </w:r>
    </w:p>
    <w:p w14:paraId="79773815" w14:textId="2957E712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8</w:t>
      </w:r>
      <w:r w:rsidR="00922600">
        <w:rPr>
          <w:rFonts w:ascii="Times New Roman" w:hAnsi="Times New Roman" w:cs="Times New Roman"/>
          <w:sz w:val="24"/>
          <w:szCs w:val="24"/>
        </w:rPr>
        <w:t>4</w:t>
      </w:r>
      <w:r w:rsidRPr="00C1762F">
        <w:rPr>
          <w:rFonts w:ascii="Times New Roman" w:hAnsi="Times New Roman" w:cs="Times New Roman"/>
          <w:sz w:val="24"/>
          <w:szCs w:val="24"/>
        </w:rPr>
        <w:tab/>
        <w:t>Garten, R. J.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Antigenic and genetic characteristics of swine-origin 2009 A(H1N1) influenza viruses circulating in humans. </w:t>
      </w:r>
      <w:r w:rsidRPr="00C1762F">
        <w:rPr>
          <w:rFonts w:ascii="Times New Roman" w:hAnsi="Times New Roman" w:cs="Times New Roman"/>
          <w:i/>
          <w:sz w:val="24"/>
          <w:szCs w:val="24"/>
        </w:rPr>
        <w:t>Science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325</w:t>
      </w:r>
      <w:r w:rsidRPr="00C1762F">
        <w:rPr>
          <w:rFonts w:ascii="Times New Roman" w:hAnsi="Times New Roman" w:cs="Times New Roman"/>
          <w:sz w:val="24"/>
          <w:szCs w:val="24"/>
        </w:rPr>
        <w:t>, 197-201 (2009). https://doi.org:10.1126/science.1176225</w:t>
      </w:r>
    </w:p>
    <w:p w14:paraId="6DAF6D1F" w14:textId="72B3FA6F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8</w:t>
      </w:r>
      <w:r w:rsidR="00922600">
        <w:rPr>
          <w:rFonts w:ascii="Times New Roman" w:hAnsi="Times New Roman" w:cs="Times New Roman"/>
          <w:sz w:val="24"/>
          <w:szCs w:val="24"/>
        </w:rPr>
        <w:t>5</w:t>
      </w:r>
      <w:r w:rsidRPr="00C1762F">
        <w:rPr>
          <w:rFonts w:ascii="Times New Roman" w:hAnsi="Times New Roman" w:cs="Times New Roman"/>
          <w:sz w:val="24"/>
          <w:szCs w:val="24"/>
        </w:rPr>
        <w:tab/>
        <w:t xml:space="preserve">Campbell, L. K. &amp; Magor, K. E. Pattern Recognition Receptor Signaling and Innate Responses to Influenza A Viruses in the Mallard Duck, Compared to Humans and Chickens. </w:t>
      </w:r>
      <w:r w:rsidRPr="00C1762F">
        <w:rPr>
          <w:rFonts w:ascii="Times New Roman" w:hAnsi="Times New Roman" w:cs="Times New Roman"/>
          <w:i/>
          <w:sz w:val="24"/>
          <w:szCs w:val="24"/>
        </w:rPr>
        <w:t>Front Cell Infect Microbiol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10</w:t>
      </w:r>
      <w:r w:rsidRPr="00C1762F">
        <w:rPr>
          <w:rFonts w:ascii="Times New Roman" w:hAnsi="Times New Roman" w:cs="Times New Roman"/>
          <w:sz w:val="24"/>
          <w:szCs w:val="24"/>
        </w:rPr>
        <w:t>, 209 (2020). https://doi.org:10.3389/fcimb.2020.00209</w:t>
      </w:r>
    </w:p>
    <w:p w14:paraId="7DFA22E3" w14:textId="4E5F618C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8</w:t>
      </w:r>
      <w:r w:rsidR="00922600">
        <w:rPr>
          <w:rFonts w:ascii="Times New Roman" w:hAnsi="Times New Roman" w:cs="Times New Roman"/>
          <w:sz w:val="24"/>
          <w:szCs w:val="24"/>
        </w:rPr>
        <w:t>6</w:t>
      </w:r>
      <w:r w:rsidRPr="00C1762F">
        <w:rPr>
          <w:rFonts w:ascii="Times New Roman" w:hAnsi="Times New Roman" w:cs="Times New Roman"/>
          <w:sz w:val="24"/>
          <w:szCs w:val="24"/>
        </w:rPr>
        <w:tab/>
        <w:t>Nam, J. H.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Emergence of mammalian species-infectious and -pathogenic avian influenza H6N5 virus with no evidence of adaptation. </w:t>
      </w:r>
      <w:r w:rsidRPr="00C1762F">
        <w:rPr>
          <w:rFonts w:ascii="Times New Roman" w:hAnsi="Times New Roman" w:cs="Times New Roman"/>
          <w:i/>
          <w:sz w:val="24"/>
          <w:szCs w:val="24"/>
        </w:rPr>
        <w:t>J Virol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85</w:t>
      </w:r>
      <w:r w:rsidRPr="00C1762F">
        <w:rPr>
          <w:rFonts w:ascii="Times New Roman" w:hAnsi="Times New Roman" w:cs="Times New Roman"/>
          <w:sz w:val="24"/>
          <w:szCs w:val="24"/>
        </w:rPr>
        <w:t>, 13271-13277 (2011). https://doi.org:10.1128/JVI.05038-11</w:t>
      </w:r>
    </w:p>
    <w:p w14:paraId="00195C93" w14:textId="4FA043BB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8</w:t>
      </w:r>
      <w:r w:rsidR="00922600">
        <w:rPr>
          <w:rFonts w:ascii="Times New Roman" w:hAnsi="Times New Roman" w:cs="Times New Roman"/>
          <w:sz w:val="24"/>
          <w:szCs w:val="24"/>
        </w:rPr>
        <w:t>7</w:t>
      </w:r>
      <w:r w:rsidRPr="00C1762F">
        <w:rPr>
          <w:rFonts w:ascii="Times New Roman" w:hAnsi="Times New Roman" w:cs="Times New Roman"/>
          <w:sz w:val="24"/>
          <w:szCs w:val="24"/>
        </w:rPr>
        <w:tab/>
        <w:t>Kobasa, D.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Amino acid residues contributing to the substrate specificity of the influenza A virus neuraminidase. </w:t>
      </w:r>
      <w:r w:rsidRPr="00C1762F">
        <w:rPr>
          <w:rFonts w:ascii="Times New Roman" w:hAnsi="Times New Roman" w:cs="Times New Roman"/>
          <w:i/>
          <w:sz w:val="24"/>
          <w:szCs w:val="24"/>
        </w:rPr>
        <w:t>J Virol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73</w:t>
      </w:r>
      <w:r w:rsidRPr="00C1762F">
        <w:rPr>
          <w:rFonts w:ascii="Times New Roman" w:hAnsi="Times New Roman" w:cs="Times New Roman"/>
          <w:sz w:val="24"/>
          <w:szCs w:val="24"/>
        </w:rPr>
        <w:t>, 6743-6751 (1999). https://doi.org:10.1128/JVI.73.8.6743-6751.1999</w:t>
      </w:r>
    </w:p>
    <w:p w14:paraId="68011B7D" w14:textId="5FA241FE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22600">
        <w:rPr>
          <w:rFonts w:ascii="Times New Roman" w:hAnsi="Times New Roman" w:cs="Times New Roman"/>
          <w:sz w:val="24"/>
          <w:szCs w:val="24"/>
        </w:rPr>
        <w:t>8</w:t>
      </w:r>
      <w:r w:rsidRPr="00C1762F">
        <w:rPr>
          <w:rFonts w:ascii="Times New Roman" w:hAnsi="Times New Roman" w:cs="Times New Roman"/>
          <w:sz w:val="24"/>
          <w:szCs w:val="24"/>
        </w:rPr>
        <w:tab/>
        <w:t>Song, H.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Avian-to-Human Receptor-Binding Adaptation by Influenza A Virus Hemagglutinin H4. </w:t>
      </w:r>
      <w:r w:rsidRPr="00C1762F">
        <w:rPr>
          <w:rFonts w:ascii="Times New Roman" w:hAnsi="Times New Roman" w:cs="Times New Roman"/>
          <w:i/>
          <w:sz w:val="24"/>
          <w:szCs w:val="24"/>
        </w:rPr>
        <w:t>Cell Rep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20</w:t>
      </w:r>
      <w:r w:rsidRPr="00C1762F">
        <w:rPr>
          <w:rFonts w:ascii="Times New Roman" w:hAnsi="Times New Roman" w:cs="Times New Roman"/>
          <w:sz w:val="24"/>
          <w:szCs w:val="24"/>
        </w:rPr>
        <w:t>, 1201-1214 (2017). https://doi.org:10.1016/j.celrep.2017.07.028</w:t>
      </w:r>
    </w:p>
    <w:p w14:paraId="0D886B13" w14:textId="6ED0059D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22600">
        <w:rPr>
          <w:rFonts w:ascii="Times New Roman" w:hAnsi="Times New Roman" w:cs="Times New Roman"/>
          <w:sz w:val="24"/>
          <w:szCs w:val="24"/>
          <w:lang w:val="it-IT"/>
        </w:rPr>
        <w:t>8</w:t>
      </w:r>
      <w:r w:rsidR="00922600" w:rsidRPr="00922600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922600">
        <w:rPr>
          <w:rFonts w:ascii="Times New Roman" w:hAnsi="Times New Roman" w:cs="Times New Roman"/>
          <w:sz w:val="24"/>
          <w:szCs w:val="24"/>
          <w:lang w:val="it-IT"/>
        </w:rPr>
        <w:tab/>
        <w:t>Karasin, A. I.</w:t>
      </w:r>
      <w:r w:rsidRPr="00922600">
        <w:rPr>
          <w:rFonts w:ascii="Times New Roman" w:hAnsi="Times New Roman" w:cs="Times New Roman"/>
          <w:i/>
          <w:sz w:val="24"/>
          <w:szCs w:val="24"/>
          <w:lang w:val="it-IT"/>
        </w:rPr>
        <w:t xml:space="preserve"> et al.</w:t>
      </w:r>
      <w:r w:rsidRPr="009226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1762F">
        <w:rPr>
          <w:rFonts w:ascii="Times New Roman" w:hAnsi="Times New Roman" w:cs="Times New Roman"/>
          <w:sz w:val="24"/>
          <w:szCs w:val="24"/>
        </w:rPr>
        <w:t xml:space="preserve">H4N6 influenza virus isolated from pigs in Ontario. </w:t>
      </w:r>
      <w:r w:rsidRPr="00C1762F">
        <w:rPr>
          <w:rFonts w:ascii="Times New Roman" w:hAnsi="Times New Roman" w:cs="Times New Roman"/>
          <w:i/>
          <w:sz w:val="24"/>
          <w:szCs w:val="24"/>
        </w:rPr>
        <w:t>Can Vet J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41</w:t>
      </w:r>
      <w:r w:rsidRPr="00C1762F">
        <w:rPr>
          <w:rFonts w:ascii="Times New Roman" w:hAnsi="Times New Roman" w:cs="Times New Roman"/>
          <w:sz w:val="24"/>
          <w:szCs w:val="24"/>
        </w:rPr>
        <w:t xml:space="preserve">, 938-939 (2000). </w:t>
      </w:r>
    </w:p>
    <w:p w14:paraId="45805ECA" w14:textId="3050919A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9</w:t>
      </w:r>
      <w:r w:rsidR="00922600">
        <w:rPr>
          <w:rFonts w:ascii="Times New Roman" w:hAnsi="Times New Roman" w:cs="Times New Roman"/>
          <w:sz w:val="24"/>
          <w:szCs w:val="24"/>
        </w:rPr>
        <w:t>0</w:t>
      </w:r>
      <w:r w:rsidRPr="00C1762F">
        <w:rPr>
          <w:rFonts w:ascii="Times New Roman" w:hAnsi="Times New Roman" w:cs="Times New Roman"/>
          <w:sz w:val="24"/>
          <w:szCs w:val="24"/>
        </w:rPr>
        <w:tab/>
        <w:t xml:space="preserve">Sheldon, T. Vet dies from pneumonia in avian flu case. </w:t>
      </w:r>
      <w:r w:rsidRPr="00C1762F">
        <w:rPr>
          <w:rFonts w:ascii="Times New Roman" w:hAnsi="Times New Roman" w:cs="Times New Roman"/>
          <w:i/>
          <w:sz w:val="24"/>
          <w:szCs w:val="24"/>
        </w:rPr>
        <w:t>BMJ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326</w:t>
      </w:r>
      <w:r w:rsidRPr="00C1762F">
        <w:rPr>
          <w:rFonts w:ascii="Times New Roman" w:hAnsi="Times New Roman" w:cs="Times New Roman"/>
          <w:sz w:val="24"/>
          <w:szCs w:val="24"/>
        </w:rPr>
        <w:t>, 952 (2003). https://doi.org:10.1136/bmj.326.7396.952/h</w:t>
      </w:r>
    </w:p>
    <w:p w14:paraId="68C14FA2" w14:textId="64A98EB7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9</w:t>
      </w:r>
      <w:r w:rsidR="00922600">
        <w:rPr>
          <w:rFonts w:ascii="Times New Roman" w:hAnsi="Times New Roman" w:cs="Times New Roman"/>
          <w:sz w:val="24"/>
          <w:szCs w:val="24"/>
        </w:rPr>
        <w:t>1</w:t>
      </w:r>
      <w:r w:rsidRPr="00C1762F">
        <w:rPr>
          <w:rFonts w:ascii="Times New Roman" w:hAnsi="Times New Roman" w:cs="Times New Roman"/>
          <w:sz w:val="24"/>
          <w:szCs w:val="24"/>
        </w:rPr>
        <w:tab/>
        <w:t>Katz, G.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Morphology of influenza B/Lee/40 determined by cryo-electron microscopy. </w:t>
      </w:r>
      <w:r w:rsidRPr="00C1762F">
        <w:rPr>
          <w:rFonts w:ascii="Times New Roman" w:hAnsi="Times New Roman" w:cs="Times New Roman"/>
          <w:i/>
          <w:sz w:val="24"/>
          <w:szCs w:val="24"/>
        </w:rPr>
        <w:t>PLoS One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9</w:t>
      </w:r>
      <w:r w:rsidRPr="00C1762F">
        <w:rPr>
          <w:rFonts w:ascii="Times New Roman" w:hAnsi="Times New Roman" w:cs="Times New Roman"/>
          <w:sz w:val="24"/>
          <w:szCs w:val="24"/>
        </w:rPr>
        <w:t>, e88288 (2014). https://doi.org:10.1371/journal.pone.0088288</w:t>
      </w:r>
    </w:p>
    <w:p w14:paraId="5B18FB67" w14:textId="21B526AC" w:rsidR="00E32A86" w:rsidRPr="00C1762F" w:rsidRDefault="00E32A86" w:rsidP="00E32A86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9</w:t>
      </w:r>
      <w:r w:rsidR="00922600">
        <w:rPr>
          <w:rFonts w:ascii="Times New Roman" w:hAnsi="Times New Roman" w:cs="Times New Roman"/>
          <w:sz w:val="24"/>
          <w:szCs w:val="24"/>
        </w:rPr>
        <w:t>2</w:t>
      </w:r>
      <w:r w:rsidRPr="00C1762F">
        <w:rPr>
          <w:rFonts w:ascii="Times New Roman" w:hAnsi="Times New Roman" w:cs="Times New Roman"/>
          <w:sz w:val="24"/>
          <w:szCs w:val="24"/>
        </w:rPr>
        <w:tab/>
        <w:t>Langat, P.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Genome-wide evolutionary dynamics of influenza B viruses on a global scale. </w:t>
      </w:r>
      <w:r w:rsidRPr="00C1762F">
        <w:rPr>
          <w:rFonts w:ascii="Times New Roman" w:hAnsi="Times New Roman" w:cs="Times New Roman"/>
          <w:i/>
          <w:sz w:val="24"/>
          <w:szCs w:val="24"/>
        </w:rPr>
        <w:t>PLoS Pathog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13</w:t>
      </w:r>
      <w:r w:rsidRPr="00C1762F">
        <w:rPr>
          <w:rFonts w:ascii="Times New Roman" w:hAnsi="Times New Roman" w:cs="Times New Roman"/>
          <w:sz w:val="24"/>
          <w:szCs w:val="24"/>
        </w:rPr>
        <w:t>, e1006749 (2017). https://doi.org:10.1371/journal.ppat.1006749</w:t>
      </w:r>
    </w:p>
    <w:p w14:paraId="68717A6E" w14:textId="3D648ECA" w:rsidR="00E32A86" w:rsidRPr="00C1762F" w:rsidRDefault="00E32A86" w:rsidP="00E32A8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762F">
        <w:rPr>
          <w:rFonts w:ascii="Times New Roman" w:hAnsi="Times New Roman" w:cs="Times New Roman"/>
          <w:sz w:val="24"/>
          <w:szCs w:val="24"/>
        </w:rPr>
        <w:t>9</w:t>
      </w:r>
      <w:r w:rsidR="00922600">
        <w:rPr>
          <w:rFonts w:ascii="Times New Roman" w:hAnsi="Times New Roman" w:cs="Times New Roman"/>
          <w:sz w:val="24"/>
          <w:szCs w:val="24"/>
        </w:rPr>
        <w:t>3</w:t>
      </w:r>
      <w:r w:rsidRPr="00C1762F">
        <w:rPr>
          <w:rFonts w:ascii="Times New Roman" w:hAnsi="Times New Roman" w:cs="Times New Roman"/>
          <w:sz w:val="24"/>
          <w:szCs w:val="24"/>
        </w:rPr>
        <w:tab/>
        <w:t>Oong, X. Y.</w:t>
      </w:r>
      <w:r w:rsidRPr="00C1762F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C1762F">
        <w:rPr>
          <w:rFonts w:ascii="Times New Roman" w:hAnsi="Times New Roman" w:cs="Times New Roman"/>
          <w:sz w:val="24"/>
          <w:szCs w:val="24"/>
        </w:rPr>
        <w:t xml:space="preserve"> Whole-Genome Phylogenetic Analysis of Influenza B/Phuket/3073/2013-Like Viruses and Unique Reassortants Detected in Malaysia between 2012 and 2014. </w:t>
      </w:r>
      <w:r w:rsidRPr="00C1762F">
        <w:rPr>
          <w:rFonts w:ascii="Times New Roman" w:hAnsi="Times New Roman" w:cs="Times New Roman"/>
          <w:i/>
          <w:sz w:val="24"/>
          <w:szCs w:val="24"/>
        </w:rPr>
        <w:t>PLoS One</w:t>
      </w:r>
      <w:r w:rsidRPr="00C1762F">
        <w:rPr>
          <w:rFonts w:ascii="Times New Roman" w:hAnsi="Times New Roman" w:cs="Times New Roman"/>
          <w:sz w:val="24"/>
          <w:szCs w:val="24"/>
        </w:rPr>
        <w:t xml:space="preserve"> </w:t>
      </w:r>
      <w:r w:rsidRPr="00C1762F">
        <w:rPr>
          <w:rFonts w:ascii="Times New Roman" w:hAnsi="Times New Roman" w:cs="Times New Roman"/>
          <w:b/>
          <w:sz w:val="24"/>
          <w:szCs w:val="24"/>
        </w:rPr>
        <w:t>12</w:t>
      </w:r>
      <w:r w:rsidRPr="00C1762F">
        <w:rPr>
          <w:rFonts w:ascii="Times New Roman" w:hAnsi="Times New Roman" w:cs="Times New Roman"/>
          <w:sz w:val="24"/>
          <w:szCs w:val="24"/>
        </w:rPr>
        <w:t>, e0170610 (2017). https://doi.org:10.1371/journal.pone.0170610</w:t>
      </w:r>
    </w:p>
    <w:p w14:paraId="64F0FCF9" w14:textId="77777777" w:rsidR="00E32A86" w:rsidRDefault="00E32A86"/>
    <w:sectPr w:rsidR="00E32A86" w:rsidSect="00155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3F"/>
    <w:rsid w:val="00155505"/>
    <w:rsid w:val="003B029E"/>
    <w:rsid w:val="004D1269"/>
    <w:rsid w:val="0050637E"/>
    <w:rsid w:val="0062183F"/>
    <w:rsid w:val="0063252B"/>
    <w:rsid w:val="00632D29"/>
    <w:rsid w:val="00715C4D"/>
    <w:rsid w:val="00922600"/>
    <w:rsid w:val="009650BB"/>
    <w:rsid w:val="00B87147"/>
    <w:rsid w:val="00D1313C"/>
    <w:rsid w:val="00E3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53F2"/>
  <w15:chartTrackingRefBased/>
  <w15:docId w15:val="{0A45CAE5-C170-4B9F-BDEB-BDBAE413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62183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5">
    <w:name w:val="Grid Table 5 Dark Accent 5"/>
    <w:basedOn w:val="TableNormal"/>
    <w:uiPriority w:val="50"/>
    <w:rsid w:val="00621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EndNoteBibliography">
    <w:name w:val="EndNote Bibliography"/>
    <w:basedOn w:val="Normal"/>
    <w:link w:val="EndNoteBibliographyChar"/>
    <w:rsid w:val="00E32A86"/>
    <w:pPr>
      <w:spacing w:line="240" w:lineRule="auto"/>
    </w:pPr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E32A86"/>
    <w:rPr>
      <w:rFonts w:ascii="Calibri" w:hAnsi="Calibri" w:cs="Calibri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Pizzuto</dc:creator>
  <cp:keywords/>
  <dc:description/>
  <cp:lastModifiedBy>Matteo Pizzuto</cp:lastModifiedBy>
  <cp:revision>3</cp:revision>
  <dcterms:created xsi:type="dcterms:W3CDTF">2023-05-15T12:01:00Z</dcterms:created>
  <dcterms:modified xsi:type="dcterms:W3CDTF">2023-05-15T12:04:00Z</dcterms:modified>
</cp:coreProperties>
</file>