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A2AB" w14:textId="311D841A" w:rsidR="007E17DB" w:rsidRDefault="007C30AD" w:rsidP="001D053D">
      <w:pPr>
        <w:rPr>
          <w:rStyle w:val="eop"/>
          <w:color w:val="000000"/>
          <w:shd w:val="clear" w:color="auto" w:fill="FFFFFF"/>
        </w:rPr>
      </w:pPr>
      <w:r>
        <w:rPr>
          <w:b/>
          <w:bCs/>
          <w:noProof/>
          <w:color w:val="000000"/>
          <w:shd w:val="clear" w:color="auto" w:fill="FFFFFF"/>
          <w14:ligatures w14:val="standardContextual"/>
        </w:rPr>
        <w:drawing>
          <wp:inline distT="0" distB="0" distL="0" distR="0" wp14:anchorId="5461A0A0" wp14:editId="4668916A">
            <wp:extent cx="5943600" cy="3198495"/>
            <wp:effectExtent l="0" t="0" r="0" b="1905"/>
            <wp:docPr id="24812923" name="Picture 24812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2923" name="Picture 248129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7DB">
        <w:rPr>
          <w:rStyle w:val="normaltextrun"/>
          <w:b/>
          <w:bCs/>
          <w:color w:val="000000"/>
          <w:shd w:val="clear" w:color="auto" w:fill="FFFFFF"/>
        </w:rPr>
        <w:t>Supplementary Figure 1.</w:t>
      </w:r>
      <w:r w:rsidR="007E17DB">
        <w:rPr>
          <w:rStyle w:val="normaltextrun"/>
          <w:color w:val="000000"/>
          <w:shd w:val="clear" w:color="auto" w:fill="FFFFFF"/>
        </w:rPr>
        <w:t xml:space="preserve"> </w:t>
      </w:r>
      <w:r w:rsidR="007E17DB">
        <w:rPr>
          <w:rStyle w:val="normaltextrun"/>
          <w:b/>
          <w:bCs/>
          <w:color w:val="000000"/>
          <w:shd w:val="clear" w:color="auto" w:fill="FFFFFF"/>
        </w:rPr>
        <w:t xml:space="preserve">Membrane fusion assay. </w:t>
      </w:r>
      <w:proofErr w:type="gramStart"/>
      <w:r w:rsidR="007E17DB">
        <w:rPr>
          <w:rStyle w:val="normaltextrun"/>
          <w:b/>
          <w:bCs/>
          <w:color w:val="000000"/>
          <w:shd w:val="clear" w:color="auto" w:fill="FFFFFF"/>
        </w:rPr>
        <w:t>a,</w:t>
      </w:r>
      <w:proofErr w:type="gramEnd"/>
      <w:r w:rsidR="007E17DB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007E17DB">
        <w:rPr>
          <w:rStyle w:val="normaltextrun"/>
          <w:color w:val="000000"/>
          <w:shd w:val="clear" w:color="auto" w:fill="FFFFFF"/>
        </w:rPr>
        <w:t xml:space="preserve">Representative cell-cell fusion images showing reconstitution of GFP fluorescence after 18 h. Scale bar: 1 mm. Six images were collected at each 30 minute interval for each variant S analyzed and two independent biological replicates were conducted. </w:t>
      </w:r>
      <w:r w:rsidR="007E17DB">
        <w:rPr>
          <w:rStyle w:val="normaltextrun"/>
          <w:b/>
          <w:bCs/>
          <w:color w:val="000000"/>
          <w:shd w:val="clear" w:color="auto" w:fill="FFFFFF"/>
        </w:rPr>
        <w:t>b,</w:t>
      </w:r>
      <w:r w:rsidR="007E17DB">
        <w:rPr>
          <w:rStyle w:val="normaltextrun"/>
          <w:color w:val="000000"/>
          <w:shd w:val="clear" w:color="auto" w:fill="FFFFFF"/>
        </w:rPr>
        <w:t xml:space="preserve"> Quantification of SARS-CoV-2 S surface expression by flow cytometry using the NTD-directed Ab S2L20</w:t>
      </w:r>
      <w:r w:rsidR="007E17DB">
        <w:rPr>
          <w:rStyle w:val="normaltextrun"/>
          <w:color w:val="000000"/>
          <w:sz w:val="17"/>
          <w:szCs w:val="17"/>
          <w:shd w:val="clear" w:color="auto" w:fill="E1E3E6"/>
          <w:vertAlign w:val="superscript"/>
        </w:rPr>
        <w:t>8,54</w:t>
      </w:r>
      <w:r w:rsidR="007E17DB">
        <w:rPr>
          <w:rStyle w:val="normaltextrun"/>
          <w:color w:val="000000"/>
          <w:shd w:val="clear" w:color="auto" w:fill="FFFFFF"/>
        </w:rPr>
        <w:t xml:space="preserve"> for BHK-21 GFP</w:t>
      </w:r>
      <w:r w:rsidR="007E17DB">
        <w:rPr>
          <w:rStyle w:val="normaltextrun"/>
          <w:color w:val="000000"/>
          <w:sz w:val="17"/>
          <w:szCs w:val="17"/>
          <w:shd w:val="clear" w:color="auto" w:fill="FFFFFF"/>
          <w:vertAlign w:val="subscript"/>
        </w:rPr>
        <w:t>1-10</w:t>
      </w:r>
      <w:r w:rsidR="007E17DB">
        <w:rPr>
          <w:rStyle w:val="normaltextrun"/>
          <w:color w:val="000000"/>
          <w:shd w:val="clear" w:color="auto" w:fill="FFFFFF"/>
        </w:rPr>
        <w:t xml:space="preserve"> cells transfected with Wu-G614, Delta, BA.1, BA.2, BA.4/5, BA.2.75.2, BQ.1.1, XBB.1, or XBB.1.5 S proteins. The y-axis is presented as a modal scale scaled to maximum singleton events for that plot. The percentage of S-positive cells is indicated in the top right corner based on the PE intensity relative to mock transfected (negative) cells and represented by the dashed line above each plot.</w:t>
      </w:r>
      <w:r w:rsidR="007E17DB">
        <w:rPr>
          <w:rStyle w:val="eop"/>
          <w:color w:val="000000"/>
          <w:shd w:val="clear" w:color="auto" w:fill="FFFFFF"/>
        </w:rPr>
        <w:t> </w:t>
      </w:r>
    </w:p>
    <w:p w14:paraId="5B4F38A8" w14:textId="77777777" w:rsidR="007E17DB" w:rsidRDefault="007E17DB" w:rsidP="001D053D">
      <w:pPr>
        <w:rPr>
          <w:rStyle w:val="eop"/>
          <w:color w:val="000000"/>
          <w:shd w:val="clear" w:color="auto" w:fill="FFFFFF"/>
        </w:rPr>
      </w:pPr>
    </w:p>
    <w:p w14:paraId="1C31A638" w14:textId="22E23670" w:rsidR="001D053D" w:rsidRDefault="001D053D" w:rsidP="001D053D">
      <w:pPr>
        <w:rPr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886EC4F" wp14:editId="2B245683">
            <wp:extent cx="6019101" cy="5467350"/>
            <wp:effectExtent l="0" t="0" r="0" b="0"/>
            <wp:docPr id="203569174" name="Picture 20356917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9174" name="Picture 203569174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101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83B7" w14:textId="70B2B9C4" w:rsidR="001D053D" w:rsidRPr="00A46C3C" w:rsidRDefault="001D053D" w:rsidP="001D053D">
      <w:pPr>
        <w:jc w:val="both"/>
        <w:rPr>
          <w:color w:val="000000" w:themeColor="text1"/>
        </w:rPr>
      </w:pPr>
      <w:r w:rsidRPr="4261BF7F">
        <w:rPr>
          <w:b/>
          <w:bCs/>
        </w:rPr>
        <w:t xml:space="preserve">Supplementary Figure </w:t>
      </w:r>
      <w:r w:rsidR="00A1357B">
        <w:rPr>
          <w:b/>
          <w:bCs/>
        </w:rPr>
        <w:t>2</w:t>
      </w:r>
      <w:r w:rsidRPr="4261BF7F">
        <w:rPr>
          <w:b/>
          <w:bCs/>
        </w:rPr>
        <w:t>.</w:t>
      </w:r>
      <w:r w:rsidRPr="4261BF7F">
        <w:rPr>
          <w:b/>
          <w:bCs/>
          <w:color w:val="000000" w:themeColor="text1"/>
        </w:rPr>
        <w:t xml:space="preserve"> Structural </w:t>
      </w:r>
      <w:r w:rsidRPr="179DE1C3">
        <w:rPr>
          <w:b/>
          <w:bCs/>
          <w:color w:val="000000" w:themeColor="text1"/>
        </w:rPr>
        <w:t>comparisons</w:t>
      </w:r>
      <w:r w:rsidRPr="4261BF7F">
        <w:rPr>
          <w:b/>
          <w:bCs/>
          <w:color w:val="000000" w:themeColor="text1"/>
        </w:rPr>
        <w:t xml:space="preserve"> of the Wu, </w:t>
      </w:r>
      <w:r w:rsidRPr="0AC5AC7A">
        <w:rPr>
          <w:b/>
          <w:bCs/>
          <w:color w:val="000000" w:themeColor="text1"/>
        </w:rPr>
        <w:t>BA.1, BQ</w:t>
      </w:r>
      <w:r w:rsidRPr="4261BF7F">
        <w:rPr>
          <w:b/>
          <w:bCs/>
          <w:color w:val="000000" w:themeColor="text1"/>
        </w:rPr>
        <w:t xml:space="preserve">.1.1 </w:t>
      </w:r>
      <w:r w:rsidRPr="48C59028">
        <w:rPr>
          <w:b/>
          <w:bCs/>
          <w:color w:val="000000" w:themeColor="text1"/>
        </w:rPr>
        <w:t>and</w:t>
      </w:r>
      <w:r w:rsidRPr="4261BF7F">
        <w:rPr>
          <w:b/>
          <w:bCs/>
          <w:color w:val="000000" w:themeColor="text1"/>
        </w:rPr>
        <w:t xml:space="preserve"> XBB.1 RBD interactions with human ACE2 or therapeutic antibodies.</w:t>
      </w:r>
      <w:r>
        <w:rPr>
          <w:b/>
          <w:bCs/>
          <w:color w:val="000000" w:themeColor="text1"/>
        </w:rPr>
        <w:t xml:space="preserve"> </w:t>
      </w:r>
      <w:r w:rsidRPr="3F5784D2">
        <w:rPr>
          <w:b/>
          <w:bCs/>
          <w:color w:val="000000" w:themeColor="text1"/>
        </w:rPr>
        <w:t xml:space="preserve">a-c, </w:t>
      </w:r>
      <w:r w:rsidRPr="3F5784D2">
        <w:rPr>
          <w:color w:val="000000" w:themeColor="text1"/>
        </w:rPr>
        <w:t xml:space="preserve">Zoomed-in views of the </w:t>
      </w:r>
      <w:r w:rsidRPr="14D46A9C">
        <w:rPr>
          <w:color w:val="000000" w:themeColor="text1"/>
        </w:rPr>
        <w:t>BA.1</w:t>
      </w:r>
      <w:r w:rsidRPr="3F5784D2">
        <w:rPr>
          <w:color w:val="000000" w:themeColor="text1"/>
        </w:rPr>
        <w:t xml:space="preserve"> RBD (PDB 7TN0, cyan), BQ.1.1 RBD (cyan) or</w:t>
      </w:r>
      <w:r w:rsidRPr="3F5784D2" w:rsidDel="005F2C47">
        <w:rPr>
          <w:color w:val="000000" w:themeColor="text1"/>
        </w:rPr>
        <w:t xml:space="preserve"> </w:t>
      </w:r>
      <w:r w:rsidRPr="3F5784D2">
        <w:rPr>
          <w:color w:val="000000" w:themeColor="text1"/>
        </w:rPr>
        <w:t xml:space="preserve">XBB.1 RBD (cyan) interactions with the human ACE2 ectodomain (green). </w:t>
      </w:r>
      <w:r w:rsidRPr="08C16152">
        <w:rPr>
          <w:rFonts w:eastAsia="Times New Roman"/>
          <w:color w:val="000000" w:themeColor="text1"/>
          <w:lang w:val="en-US" w:eastAsia="en-GB"/>
        </w:rPr>
        <w:t xml:space="preserve">Select </w:t>
      </w:r>
      <w:r>
        <w:rPr>
          <w:rFonts w:eastAsia="Times New Roman"/>
          <w:color w:val="000000" w:themeColor="text1"/>
          <w:lang w:val="en-US" w:eastAsia="en-GB"/>
        </w:rPr>
        <w:t xml:space="preserve">side chains are shown and </w:t>
      </w:r>
      <w:r w:rsidRPr="08C16152">
        <w:rPr>
          <w:rFonts w:eastAsia="Times New Roman"/>
          <w:color w:val="000000" w:themeColor="text1"/>
          <w:lang w:val="en-US" w:eastAsia="en-GB"/>
        </w:rPr>
        <w:t xml:space="preserve">electrostatic interactions are highlighted with </w:t>
      </w:r>
      <w:r>
        <w:rPr>
          <w:rFonts w:eastAsia="Times New Roman"/>
          <w:color w:val="000000" w:themeColor="text1"/>
          <w:lang w:val="en-US" w:eastAsia="en-GB"/>
        </w:rPr>
        <w:t>dotted</w:t>
      </w:r>
      <w:r w:rsidRPr="08C16152">
        <w:rPr>
          <w:rFonts w:eastAsia="Times New Roman"/>
          <w:color w:val="000000" w:themeColor="text1"/>
          <w:lang w:val="en-US" w:eastAsia="en-GB"/>
        </w:rPr>
        <w:t xml:space="preserve"> lines</w:t>
      </w:r>
      <w:r>
        <w:rPr>
          <w:b/>
          <w:bCs/>
          <w:color w:val="000000" w:themeColor="text1"/>
        </w:rPr>
        <w:t xml:space="preserve">. </w:t>
      </w:r>
      <w:r w:rsidRPr="3F5784D2">
        <w:rPr>
          <w:b/>
          <w:bCs/>
          <w:color w:val="000000" w:themeColor="text1"/>
        </w:rPr>
        <w:t xml:space="preserve">d, </w:t>
      </w:r>
      <w:r w:rsidRPr="3F5784D2">
        <w:rPr>
          <w:color w:val="000000" w:themeColor="text1"/>
        </w:rPr>
        <w:t xml:space="preserve">Superimposition of the LYCoV1404-bound Wu RBD (gold, PDB 7MMO) crystal structure to the ACE2- and S309-bound XBB.1 RBD (pink) </w:t>
      </w:r>
      <w:proofErr w:type="spellStart"/>
      <w:r w:rsidRPr="3F5784D2">
        <w:rPr>
          <w:color w:val="000000" w:themeColor="text1"/>
        </w:rPr>
        <w:t>cryoEM</w:t>
      </w:r>
      <w:proofErr w:type="spellEnd"/>
      <w:r w:rsidRPr="3F5784D2">
        <w:rPr>
          <w:color w:val="000000" w:themeColor="text1"/>
        </w:rPr>
        <w:t xml:space="preserve"> structure (S309 and ACE2 are not shown for clarity).</w:t>
      </w:r>
      <w:r>
        <w:rPr>
          <w:color w:val="000000" w:themeColor="text1"/>
        </w:rPr>
        <w:t xml:space="preserve"> </w:t>
      </w:r>
    </w:p>
    <w:p w14:paraId="3C43E75C" w14:textId="77777777" w:rsidR="001D053D" w:rsidRDefault="001D053D" w:rsidP="001D053D">
      <w:pPr>
        <w:spacing w:line="253" w:lineRule="exact"/>
        <w:jc w:val="both"/>
        <w:rPr>
          <w:color w:val="000000" w:themeColor="text1"/>
        </w:rPr>
      </w:pPr>
    </w:p>
    <w:p w14:paraId="140F9322" w14:textId="77777777" w:rsidR="001D053D" w:rsidRDefault="001D053D" w:rsidP="001D053D">
      <w:pPr>
        <w:rPr>
          <w:b/>
          <w:bCs/>
        </w:rPr>
      </w:pPr>
    </w:p>
    <w:p w14:paraId="348C499B" w14:textId="77777777" w:rsidR="001D053D" w:rsidRDefault="001D053D" w:rsidP="001D053D">
      <w:pPr>
        <w:jc w:val="both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2C17A1D4" wp14:editId="21A80B5F">
            <wp:extent cx="3594100" cy="427990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09960" w14:textId="77777777" w:rsidR="001D053D" w:rsidRPr="00C33242" w:rsidRDefault="001D053D" w:rsidP="001D053D">
      <w:pPr>
        <w:jc w:val="both"/>
        <w:rPr>
          <w:color w:val="000000" w:themeColor="text1"/>
        </w:rPr>
      </w:pPr>
    </w:p>
    <w:p w14:paraId="1D38B817" w14:textId="138D92FC" w:rsidR="001D053D" w:rsidRPr="004778D4" w:rsidRDefault="001D053D" w:rsidP="001D053D">
      <w:pPr>
        <w:rPr>
          <w:b/>
          <w:bCs/>
        </w:rPr>
      </w:pPr>
      <w:r w:rsidRPr="001B2E59">
        <w:rPr>
          <w:b/>
          <w:bCs/>
        </w:rPr>
        <w:t xml:space="preserve">Supplementary </w:t>
      </w:r>
      <w:r>
        <w:rPr>
          <w:b/>
          <w:bCs/>
        </w:rPr>
        <w:t xml:space="preserve">Figure </w:t>
      </w:r>
      <w:r w:rsidR="00A1357B">
        <w:rPr>
          <w:b/>
          <w:bCs/>
        </w:rPr>
        <w:t>3</w:t>
      </w:r>
      <w:r>
        <w:rPr>
          <w:b/>
          <w:color w:val="000000" w:themeColor="text1"/>
        </w:rPr>
        <w:t xml:space="preserve">. </w:t>
      </w:r>
      <w:r w:rsidRPr="0087047F">
        <w:rPr>
          <w:color w:val="000000" w:themeColor="text1"/>
        </w:rPr>
        <w:t xml:space="preserve">BN.1 </w:t>
      </w:r>
      <w:proofErr w:type="spellStart"/>
      <w:r>
        <w:rPr>
          <w:color w:val="000000" w:themeColor="text1"/>
        </w:rPr>
        <w:t>cryoEM</w:t>
      </w:r>
      <w:proofErr w:type="spellEnd"/>
      <w:r>
        <w:rPr>
          <w:color w:val="000000" w:themeColor="text1"/>
        </w:rPr>
        <w:t xml:space="preserve"> </w:t>
      </w:r>
      <w:r w:rsidRPr="0087047F">
        <w:rPr>
          <w:color w:val="000000" w:themeColor="text1"/>
        </w:rPr>
        <w:t xml:space="preserve">structure showing </w:t>
      </w:r>
      <w:r>
        <w:rPr>
          <w:color w:val="000000" w:themeColor="text1"/>
        </w:rPr>
        <w:t xml:space="preserve">the position of the </w:t>
      </w:r>
      <w:r w:rsidRPr="0087047F">
        <w:rPr>
          <w:color w:val="000000" w:themeColor="text1"/>
        </w:rPr>
        <w:t>N354 glycan</w:t>
      </w:r>
      <w:r>
        <w:rPr>
          <w:color w:val="000000" w:themeColor="text1"/>
        </w:rPr>
        <w:t xml:space="preserve"> relative to S309</w:t>
      </w:r>
      <w:r>
        <w:rPr>
          <w:bCs/>
          <w:color w:val="000000" w:themeColor="text1"/>
        </w:rPr>
        <w:t>.</w:t>
      </w:r>
    </w:p>
    <w:p w14:paraId="23FB1762" w14:textId="77777777" w:rsidR="001D053D" w:rsidRDefault="001D053D" w:rsidP="001D053D">
      <w:pPr>
        <w:rPr>
          <w:b/>
          <w:bCs/>
          <w:color w:val="000000" w:themeColor="text1"/>
        </w:rPr>
      </w:pPr>
    </w:p>
    <w:p w14:paraId="72BCD9F3" w14:textId="77777777" w:rsidR="001D053D" w:rsidRDefault="001D053D" w:rsidP="001D053D">
      <w:pPr>
        <w:rPr>
          <w:b/>
          <w:bCs/>
          <w:color w:val="000000" w:themeColor="text1"/>
        </w:rPr>
      </w:pPr>
    </w:p>
    <w:p w14:paraId="520226D4" w14:textId="77777777" w:rsidR="001D053D" w:rsidRDefault="001D053D" w:rsidP="001D053D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46C90EAF" wp14:editId="2A451AE1">
            <wp:extent cx="5935980" cy="7018020"/>
            <wp:effectExtent l="0" t="0" r="7620" b="0"/>
            <wp:docPr id="522628317" name="Picture 522628317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28317" name="Picture 522628317" descr="A picture containing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86E0E" w14:textId="544550E3" w:rsidR="001D053D" w:rsidRDefault="001D053D" w:rsidP="001D053D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Supplementary Fig. </w:t>
      </w:r>
      <w:r w:rsidR="00A1357B">
        <w:rPr>
          <w:b/>
          <w:bCs/>
          <w:color w:val="000000" w:themeColor="text1"/>
        </w:rPr>
        <w:t>4</w:t>
      </w:r>
      <w:r>
        <w:rPr>
          <w:b/>
          <w:bCs/>
          <w:color w:val="000000" w:themeColor="text1"/>
        </w:rPr>
        <w:t xml:space="preserve">. </w:t>
      </w:r>
      <w:r w:rsidR="001E5666" w:rsidRPr="005E2193">
        <w:t xml:space="preserve">Dose-response plasma neutralization curves for cohorts </w:t>
      </w:r>
      <w:proofErr w:type="spellStart"/>
      <w:r w:rsidR="001E5666" w:rsidRPr="005E2193">
        <w:t>i</w:t>
      </w:r>
      <w:proofErr w:type="spellEnd"/>
      <w:r w:rsidR="001E5666" w:rsidRPr="005E2193">
        <w:t>-iv. Means of duplicates ± standard deviation of one representative experiment of at least two biological replicates are presented.</w:t>
      </w:r>
    </w:p>
    <w:p w14:paraId="6DC2DD29" w14:textId="77777777" w:rsidR="001D053D" w:rsidRDefault="001D053D" w:rsidP="001D053D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3824F245" wp14:editId="7C6F144F">
            <wp:extent cx="5943600" cy="6028055"/>
            <wp:effectExtent l="0" t="0" r="0" b="0"/>
            <wp:docPr id="1142887746" name="Picture 114288774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87746" name="Picture 2" descr="Shap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8A1F" w14:textId="023D0310" w:rsidR="00697120" w:rsidRPr="005E2193" w:rsidRDefault="001D053D" w:rsidP="00697120">
      <w:r>
        <w:rPr>
          <w:b/>
          <w:bCs/>
          <w:color w:val="000000" w:themeColor="text1"/>
        </w:rPr>
        <w:t xml:space="preserve">Supplementary Fig. </w:t>
      </w:r>
      <w:r w:rsidR="00697120">
        <w:rPr>
          <w:b/>
          <w:bCs/>
          <w:color w:val="000000" w:themeColor="text1"/>
        </w:rPr>
        <w:t>5</w:t>
      </w:r>
      <w:r>
        <w:rPr>
          <w:b/>
          <w:bCs/>
          <w:color w:val="000000" w:themeColor="text1"/>
        </w:rPr>
        <w:t xml:space="preserve">. </w:t>
      </w:r>
    </w:p>
    <w:p w14:paraId="3D060967" w14:textId="08149C60" w:rsidR="00697120" w:rsidRPr="005E2193" w:rsidRDefault="00697120" w:rsidP="00697120">
      <w:r w:rsidRPr="005E2193">
        <w:t xml:space="preserve">Dose-response plasma neutralization curves for cohorts v-viii. Means ± standard deviation of two </w:t>
      </w:r>
      <w:r w:rsidR="00464FD7">
        <w:t>technical</w:t>
      </w:r>
      <w:r w:rsidR="00464FD7" w:rsidRPr="005E2193">
        <w:t xml:space="preserve"> </w:t>
      </w:r>
      <w:r w:rsidRPr="005E2193">
        <w:t xml:space="preserve">replicates </w:t>
      </w:r>
      <w:r w:rsidR="00024709">
        <w:t xml:space="preserve">from </w:t>
      </w:r>
      <w:r w:rsidR="00024709" w:rsidRPr="005E2193">
        <w:t>of one representative experiment</w:t>
      </w:r>
      <w:r w:rsidRPr="005E2193">
        <w:t xml:space="preserve"> are </w:t>
      </w:r>
      <w:r w:rsidR="00464FD7">
        <w:t>shown</w:t>
      </w:r>
      <w:r w:rsidRPr="005E2193">
        <w:t>.</w:t>
      </w:r>
    </w:p>
    <w:p w14:paraId="32787733" w14:textId="77777777" w:rsidR="001D053D" w:rsidRDefault="001D053D" w:rsidP="001D053D">
      <w:pPr>
        <w:rPr>
          <w:b/>
          <w:bCs/>
          <w:color w:val="000000" w:themeColor="text1"/>
        </w:rPr>
      </w:pPr>
    </w:p>
    <w:p w14:paraId="5281A044" w14:textId="77777777" w:rsidR="001D053D" w:rsidRDefault="001D053D" w:rsidP="001D053D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4C6B1355" wp14:editId="42D18ECD">
            <wp:extent cx="5949887" cy="3395133"/>
            <wp:effectExtent l="0" t="0" r="0" b="0"/>
            <wp:docPr id="2107637261" name="Picture 210763726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37261" name="Picture 4" descr="Chart, scatt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4629" cy="34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0017" w14:textId="078CE833" w:rsidR="00FB1C7E" w:rsidRPr="005E2193" w:rsidRDefault="001D053D" w:rsidP="00FB1C7E">
      <w:pPr>
        <w:autoSpaceDE w:val="0"/>
        <w:autoSpaceDN w:val="0"/>
        <w:adjustRightInd w:val="0"/>
      </w:pPr>
      <w:r>
        <w:rPr>
          <w:b/>
          <w:bCs/>
          <w:color w:val="000000" w:themeColor="text1"/>
        </w:rPr>
        <w:t xml:space="preserve">Supplementary Fig. </w:t>
      </w:r>
      <w:r w:rsidR="00FB1C7E">
        <w:rPr>
          <w:b/>
          <w:bCs/>
          <w:color w:val="000000" w:themeColor="text1"/>
        </w:rPr>
        <w:t>6</w:t>
      </w:r>
      <w:r>
        <w:rPr>
          <w:b/>
          <w:bCs/>
          <w:color w:val="000000" w:themeColor="text1"/>
        </w:rPr>
        <w:t xml:space="preserve">. </w:t>
      </w:r>
      <w:r w:rsidR="00FB1C7E" w:rsidRPr="005E2193">
        <w:t xml:space="preserve">MBC-derived RBD-directed </w:t>
      </w:r>
      <w:proofErr w:type="spellStart"/>
      <w:r w:rsidR="00FB1C7E" w:rsidRPr="005E2193">
        <w:t>IgGs</w:t>
      </w:r>
      <w:proofErr w:type="spellEnd"/>
      <w:r w:rsidR="00FB1C7E" w:rsidRPr="005E2193">
        <w:t xml:space="preserve"> inhibiting binding of ACE2 to BQ.1.1 or to XBB.1 RBDs are depicted in red from cohorts vii and viii at 14 days (a) and 3 months (b) after last vaccination. Total and ACE2-inhibiting (ACE2inh) RBD-directed IgG positive cultures are indicated above each graph and reactivity frequencies within each quadrant.</w:t>
      </w:r>
    </w:p>
    <w:p w14:paraId="51EE2825" w14:textId="4053C493" w:rsidR="001D053D" w:rsidRPr="008954A7" w:rsidRDefault="001D053D" w:rsidP="001D053D">
      <w:pPr>
        <w:jc w:val="both"/>
        <w:rPr>
          <w:color w:val="000000" w:themeColor="text1"/>
        </w:rPr>
      </w:pPr>
    </w:p>
    <w:p w14:paraId="2EE58E3D" w14:textId="77777777" w:rsidR="00271A8F" w:rsidRDefault="00356FE7"/>
    <w:sectPr w:rsidR="00271A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3D"/>
    <w:rsid w:val="000039C8"/>
    <w:rsid w:val="0001148E"/>
    <w:rsid w:val="00024709"/>
    <w:rsid w:val="00036BC1"/>
    <w:rsid w:val="00040571"/>
    <w:rsid w:val="00047526"/>
    <w:rsid w:val="000609FC"/>
    <w:rsid w:val="00067F86"/>
    <w:rsid w:val="000837C7"/>
    <w:rsid w:val="000A14B6"/>
    <w:rsid w:val="000A7B26"/>
    <w:rsid w:val="000B0165"/>
    <w:rsid w:val="000B69B5"/>
    <w:rsid w:val="000D30F6"/>
    <w:rsid w:val="000D4481"/>
    <w:rsid w:val="000F2649"/>
    <w:rsid w:val="000F366C"/>
    <w:rsid w:val="00114F03"/>
    <w:rsid w:val="00132B09"/>
    <w:rsid w:val="001406E3"/>
    <w:rsid w:val="001549C8"/>
    <w:rsid w:val="001628B0"/>
    <w:rsid w:val="00177788"/>
    <w:rsid w:val="001B74DE"/>
    <w:rsid w:val="001C4430"/>
    <w:rsid w:val="001D053D"/>
    <w:rsid w:val="001E02F6"/>
    <w:rsid w:val="001E5666"/>
    <w:rsid w:val="001F2FB0"/>
    <w:rsid w:val="001F6994"/>
    <w:rsid w:val="00207D7F"/>
    <w:rsid w:val="00220AA3"/>
    <w:rsid w:val="002220BF"/>
    <w:rsid w:val="002270F8"/>
    <w:rsid w:val="00236932"/>
    <w:rsid w:val="002375A0"/>
    <w:rsid w:val="00244654"/>
    <w:rsid w:val="0025496D"/>
    <w:rsid w:val="002557D3"/>
    <w:rsid w:val="00256A65"/>
    <w:rsid w:val="0026151B"/>
    <w:rsid w:val="00272BCD"/>
    <w:rsid w:val="0028248C"/>
    <w:rsid w:val="002934CC"/>
    <w:rsid w:val="002B7C63"/>
    <w:rsid w:val="002F1189"/>
    <w:rsid w:val="002F5C17"/>
    <w:rsid w:val="00301461"/>
    <w:rsid w:val="00307D9F"/>
    <w:rsid w:val="00356FE7"/>
    <w:rsid w:val="0038511F"/>
    <w:rsid w:val="004015B3"/>
    <w:rsid w:val="00401D88"/>
    <w:rsid w:val="00420E51"/>
    <w:rsid w:val="004226D5"/>
    <w:rsid w:val="00441119"/>
    <w:rsid w:val="00442DCF"/>
    <w:rsid w:val="00454A03"/>
    <w:rsid w:val="00464FD7"/>
    <w:rsid w:val="004657FB"/>
    <w:rsid w:val="00467B1B"/>
    <w:rsid w:val="00470563"/>
    <w:rsid w:val="00473878"/>
    <w:rsid w:val="004A7C19"/>
    <w:rsid w:val="004C0D21"/>
    <w:rsid w:val="004E354F"/>
    <w:rsid w:val="004F0105"/>
    <w:rsid w:val="004F1FF7"/>
    <w:rsid w:val="005021A0"/>
    <w:rsid w:val="005169F0"/>
    <w:rsid w:val="0053622D"/>
    <w:rsid w:val="00536D05"/>
    <w:rsid w:val="0056176E"/>
    <w:rsid w:val="00567486"/>
    <w:rsid w:val="005769D4"/>
    <w:rsid w:val="00581D59"/>
    <w:rsid w:val="00592E98"/>
    <w:rsid w:val="005A08F1"/>
    <w:rsid w:val="005C53AD"/>
    <w:rsid w:val="005C7F2A"/>
    <w:rsid w:val="005D2979"/>
    <w:rsid w:val="005E3CFF"/>
    <w:rsid w:val="005E4455"/>
    <w:rsid w:val="005F0093"/>
    <w:rsid w:val="00603A40"/>
    <w:rsid w:val="00621571"/>
    <w:rsid w:val="0062303A"/>
    <w:rsid w:val="00643644"/>
    <w:rsid w:val="006763DC"/>
    <w:rsid w:val="00697120"/>
    <w:rsid w:val="006A44F1"/>
    <w:rsid w:val="006B5D74"/>
    <w:rsid w:val="006C516F"/>
    <w:rsid w:val="006C7ED5"/>
    <w:rsid w:val="006F0489"/>
    <w:rsid w:val="00704FB3"/>
    <w:rsid w:val="0071038C"/>
    <w:rsid w:val="00710EC0"/>
    <w:rsid w:val="00727C8D"/>
    <w:rsid w:val="0073629D"/>
    <w:rsid w:val="00740837"/>
    <w:rsid w:val="00762A5A"/>
    <w:rsid w:val="0076644B"/>
    <w:rsid w:val="007800A3"/>
    <w:rsid w:val="00783BF8"/>
    <w:rsid w:val="007A620C"/>
    <w:rsid w:val="007C30AD"/>
    <w:rsid w:val="007D2A72"/>
    <w:rsid w:val="007E17A3"/>
    <w:rsid w:val="007E17DB"/>
    <w:rsid w:val="007F23E6"/>
    <w:rsid w:val="007F5B8C"/>
    <w:rsid w:val="00801905"/>
    <w:rsid w:val="008111F2"/>
    <w:rsid w:val="0083494A"/>
    <w:rsid w:val="00836F02"/>
    <w:rsid w:val="00857DB4"/>
    <w:rsid w:val="008A1259"/>
    <w:rsid w:val="008A243F"/>
    <w:rsid w:val="008B6A12"/>
    <w:rsid w:val="008C2942"/>
    <w:rsid w:val="008C431C"/>
    <w:rsid w:val="008D0B2E"/>
    <w:rsid w:val="008E5EA1"/>
    <w:rsid w:val="008F3D6C"/>
    <w:rsid w:val="009160F5"/>
    <w:rsid w:val="009602E9"/>
    <w:rsid w:val="00965DE9"/>
    <w:rsid w:val="00971606"/>
    <w:rsid w:val="009963B1"/>
    <w:rsid w:val="009B567D"/>
    <w:rsid w:val="009D3D77"/>
    <w:rsid w:val="009D5417"/>
    <w:rsid w:val="009F0E04"/>
    <w:rsid w:val="00A1357B"/>
    <w:rsid w:val="00A17AAF"/>
    <w:rsid w:val="00A41AB6"/>
    <w:rsid w:val="00A910A2"/>
    <w:rsid w:val="00A9693B"/>
    <w:rsid w:val="00AB0CF3"/>
    <w:rsid w:val="00AD2F39"/>
    <w:rsid w:val="00AF5BFF"/>
    <w:rsid w:val="00AF5C5D"/>
    <w:rsid w:val="00B22F21"/>
    <w:rsid w:val="00B25C2C"/>
    <w:rsid w:val="00B366BF"/>
    <w:rsid w:val="00B37D3E"/>
    <w:rsid w:val="00B4325B"/>
    <w:rsid w:val="00B50142"/>
    <w:rsid w:val="00B53DAD"/>
    <w:rsid w:val="00B66A95"/>
    <w:rsid w:val="00B810F6"/>
    <w:rsid w:val="00B85751"/>
    <w:rsid w:val="00B915BB"/>
    <w:rsid w:val="00BA08E2"/>
    <w:rsid w:val="00BA0A9A"/>
    <w:rsid w:val="00BB2D67"/>
    <w:rsid w:val="00C0046C"/>
    <w:rsid w:val="00C02FD8"/>
    <w:rsid w:val="00C077EE"/>
    <w:rsid w:val="00C23EB7"/>
    <w:rsid w:val="00C408F2"/>
    <w:rsid w:val="00C42E4B"/>
    <w:rsid w:val="00C50A1D"/>
    <w:rsid w:val="00C76271"/>
    <w:rsid w:val="00C812F5"/>
    <w:rsid w:val="00C8428F"/>
    <w:rsid w:val="00C85F33"/>
    <w:rsid w:val="00C92253"/>
    <w:rsid w:val="00CA48D7"/>
    <w:rsid w:val="00CC3A10"/>
    <w:rsid w:val="00CD58F5"/>
    <w:rsid w:val="00CE7F8A"/>
    <w:rsid w:val="00D21437"/>
    <w:rsid w:val="00D35A70"/>
    <w:rsid w:val="00D4530A"/>
    <w:rsid w:val="00D51F29"/>
    <w:rsid w:val="00D626EF"/>
    <w:rsid w:val="00D77FF8"/>
    <w:rsid w:val="00D9466F"/>
    <w:rsid w:val="00DA7552"/>
    <w:rsid w:val="00DC7D06"/>
    <w:rsid w:val="00DD6FF4"/>
    <w:rsid w:val="00DD7753"/>
    <w:rsid w:val="00DE2A7A"/>
    <w:rsid w:val="00DE5E78"/>
    <w:rsid w:val="00DF05AF"/>
    <w:rsid w:val="00DF0BC0"/>
    <w:rsid w:val="00DF3DD6"/>
    <w:rsid w:val="00E0391A"/>
    <w:rsid w:val="00E05661"/>
    <w:rsid w:val="00E24811"/>
    <w:rsid w:val="00E7263F"/>
    <w:rsid w:val="00E805B5"/>
    <w:rsid w:val="00E84EF1"/>
    <w:rsid w:val="00E94D08"/>
    <w:rsid w:val="00EA641C"/>
    <w:rsid w:val="00EA7774"/>
    <w:rsid w:val="00EB2F4B"/>
    <w:rsid w:val="00EC7BDF"/>
    <w:rsid w:val="00ED14C1"/>
    <w:rsid w:val="00ED3D35"/>
    <w:rsid w:val="00ED680D"/>
    <w:rsid w:val="00EE092A"/>
    <w:rsid w:val="00EE4458"/>
    <w:rsid w:val="00EE6BC3"/>
    <w:rsid w:val="00EF22DB"/>
    <w:rsid w:val="00EF6977"/>
    <w:rsid w:val="00F04619"/>
    <w:rsid w:val="00F32EA8"/>
    <w:rsid w:val="00F5035D"/>
    <w:rsid w:val="00F57AE3"/>
    <w:rsid w:val="00F829C5"/>
    <w:rsid w:val="00FB1C7E"/>
    <w:rsid w:val="00FB4395"/>
    <w:rsid w:val="00FB44CB"/>
    <w:rsid w:val="00FB5856"/>
    <w:rsid w:val="00FC3E9E"/>
    <w:rsid w:val="00FD1931"/>
    <w:rsid w:val="00FD6E09"/>
    <w:rsid w:val="00FE6F1A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07B5BE"/>
  <w15:chartTrackingRefBased/>
  <w15:docId w15:val="{F3FB218B-F68C-584B-85DB-A44DC9FB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53D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1357B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7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customStyle="1" w:styleId="normaltextrun">
    <w:name w:val="normaltextrun"/>
    <w:basedOn w:val="DefaultParagraphFont"/>
    <w:rsid w:val="007E17DB"/>
  </w:style>
  <w:style w:type="character" w:customStyle="1" w:styleId="eop">
    <w:name w:val="eop"/>
    <w:basedOn w:val="DefaultParagraphFont"/>
    <w:rsid w:val="007E1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Corti</dc:creator>
  <cp:keywords/>
  <dc:description/>
  <cp:lastModifiedBy>Davide Corti</cp:lastModifiedBy>
  <cp:revision>14</cp:revision>
  <dcterms:created xsi:type="dcterms:W3CDTF">2023-04-12T18:51:00Z</dcterms:created>
  <dcterms:modified xsi:type="dcterms:W3CDTF">2023-06-19T12:03:00Z</dcterms:modified>
</cp:coreProperties>
</file>