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42C75" w14:textId="77777777" w:rsidR="00982466" w:rsidRPr="00982466" w:rsidRDefault="00982466" w:rsidP="00982466">
      <w:pPr>
        <w:spacing w:line="480" w:lineRule="auto"/>
        <w:rPr>
          <w:b/>
          <w:bCs/>
        </w:rPr>
      </w:pPr>
      <w:r w:rsidRPr="00982466">
        <w:rPr>
          <w:b/>
          <w:bCs/>
        </w:rPr>
        <w:t>Supplementary Methods</w:t>
      </w:r>
    </w:p>
    <w:p w14:paraId="441A4F0F" w14:textId="77777777" w:rsidR="00982466" w:rsidRPr="00982466" w:rsidRDefault="00982466" w:rsidP="00982466">
      <w:pPr>
        <w:spacing w:line="480" w:lineRule="auto"/>
        <w:rPr>
          <w:b/>
          <w:bCs/>
        </w:rPr>
      </w:pPr>
      <w:r w:rsidRPr="00982466">
        <w:rPr>
          <w:b/>
          <w:bCs/>
        </w:rPr>
        <w:t>Derivation and culture of ear punch derived cells (EPDCs)</w:t>
      </w:r>
    </w:p>
    <w:p w14:paraId="4057C206" w14:textId="77777777" w:rsidR="00982466" w:rsidRPr="00982466" w:rsidRDefault="00982466" w:rsidP="00982466">
      <w:pPr>
        <w:spacing w:line="480" w:lineRule="auto"/>
      </w:pPr>
      <w:r w:rsidRPr="00982466">
        <w:t>Ear punch samples (5 mm diameter) were excised from newborn Yucatan pigs, minced, and digested with collagenase type IV (1 mg/mL, dissolved in EPDC culture media described below) (C5138, Sigma Aldrich, St. Louis, MO) at 37°C in a shaker (100 RPM) for 1 hour. The cell suspension was centrifuged at 400 xg for 4 minutes at room temperature, cell pellet resuspended in EPDC culture media, plated onto two 10-cm culture dishes (353003, CORNING, Corning, NY) pre-coated with 0.2% gelatin (J62699, Alfa Aesar, Tewksbury, MA), and cultured as described below. Porcine primary EPDCs were cultured in Dulbecco’s modified Eagle’s medium (DMEM) (10569010, Thermo Fisher), supplemented with 20% heat-inactivated fetal bovine serum (FBS) (10438026, Thermo Fisher), 10 mM HEPES (15630080, Thermo Fisher), and 100 U/mL Penicillin/Streptomycin (Pen/Strep) (15140122, Thermo Fisher). Immediately before use, recombinant human fibroblast growth factor, basic, (bFGF) (PHG0266, Thermo Fisher) was added to a final concentration of 5 ng/mL. All cell culture was conducted in a humidified tri-gas (5% CO</w:t>
      </w:r>
      <w:r w:rsidRPr="00982466">
        <w:rPr>
          <w:vertAlign w:val="subscript"/>
        </w:rPr>
        <w:t>2</w:t>
      </w:r>
      <w:r w:rsidRPr="00982466">
        <w:t>, 90% N</w:t>
      </w:r>
      <w:r w:rsidRPr="00982466">
        <w:rPr>
          <w:vertAlign w:val="subscript"/>
        </w:rPr>
        <w:t>2</w:t>
      </w:r>
      <w:r w:rsidRPr="00982466">
        <w:t>, and 5% O</w:t>
      </w:r>
      <w:r w:rsidRPr="00982466">
        <w:rPr>
          <w:vertAlign w:val="subscript"/>
        </w:rPr>
        <w:t>2</w:t>
      </w:r>
      <w:r w:rsidRPr="00982466">
        <w:t>) incubator (Heracell VIOS 160i, 51033557, Thermo Fisher) set at 37°C.</w:t>
      </w:r>
    </w:p>
    <w:p w14:paraId="01BB3647" w14:textId="77777777" w:rsidR="00982466" w:rsidRPr="00982466" w:rsidRDefault="00982466" w:rsidP="00982466">
      <w:pPr>
        <w:spacing w:before="240" w:line="480" w:lineRule="auto"/>
        <w:rPr>
          <w:b/>
          <w:bCs/>
        </w:rPr>
      </w:pPr>
      <w:r w:rsidRPr="00982466">
        <w:rPr>
          <w:b/>
          <w:bCs/>
        </w:rPr>
        <w:t>Derivation and culture of primary porcine kidney endothelial cells (KECs)</w:t>
      </w:r>
    </w:p>
    <w:p w14:paraId="061DE9F5" w14:textId="77777777" w:rsidR="00982466" w:rsidRPr="00982466" w:rsidRDefault="00982466" w:rsidP="00982466">
      <w:pPr>
        <w:spacing w:line="480" w:lineRule="auto"/>
      </w:pPr>
      <w:r w:rsidRPr="00982466">
        <w:t>Kidney cortex (5 cm</w:t>
      </w:r>
      <w:r w:rsidRPr="00982466">
        <w:rPr>
          <w:vertAlign w:val="superscript"/>
        </w:rPr>
        <w:t>2</w:t>
      </w:r>
      <w:r w:rsidRPr="00982466">
        <w:t>) was excised, minced, and digested in collagenase type IV (1 mg/mL) dissolved in HBSS (MT-20023CV, Thermo Fisher) for 30 minutes at 37</w:t>
      </w:r>
      <w:r w:rsidRPr="00982466">
        <w:rPr>
          <w:vertAlign w:val="superscript"/>
        </w:rPr>
        <w:t>o</w:t>
      </w:r>
      <w:r w:rsidRPr="00982466">
        <w:t xml:space="preserve">C. The cell suspension was filtered, the pellet was resuspended in endothelial cell base medium of DMEM (10313021, Thermo Fisher), 10% heat-inactivated FBS, 1X GlutaMAX (35050061, Thermo Fisher), 10 mM HEPES, 100 U/mL Pen/Strep, and 0.5 mg/mL Primocin (ant-pm-1, InvivoGen, San Diego, CA), and cell suspension plated into 1-3 T-175 flasks pre-coated with 0.2% gelatin solution. After </w:t>
      </w:r>
      <w:r w:rsidRPr="00982466">
        <w:lastRenderedPageBreak/>
        <w:t xml:space="preserve">plating the cells, 100 µg/mL (2X) endothelial cell growth supplement (ECGS) (354006, Corning) was added to each flask for culturing. The cells were stained with Alexa Fluor 647-conjugated porcine CD31 antibody (FAB33871R-100UG, R&amp;D Systems, Minneapolis, MN), and sorted for CD31 expression on a Beckman Coulter MoFlo Astrios EQ, BD FACSMelody, or Thermo Fisher Bigfoot Spectral cell sorter. Cell culture was conducted in a humidified incubator set at 37°C in 5% CO2. </w:t>
      </w:r>
    </w:p>
    <w:p w14:paraId="44A51D45" w14:textId="77777777" w:rsidR="00982466" w:rsidRPr="00982466" w:rsidRDefault="00982466" w:rsidP="00982466">
      <w:pPr>
        <w:spacing w:before="240" w:line="480" w:lineRule="auto"/>
        <w:rPr>
          <w:b/>
          <w:bCs/>
        </w:rPr>
      </w:pPr>
      <w:r w:rsidRPr="00982466">
        <w:rPr>
          <w:b/>
          <w:bCs/>
        </w:rPr>
        <w:t>Derivation of primary aortic endothelial cells (AECs)</w:t>
      </w:r>
    </w:p>
    <w:p w14:paraId="0D60B28E" w14:textId="77777777" w:rsidR="00982466" w:rsidRPr="00982466" w:rsidRDefault="00982466" w:rsidP="00982466">
      <w:pPr>
        <w:spacing w:line="480" w:lineRule="auto"/>
      </w:pPr>
      <w:r w:rsidRPr="00982466">
        <w:t xml:space="preserve">A segment of the thoracic and abdominal aorta was excised, cut open lengthwise, submerged in a conical tube containing 20 mL of HBSS, and digested with collagenase type IV (0.5 mg/mL) on a rotating platform at room temperature for 1 hour. Subsequently, endothelial cells were scraped from the inner lining of the aorta and combined with the dissociation solution. The sample was filtered, centrifuged, and the pellet was resuspended in endothelial medium supplemented with 100 µg/mL (2X) ECGS, and plated directly on a gelatin coated 10-cm tissue culture dish. Cell sorting for porcine CD31 and post-sort culturing was performed as described above for KECs. Cell culture was conducted in a humidified incubator set at 37°C in 5% CO2. </w:t>
      </w:r>
    </w:p>
    <w:p w14:paraId="51AEBB9D" w14:textId="77777777" w:rsidR="00982466" w:rsidRPr="00982466" w:rsidRDefault="00982466" w:rsidP="00982466">
      <w:pPr>
        <w:spacing w:before="240" w:line="480" w:lineRule="auto"/>
        <w:rPr>
          <w:b/>
          <w:bCs/>
        </w:rPr>
      </w:pPr>
      <w:r w:rsidRPr="00982466">
        <w:rPr>
          <w:b/>
          <w:bCs/>
        </w:rPr>
        <w:t>Derivation and culture of kidney cortex derived cells (KCDCs)</w:t>
      </w:r>
    </w:p>
    <w:p w14:paraId="3760618F" w14:textId="77777777" w:rsidR="00982466" w:rsidRPr="00982466" w:rsidRDefault="00982466" w:rsidP="00982466">
      <w:pPr>
        <w:spacing w:line="480" w:lineRule="auto"/>
      </w:pPr>
      <w:r w:rsidRPr="00982466">
        <w:t>Tissue processing was performed as described above for KECs except cells (without sorting) were plated in T-175 flasks in a complete kidney cell media of DMEM (10313021, Thermo Fisher), 20% heat-inactivated FBS, 100 U/mL Pen/Strep, 1x non-essential amino acids (NEAA) (11140-050, Gibco), 0.1% beta Mercaptoethanol (ES-007-E, EMD Millipore) without the addition of ECGS. KCDC culturing was conducted in a humidified tri-gas incubator set at 37°C.</w:t>
      </w:r>
    </w:p>
    <w:p w14:paraId="078B7788" w14:textId="77777777" w:rsidR="00982466" w:rsidRPr="00982466" w:rsidRDefault="00982466" w:rsidP="00982466">
      <w:pPr>
        <w:spacing w:line="480" w:lineRule="auto"/>
      </w:pPr>
    </w:p>
    <w:p w14:paraId="0C7541F3" w14:textId="77777777" w:rsidR="00982466" w:rsidRPr="00982466" w:rsidRDefault="00982466" w:rsidP="00982466">
      <w:pPr>
        <w:spacing w:line="480" w:lineRule="auto"/>
        <w:rPr>
          <w:b/>
          <w:bCs/>
        </w:rPr>
      </w:pPr>
      <w:r w:rsidRPr="00982466">
        <w:rPr>
          <w:b/>
          <w:bCs/>
        </w:rPr>
        <w:t>Generation of individual gene and transcription cassette-expressing kidney cells</w:t>
      </w:r>
    </w:p>
    <w:p w14:paraId="096FBAD5" w14:textId="77777777" w:rsidR="00982466" w:rsidRPr="00982466" w:rsidRDefault="00982466" w:rsidP="00982466">
      <w:pPr>
        <w:spacing w:line="480" w:lineRule="auto"/>
      </w:pPr>
      <w:r w:rsidRPr="00982466">
        <w:lastRenderedPageBreak/>
        <w:t>For each plasmid, complementary DNA for a gene or a polycistronic cassette carrying 2-3 genes was separated from a marker GFP sequence by an internal ribosome entry site (IRES) sequence, expression driven by the CAG promoter, and terminated by the bovine growth hormone polyadenylation signal. Constructs were assembled using the HiFi DNA Assembly Master Mix (E2621, NEB, Ispwich, MA) per manufacturer’s instructions. Transgene expression plasmid was electroporated into porcine cells with the Neon</w:t>
      </w:r>
      <w:r w:rsidRPr="00982466">
        <w:rPr>
          <w:vertAlign w:val="superscript"/>
        </w:rPr>
        <w:t>TM</w:t>
      </w:r>
      <w:r w:rsidRPr="00982466">
        <w:t xml:space="preserve"> Transfection System (MPK5000, Thermo Fisher) according to manufacturer’s instructions, with 500 ng transgene plasmid DNA and 25 ng Super </w:t>
      </w:r>
      <w:r w:rsidRPr="00982466">
        <w:rPr>
          <w:i/>
          <w:iCs/>
        </w:rPr>
        <w:t>PiggyBac transposase</w:t>
      </w:r>
      <w:r w:rsidRPr="00982466">
        <w:t xml:space="preserve"> vector (PB210PA-1, SBI, Palo Alto, CA) in Opti-MEM medium (31985-062, Gibco). Transfected cells were selected through two rounds of sorting for GFP expression on a Beckman Coulter MoFlo Astrios EQ or Thermo Fisher Bigfoot Spectral cell sorter. The </w:t>
      </w:r>
      <w:r w:rsidRPr="00982466">
        <w:rPr>
          <w:i/>
          <w:iCs/>
        </w:rPr>
        <w:t>CD46-CD55-CD47</w:t>
      </w:r>
      <w:r w:rsidRPr="00982466">
        <w:t xml:space="preserve"> and </w:t>
      </w:r>
      <w:r w:rsidRPr="00982466">
        <w:rPr>
          <w:i/>
          <w:iCs/>
        </w:rPr>
        <w:t>PROCR-THBD</w:t>
      </w:r>
      <w:r w:rsidRPr="00982466">
        <w:t xml:space="preserve"> cassettes were expressed from the KECs, while those for the </w:t>
      </w:r>
      <w:r w:rsidRPr="00982466">
        <w:rPr>
          <w:i/>
          <w:iCs/>
        </w:rPr>
        <w:t>TNFAIP3-HMOX1</w:t>
      </w:r>
      <w:r w:rsidRPr="00982466">
        <w:t xml:space="preserve"> cassette from the KCDCs.</w:t>
      </w:r>
    </w:p>
    <w:p w14:paraId="1E5F2FA8" w14:textId="77777777" w:rsidR="00982466" w:rsidRPr="00982466" w:rsidRDefault="00982466" w:rsidP="00982466">
      <w:pPr>
        <w:spacing w:before="240" w:line="480" w:lineRule="auto"/>
      </w:pPr>
      <w:r w:rsidRPr="00982466">
        <w:rPr>
          <w:b/>
          <w:bCs/>
          <w:szCs w:val="24"/>
        </w:rPr>
        <w:t>Isolation of RNA from porcine kidney samples and CD31+ and CD31- kidney endothelial cells</w:t>
      </w:r>
    </w:p>
    <w:p w14:paraId="44B4154D" w14:textId="77777777" w:rsidR="00982466" w:rsidRPr="00982466" w:rsidRDefault="00982466" w:rsidP="00982466">
      <w:pPr>
        <w:spacing w:line="480" w:lineRule="auto"/>
      </w:pPr>
      <w:r w:rsidRPr="00982466">
        <w:rPr>
          <w:szCs w:val="24"/>
        </w:rPr>
        <w:t>Snap-frozen tissue collected from the contralateral kidney, biopsy or necropsy samples was pulverized using a pre-chilled BioPulverizer (59012MS, BioSpec). Total RNA was extracted using homogenizing columns (79656, Qiagen), DNase digestion (79256, Qiagen) and the RNeasy kit (74106, Qiagen) according to manufacturer’s instructions. Primary cells (0.75x10</w:t>
      </w:r>
      <w:r w:rsidRPr="00982466">
        <w:rPr>
          <w:szCs w:val="24"/>
          <w:vertAlign w:val="superscript"/>
        </w:rPr>
        <w:t xml:space="preserve">6 </w:t>
      </w:r>
      <w:r w:rsidRPr="00982466">
        <w:rPr>
          <w:szCs w:val="24"/>
        </w:rPr>
        <w:t>- 1.5x10</w:t>
      </w:r>
      <w:r w:rsidRPr="00982466">
        <w:rPr>
          <w:szCs w:val="24"/>
          <w:vertAlign w:val="superscript"/>
        </w:rPr>
        <w:t>6</w:t>
      </w:r>
      <w:r w:rsidRPr="00982466">
        <w:rPr>
          <w:szCs w:val="24"/>
        </w:rPr>
        <w:t xml:space="preserve"> cells) were pelleted and lysed directly in 350 µL Buffer RLT Plus (1053393, Qiagen). Each sample was passed through a QIAshredder (79656, Qiagen) by centrifuging at 18,000 xg for 2 minutes. Total RNA was isolated from each homogenized lysate using the RNeasy Plus Mini Kit (74134, Qiagen) following manufacturer’s protocol. Purified RNA was eluted in 30-50 µL RNAse-free water.</w:t>
      </w:r>
    </w:p>
    <w:p w14:paraId="4BA1F992" w14:textId="77777777" w:rsidR="00982466" w:rsidRPr="00982466" w:rsidRDefault="00982466" w:rsidP="00982466">
      <w:pPr>
        <w:spacing w:before="240" w:line="480" w:lineRule="auto"/>
      </w:pPr>
      <w:r w:rsidRPr="00982466">
        <w:rPr>
          <w:b/>
          <w:bCs/>
          <w:szCs w:val="24"/>
        </w:rPr>
        <w:lastRenderedPageBreak/>
        <w:t>Transgene analysis by flow cytometry on endothelial cells</w:t>
      </w:r>
    </w:p>
    <w:p w14:paraId="1FF044A3" w14:textId="77777777" w:rsidR="00982466" w:rsidRPr="00982466" w:rsidRDefault="00982466" w:rsidP="00982466">
      <w:pPr>
        <w:spacing w:line="480" w:lineRule="auto"/>
      </w:pPr>
      <w:r w:rsidRPr="00982466">
        <w:t xml:space="preserve">Porcine KECs, AECs, HUVECs (PCS-100-010, ATCC, Manassas, VA), and HGMVECs (ACBRI 128, Cell Systems, </w:t>
      </w:r>
      <w:r w:rsidRPr="00982466">
        <w:rPr>
          <w:color w:val="333333"/>
        </w:rPr>
        <w:t>Kirkland, WA</w:t>
      </w:r>
      <w:r w:rsidRPr="00982466">
        <w:t>) were stained with anti-human CD46 (352409, BioLegend, San Diego, CA), anti-human CD55 (555694, BD Biosciences, San Jose, CA), anti-human CD47 (11-0479-41, Thermo Fisher), anti-human TM (740604, BD Biosciences), or anti-human EPCR (557950, BD Biosciences) antibodies for 30 minutes in the dark. Afterwards, the cells were washed twice with 1X PBS and immediately acquired on a BD FACSymphony A3 cytometer and analyzed using Flow Jo software (Ashland, OR). Gating strategy is provided in Supplementary Fig. 2.</w:t>
      </w:r>
    </w:p>
    <w:p w14:paraId="5F85D896" w14:textId="4919AC89" w:rsidR="00982466" w:rsidRPr="00982466" w:rsidRDefault="00982466" w:rsidP="00982466">
      <w:pPr>
        <w:spacing w:line="480" w:lineRule="auto"/>
      </w:pPr>
      <w:r w:rsidRPr="00982466">
        <w:rPr>
          <w:b/>
          <w:bCs/>
          <w:szCs w:val="24"/>
        </w:rPr>
        <w:t xml:space="preserve">Western blot analysis of human </w:t>
      </w:r>
      <w:r w:rsidR="007F0183">
        <w:rPr>
          <w:b/>
          <w:bCs/>
          <w:szCs w:val="24"/>
        </w:rPr>
        <w:t>TNFAIP3</w:t>
      </w:r>
      <w:r w:rsidRPr="00982466">
        <w:rPr>
          <w:b/>
          <w:bCs/>
          <w:szCs w:val="24"/>
        </w:rPr>
        <w:t xml:space="preserve"> and H</w:t>
      </w:r>
      <w:r w:rsidR="007F0183">
        <w:rPr>
          <w:b/>
          <w:bCs/>
          <w:szCs w:val="24"/>
        </w:rPr>
        <w:t>MOX</w:t>
      </w:r>
      <w:r w:rsidRPr="00982466">
        <w:rPr>
          <w:b/>
          <w:bCs/>
          <w:szCs w:val="24"/>
        </w:rPr>
        <w:t>1 proteins</w:t>
      </w:r>
    </w:p>
    <w:p w14:paraId="2CD2D540" w14:textId="77777777" w:rsidR="00982466" w:rsidRPr="00982466" w:rsidRDefault="00982466" w:rsidP="00982466">
      <w:pPr>
        <w:spacing w:line="480" w:lineRule="auto"/>
        <w:rPr>
          <w:szCs w:val="24"/>
        </w:rPr>
      </w:pPr>
      <w:r w:rsidRPr="00982466">
        <w:rPr>
          <w:szCs w:val="24"/>
        </w:rPr>
        <w:t>Frozen cell pellets were processed according to standard protocols. Membranes were blocked,  incubated in primary antibody (anti-TNFAIP3, ab92324, abcam) for 1.5 hours at room temperature (RT) in 5% BSA in  Phosphate Buffer Saline with 0.1% Tween (PBS-T) at a 1:500 dilution and probed with a goat anti-rabbit IgG secondary antibody (ab216773, abcam) at 1:5000 dilution. An image was taken on a LI-COR Odyssey (</w:t>
      </w:r>
      <w:r w:rsidRPr="00982466">
        <w:rPr>
          <w:color w:val="293C44"/>
          <w:szCs w:val="24"/>
        </w:rPr>
        <w:t>Lincoln, Nebraska)</w:t>
      </w:r>
      <w:r w:rsidRPr="00982466">
        <w:rPr>
          <w:szCs w:val="24"/>
        </w:rPr>
        <w:t>. Beta actin was detected with a primary antibody against all known isoforms of actin (BDB612656, BD Biosciences) and a goat anti-mouse IgG secondary (ab216776, abcam) and used as a loading control.</w:t>
      </w:r>
    </w:p>
    <w:p w14:paraId="2F4BBB2A" w14:textId="77777777" w:rsidR="00982466" w:rsidRPr="00982466" w:rsidRDefault="00982466" w:rsidP="00982466">
      <w:pPr>
        <w:keepNext/>
        <w:keepLines/>
        <w:spacing w:before="240" w:line="480" w:lineRule="auto"/>
        <w:outlineLvl w:val="0"/>
        <w:rPr>
          <w:rFonts w:eastAsia="MS Gothic"/>
          <w:b/>
          <w:szCs w:val="24"/>
        </w:rPr>
      </w:pPr>
      <w:bookmarkStart w:id="0" w:name="OLE_LINK31"/>
      <w:r w:rsidRPr="00982466">
        <w:rPr>
          <w:rFonts w:eastAsia="MS Gothic"/>
          <w:b/>
          <w:szCs w:val="24"/>
        </w:rPr>
        <w:t>Human CD47-Fc binding to human or cynomolgus monocytes</w:t>
      </w:r>
      <w:bookmarkEnd w:id="0"/>
    </w:p>
    <w:p w14:paraId="0757F59B" w14:textId="77777777" w:rsidR="00982466" w:rsidRPr="00982466" w:rsidRDefault="00982466" w:rsidP="00982466">
      <w:pPr>
        <w:spacing w:line="480" w:lineRule="auto"/>
        <w:rPr>
          <w:rFonts w:eastAsia="MS Mincho"/>
        </w:rPr>
      </w:pPr>
      <w:r w:rsidRPr="00982466">
        <w:rPr>
          <w:rFonts w:eastAsia="MS Mincho"/>
        </w:rPr>
        <w:t>Human monocytes were enriched from PBMCs by magnetic separation (</w:t>
      </w:r>
      <w:r w:rsidRPr="00982466">
        <w:rPr>
          <w:rFonts w:eastAsia="Calibri"/>
        </w:rPr>
        <w:t xml:space="preserve">130-117-337, Miltenyi Biotech). Human or </w:t>
      </w:r>
      <w:r w:rsidRPr="00982466">
        <w:rPr>
          <w:rFonts w:eastAsia="MS Mincho"/>
        </w:rPr>
        <w:t>cynomolgus monkey monocytes (</w:t>
      </w:r>
      <w:r w:rsidRPr="00982466">
        <w:rPr>
          <w:rFonts w:eastAsia="Calibri"/>
        </w:rPr>
        <w:t>IQB-MN1-CD14-2, IQ Biosciences, Berkley, CA</w:t>
      </w:r>
      <w:r w:rsidRPr="00982466">
        <w:rPr>
          <w:rFonts w:eastAsia="MS Mincho"/>
        </w:rPr>
        <w:t>) (100,000 cells/well) were plated in a 96-well round bottom tissue culture plate (FB012932, Thermo Fisher), treated with 1X PBS alone or 20 µg/mL recombinant human CD47-</w:t>
      </w:r>
      <w:r w:rsidRPr="00982466">
        <w:rPr>
          <w:rFonts w:eastAsia="MS Mincho"/>
        </w:rPr>
        <w:lastRenderedPageBreak/>
        <w:t>Fc chimera protein (4670-CD-050, R&amp;D Systems) in 1X PBS, and incubated at 37°C in humidified CO2 incubator (5% CO</w:t>
      </w:r>
      <w:r w:rsidRPr="00982466">
        <w:rPr>
          <w:rFonts w:eastAsia="MS Mincho"/>
          <w:vertAlign w:val="subscript"/>
        </w:rPr>
        <w:t>2</w:t>
      </w:r>
      <w:r w:rsidRPr="00982466">
        <w:rPr>
          <w:rFonts w:eastAsia="MS Mincho"/>
        </w:rPr>
        <w:t>) for 60 minutes. The unbound CD47-Fc protein was washed out and the bound CD47-Fc protein detected with a PE-conjugated anti-human IgG Fc antibody (409304, R&amp;D Systems), fixed, and acquired on a FACSymphony A3 Cell Analyzer. The Non-Human Primate (NHP) and human monocytes were stained with a PE-Cy7 conjugated anti-human SIRPα antibody (323807, BioLegend) to measure SIRPα surface expression. Data was plotted and statistics were calculated using GraphPad Prism, v8.2.0.</w:t>
      </w:r>
    </w:p>
    <w:p w14:paraId="5475E963" w14:textId="77777777" w:rsidR="00982466" w:rsidRPr="00982466" w:rsidRDefault="00982466" w:rsidP="00982466">
      <w:pPr>
        <w:spacing w:line="480" w:lineRule="auto"/>
      </w:pPr>
    </w:p>
    <w:p w14:paraId="4A877001" w14:textId="77777777" w:rsidR="00982466" w:rsidRPr="00982466" w:rsidRDefault="00982466" w:rsidP="00982466">
      <w:pPr>
        <w:spacing w:line="480" w:lineRule="auto"/>
      </w:pPr>
      <w:r w:rsidRPr="00982466">
        <w:rPr>
          <w:b/>
          <w:bCs/>
          <w:szCs w:val="24"/>
        </w:rPr>
        <w:t>Fluid challenge analysis</w:t>
      </w:r>
    </w:p>
    <w:p w14:paraId="48E0A590" w14:textId="77777777" w:rsidR="00982466" w:rsidRPr="00982466" w:rsidRDefault="00982466" w:rsidP="00982466">
      <w:pPr>
        <w:spacing w:line="480" w:lineRule="auto"/>
        <w:rPr>
          <w:szCs w:val="24"/>
        </w:rPr>
      </w:pPr>
      <w:r w:rsidRPr="00982466">
        <w:rPr>
          <w:szCs w:val="24"/>
        </w:rPr>
        <w:t xml:space="preserve">After completion of the mGFR study (described above), the same group of four-month-old wild-type and the 3KO.7TG Yucatan swine were used in a series of fluid challenges. First the animals were water fasted (fluid restriction) for 22 hours. After 24 hours recovery with intermittent access to water, 0.9% saline (20 mL/kg) was dosed as a hydration challenge. Finally, six hours later, furosemide (1 mg/kg) was administered. Body weights, serum chemistry and hematology were assessed before and after the fluid restriction as well as before the saline dose, six hours after the saline dose and six hours after the furosemide dose. Urine was collected for a two-hour baseline prior to study start, and then in six-hour increments throughout the fluid restriction phase.  Baseline urine was again collected before the saline challenge, and then throughout the remainder of the study in one-hour bins immediately after saline or furosemide dose and then in two 2.5 hour bins for a total of six hours. Urine volume was measured for each time and urinalysis and urine chemistry performed.  </w:t>
      </w:r>
    </w:p>
    <w:p w14:paraId="6D3C5EED" w14:textId="77777777" w:rsidR="00982466" w:rsidRPr="00982466" w:rsidRDefault="00982466" w:rsidP="00982466">
      <w:pPr>
        <w:keepNext/>
        <w:keepLines/>
        <w:spacing w:before="240" w:line="480" w:lineRule="auto"/>
        <w:outlineLvl w:val="0"/>
        <w:rPr>
          <w:rFonts w:eastAsia="MS Gothic"/>
          <w:b/>
          <w:szCs w:val="24"/>
        </w:rPr>
      </w:pPr>
      <w:r w:rsidRPr="00982466">
        <w:rPr>
          <w:rFonts w:eastAsia="MS Gothic"/>
          <w:b/>
          <w:szCs w:val="24"/>
        </w:rPr>
        <w:lastRenderedPageBreak/>
        <w:t>Custom Payload 15S genome build</w:t>
      </w:r>
    </w:p>
    <w:p w14:paraId="40128D3A" w14:textId="77777777" w:rsidR="00982466" w:rsidRPr="00982466" w:rsidRDefault="00982466" w:rsidP="00982466">
      <w:pPr>
        <w:spacing w:line="480" w:lineRule="auto"/>
        <w:rPr>
          <w:rFonts w:eastAsia="Calibri"/>
        </w:rPr>
      </w:pPr>
      <w:r w:rsidRPr="00982466">
        <w:rPr>
          <w:rFonts w:eastAsia="Calibri"/>
        </w:rPr>
        <w:t xml:space="preserve">For alignment of Nanopore whole genome sequencing (WGS) and direct RNA-seq reads (dRNA-seq), a modified Ensembl Sscrofa11.1 genome was constructed with a custom script that inserts the validated Payload 15S sequence flanked by the </w:t>
      </w:r>
      <w:r w:rsidRPr="00982466">
        <w:rPr>
          <w:rFonts w:eastAsia="Calibri"/>
          <w:i/>
          <w:iCs/>
        </w:rPr>
        <w:t>loxP</w:t>
      </w:r>
      <w:r w:rsidRPr="00982466">
        <w:rPr>
          <w:rFonts w:eastAsia="Calibri"/>
        </w:rPr>
        <w:t xml:space="preserve"> and </w:t>
      </w:r>
      <w:r w:rsidRPr="00982466">
        <w:rPr>
          <w:rFonts w:eastAsia="Calibri"/>
          <w:i/>
          <w:iCs/>
        </w:rPr>
        <w:t>lox2272</w:t>
      </w:r>
      <w:r w:rsidRPr="00982466">
        <w:rPr>
          <w:rFonts w:eastAsia="Calibri"/>
        </w:rPr>
        <w:t xml:space="preserve"> sites at chr6: 111497713 (minus strand) (chr6: 59,345,875 plus strand) (</w:t>
      </w:r>
      <w:r w:rsidRPr="00982466">
        <w:rPr>
          <w:rFonts w:eastAsia="Calibri"/>
          <w:i/>
          <w:iCs/>
        </w:rPr>
        <w:t>PPP1R12C</w:t>
      </w:r>
      <w:r w:rsidRPr="00982466">
        <w:rPr>
          <w:rFonts w:eastAsia="Calibri"/>
        </w:rPr>
        <w:t xml:space="preserve"> or </w:t>
      </w:r>
      <w:r w:rsidRPr="00982466">
        <w:rPr>
          <w:rFonts w:eastAsia="Calibri"/>
          <w:i/>
          <w:iCs/>
        </w:rPr>
        <w:t>AAVS1 site</w:t>
      </w:r>
      <w:r w:rsidRPr="00982466">
        <w:rPr>
          <w:rFonts w:eastAsia="Calibri"/>
        </w:rPr>
        <w:t xml:space="preserve">).  </w:t>
      </w:r>
      <w:r w:rsidRPr="00982466">
        <w:rPr>
          <w:rFonts w:eastAsia="Arial"/>
        </w:rPr>
        <w:fldChar w:fldCharType="begin"/>
      </w:r>
      <w:r w:rsidRPr="00982466">
        <w:rPr>
          <w:rFonts w:eastAsia="Arial"/>
        </w:rPr>
        <w:instrText xml:space="preserve"> ADDIN ZOTERO_ITEM CSL_CITATION {"citationID":"w9j1RXYx","properties":{"formattedCitation":"\\super 5\\nosupersub{}","plainCitation":"5","dontUpdate":true,"noteIndex":0},"citationItems":[{"id":"MypTXvYg/bNaH7GSi","uris":["http://zotero.org/users/6514188/items/E5A4XP4T"],"itemData":{"id":5445,"type":"article-journal","abstract":"Summary: The Sequence Alignment/Map (SAM) format is a generic alignment format for storing read alignments against reference sequences, supporting short and long reads (up to 128 Mbp) produced by different sequencing platforms. It is flexible in style, ...","container-title":"Bioinformatics","DOI":"10.1093/bioinformatics/btp352","issue":"16","language":"en","note":"publisher: Oxford University Press\nPMID: 19505943","page":"2078","source":"www.ncbi.nlm.nih.gov","title":"The Sequence Alignment/Map format and SAMtools","volume":"25","author":[{"family":"Li","given":"Heng"},{"family":"Handsaker","given":"Bob"},{"family":"Wysoker","given":"Alec"},{"family":"Fennell","given":"Tim"},{"family":"Ruan","given":"Jue"},{"family":"Homer","given":"Nils"},{"family":"Marth","given":"Gabor"},{"family":"Abecasis","given":"Goncalo"},{"family":"Durbin","given":"Richard"},{"family":"Subgroup","given":"1000 Genome Project Data Processing"}],"issued":{"date-parts":[["2009",8,8]]}}}],"schema":"https://github.com/citation-style-language/schema/raw/master/csl-citation.json"} </w:instrText>
      </w:r>
      <w:r w:rsidR="00000000">
        <w:rPr>
          <w:rFonts w:eastAsia="Arial"/>
        </w:rPr>
        <w:fldChar w:fldCharType="separate"/>
      </w:r>
      <w:r w:rsidRPr="00982466">
        <w:rPr>
          <w:rFonts w:eastAsia="Arial"/>
        </w:rPr>
        <w:fldChar w:fldCharType="end"/>
      </w:r>
    </w:p>
    <w:p w14:paraId="22C0CFE6" w14:textId="77777777" w:rsidR="00982466" w:rsidRPr="00982466" w:rsidRDefault="00982466" w:rsidP="00982466">
      <w:pPr>
        <w:keepNext/>
        <w:keepLines/>
        <w:spacing w:before="240" w:line="480" w:lineRule="auto"/>
        <w:outlineLvl w:val="0"/>
        <w:rPr>
          <w:rFonts w:eastAsia="MS Gothic"/>
          <w:b/>
          <w:bCs/>
          <w:szCs w:val="24"/>
        </w:rPr>
      </w:pPr>
      <w:r w:rsidRPr="00982466">
        <w:rPr>
          <w:rFonts w:eastAsia="MS Gothic"/>
          <w:b/>
          <w:bCs/>
          <w:szCs w:val="24"/>
        </w:rPr>
        <w:t>Nanopore whole-genome sequencing</w:t>
      </w:r>
    </w:p>
    <w:p w14:paraId="59F47E9F" w14:textId="77777777" w:rsidR="00982466" w:rsidRPr="00982466" w:rsidRDefault="00982466" w:rsidP="00982466">
      <w:pPr>
        <w:spacing w:line="480" w:lineRule="auto"/>
        <w:rPr>
          <w:rFonts w:eastAsia="MS Mincho"/>
        </w:rPr>
      </w:pPr>
      <w:r w:rsidRPr="00982466">
        <w:rPr>
          <w:rFonts w:eastAsia="MS Mincho"/>
        </w:rPr>
        <w:t>WGS libraries were constructed using LSK109 kit (Oxford Nanopore) according to manufacturer’s protocol and without modification and libraries sequenced using R9.4.1 PromethION flowcell chemistry.</w:t>
      </w:r>
      <w:r w:rsidRPr="00982466">
        <w:rPr>
          <w:rFonts w:eastAsia="Arial"/>
        </w:rPr>
        <w:fldChar w:fldCharType="begin"/>
      </w:r>
      <w:r w:rsidRPr="00982466">
        <w:rPr>
          <w:rFonts w:eastAsia="Arial"/>
        </w:rPr>
        <w:instrText xml:space="preserve"> ADDIN ZOTERO_ITEM CSL_CITATION {"citationID":"ma2Tq1FU","properties":{"formattedCitation":"\\super 6\\nosupersub{}","plainCitation":"6","dontUpdate":true,"noteIndex":0},"citationItems":[{"id":5443,"uris":["http://zotero.org/users/6514188/items/DF3R4EQN"],"itemData":{"id":5443,"type":"article-journal","abstract":"Approximately 5–10% of the human genome remains inaccessible due to the presence of repetitive sequences such as segmental duplications and tandem repeat arrays. We show that existing long-read mappers often yield incorrect alignments and variant calls within long, near-identical repeats, as they remain vulnerable to allelic bias. In the presence of a nonreference allele within a repeat, a read sampled from that region could be mapped to an incorrect repeat copy. To address this limitation, we developed a new long-read mapping method, Winnowmap2, by using minimal confidently alignable substrings. Winnowmap2 computes each read mapping through a collection of confident subalignments. This approach is more tolerant of structural variation and more sensitive to paralog-specific variants within repeats. Our experiments highlight that Winnowmap2 successfully addresses the issue of allelic bias, enabling more accurate downstream variant calls in repetitive sequences.","container-title":"Nature Methods","DOI":"10.1038/s41592-022-01457-8","ISSN":"1548-7105","issue":"6","journalAbbreviation":"Nat Methods","language":"en","license":"2022 The Author(s), under exclusive licence to Springer Nature America, Inc.","note":"number: 6\npublisher: Nature Publishing Group","page":"705-710","source":"www.nature.com","title":"Long-read mapping to repetitive reference sequences using Winnowmap2","volume":"19","author":[{"family":"Jain","given":"Chirag"},{"family":"Rhie","given":"Arang"},{"family":"Hansen","given":"Nancy F."},{"family":"Koren","given":"Sergey"},{"family":"Phillippy","given":"Adam M."}],"issued":{"date-parts":[["2022",6]]}}}],"schema":"https://github.com/citation-style-language/schema/raw/master/csl-citation.json"} </w:instrText>
      </w:r>
      <w:r w:rsidR="00000000">
        <w:rPr>
          <w:rFonts w:eastAsia="Arial"/>
        </w:rPr>
        <w:fldChar w:fldCharType="separate"/>
      </w:r>
      <w:r w:rsidRPr="00982466">
        <w:rPr>
          <w:rFonts w:eastAsia="Arial"/>
        </w:rPr>
        <w:fldChar w:fldCharType="end"/>
      </w:r>
      <w:r w:rsidRPr="00982466">
        <w:rPr>
          <w:rFonts w:eastAsia="MS Mincho"/>
        </w:rPr>
        <w:t xml:space="preserve"> Nanopore reads were aligned to the custom Payload 15S genome build, using winnowmap2 v2.03 with default parameters and k-mer size 15</w:t>
      </w:r>
      <w:r w:rsidRPr="00982466">
        <w:rPr>
          <w:rFonts w:eastAsia="MS Mincho"/>
        </w:rPr>
        <w:fldChar w:fldCharType="begin"/>
      </w:r>
      <w:r w:rsidRPr="00982466">
        <w:rPr>
          <w:rFonts w:eastAsia="MS Mincho"/>
        </w:rPr>
        <w:instrText xml:space="preserve"> ADDIN ZOTERO_ITEM CSL_CITATION {"citationID":"d7jcRb3X","properties":{"formattedCitation":"\\super 52\\nosupersub{}","plainCitation":"52","noteIndex":0},"citationItems":[{"id":5443,"uris":["http://zotero.org/users/6514188/items/DF3R4EQN"],"itemData":{"id":5443,"type":"article-journal","abstract":"Approximately 5–10% of the human genome remains inaccessible due to the presence of repetitive sequences such as segmental duplications and tandem repeat arrays. We show that existing long-read mappers often yield incorrect alignments and variant calls within long, near-identical repeats, as they remain vulnerable to allelic bias. In the presence of a nonreference allele within a repeat, a read sampled from that region could be mapped to an incorrect repeat copy. To address this limitation, we developed a new long-read mapping method, Winnowmap2, by using minimal confidently alignable substrings. Winnowmap2 computes each read mapping through a collection of confident subalignments. This approach is more tolerant of structural variation and more sensitive to paralog-specific variants within repeats. Our experiments highlight that Winnowmap2 successfully addresses the issue of allelic bias, enabling more accurate downstream variant calls in repetitive sequences.","container-title":"Nature Methods","DOI":"10.1038/s41592-022-01457-8","ISSN":"1548-7105","issue":"6","journalAbbreviation":"Nat Methods","language":"en","license":"2022 The Author(s), under exclusive licence to Springer Nature America, Inc.","note":"number: 6\npublisher: Nature Publishing Group","page":"705-710","source":"www.nature.com","title":"Long-read mapping to repetitive reference sequences using Winnowmap2","volume":"19","author":[{"family":"Jain","given":"Chirag"},{"family":"Rhie","given":"Arang"},{"family":"Hansen","given":"Nancy F."},{"family":"Koren","given":"Sergey"},{"family":"Phillippy","given":"Adam M."}],"issued":{"date-parts":[["2022",6]]}}}],"schema":"https://github.com/citation-style-language/schema/raw/master/csl-citation.json"} </w:instrText>
      </w:r>
      <w:r w:rsidRPr="00982466">
        <w:rPr>
          <w:rFonts w:eastAsia="MS Mincho"/>
        </w:rPr>
        <w:fldChar w:fldCharType="separate"/>
      </w:r>
      <w:r w:rsidRPr="00982466">
        <w:rPr>
          <w:rFonts w:eastAsia="Calibri"/>
          <w:szCs w:val="24"/>
          <w:vertAlign w:val="superscript"/>
        </w:rPr>
        <w:t>52</w:t>
      </w:r>
      <w:r w:rsidRPr="00982466">
        <w:rPr>
          <w:rFonts w:eastAsia="MS Mincho"/>
        </w:rPr>
        <w:fldChar w:fldCharType="end"/>
      </w:r>
      <w:r w:rsidRPr="00982466">
        <w:rPr>
          <w:rFonts w:eastAsia="MS Mincho"/>
        </w:rPr>
        <w:t xml:space="preserve">. BAM files were subsetted for full length reads spanning both junctions and sorted using samtools v1.7 </w:t>
      </w:r>
      <w:r w:rsidRPr="00982466">
        <w:rPr>
          <w:rFonts w:eastAsia="Arial"/>
        </w:rPr>
        <w:fldChar w:fldCharType="begin"/>
      </w:r>
      <w:r w:rsidRPr="00982466">
        <w:rPr>
          <w:rFonts w:eastAsia="Arial"/>
        </w:rPr>
        <w:instrText xml:space="preserve"> ADDIN ZOTERO_ITEM CSL_CITATION {"citationID":"G9Ep7lxg","properties":{"formattedCitation":"\\super 51\\nosupersub{}","plainCitation":"51","noteIndex":0},"citationItems":[{"id":"MypTXvYg/bNaH7GSi","uris":["http://zotero.org/users/6514188/items/E5A4XP4T"],"itemData":{"id":5445,"type":"article-journal","abstract":"Summary: The Sequence Alignment/Map (SAM) format is a generic alignment format for storing read alignments against reference sequences, supporting short and long reads (up to 128 Mbp) produced by different sequencing platforms. It is flexible in style, ...","container-title":"Bioinformatics","DOI":"10.1093/bioinformatics/btp352","issue":"16","language":"en","note":"publisher: Oxford University Press\nPMID: 19505943","page":"2078","source":"www.ncbi.nlm.nih.gov","title":"The Sequence Alignment/Map format and SAMtools","volume":"25","author":[{"family":"Li","given":"Heng"},{"family":"Handsaker","given":"Bob"},{"family":"Wysoker","given":"Alec"},{"family":"Fennell","given":"Tim"},{"family":"Ruan","given":"Jue"},{"family":"Homer","given":"Nils"},{"family":"Marth","given":"Gabor"},{"family":"Abecasis","given":"Goncalo"},{"family":"Durbin","given":"Richard"},{"family":"Subgroup","given":"1000 Genome Project Data Processing"}],"issued":{"date-parts":[["2009",8,8]]}}}],"schema":"https://github.com/citation-style-language/schema/raw/master/csl-citation.json"} </w:instrText>
      </w:r>
      <w:r w:rsidRPr="00982466">
        <w:rPr>
          <w:rFonts w:eastAsia="Arial"/>
        </w:rPr>
        <w:fldChar w:fldCharType="separate"/>
      </w:r>
      <w:r w:rsidRPr="00982466">
        <w:rPr>
          <w:rFonts w:eastAsia="Calibri"/>
          <w:szCs w:val="24"/>
          <w:vertAlign w:val="superscript"/>
        </w:rPr>
        <w:t>51</w:t>
      </w:r>
      <w:r w:rsidRPr="00982466">
        <w:rPr>
          <w:rFonts w:eastAsia="Arial"/>
        </w:rPr>
        <w:fldChar w:fldCharType="end"/>
      </w:r>
      <w:r w:rsidRPr="00982466">
        <w:rPr>
          <w:rFonts w:eastAsia="MS Mincho"/>
        </w:rPr>
        <w:t xml:space="preserve"> and visualized using Integrative Genomics Viewer (IGV version 2.12.3)</w:t>
      </w:r>
      <w:r w:rsidRPr="00982466">
        <w:rPr>
          <w:rFonts w:eastAsia="MS Mincho"/>
        </w:rPr>
        <w:fldChar w:fldCharType="begin"/>
      </w:r>
      <w:r w:rsidRPr="00982466">
        <w:rPr>
          <w:rFonts w:eastAsia="MS Mincho"/>
        </w:rPr>
        <w:instrText xml:space="preserve"> ADDIN ZOTERO_ITEM CSL_CITATION {"citationID":"EzR9CvVW","properties":{"formattedCitation":"\\super 53\\nosupersub{}","plainCitation":"53","noteIndex":0},"citationItems":[{"id":298,"uris":["http://zotero.org/groups/2479917/items/9U4HAC4S"],"itemData":{"id":298,"type":"article-journal","container-title":"Nature biotechnology","DOI":"10.1038/nbt.1754","ISSN":"1087-0156","issue":"1","journalAbbreviation":"Nat Biotechnol","note":"PMID: 21221095\nPMCID: PMC3346182","page":"24-26","source":"PubMed Central","title":"Integrative Genomics Viewer","volume":"29","author":[{"family":"Robinson","given":"James T."},{"family":"Thorvaldsdóttir","given":"Helga"},{"family":"Winckler","given":"Wendy"},{"family":"Guttman","given":"Mitchell"},{"family":"Lander","given":"Eric S."},{"family":"Getz","given":"Gad"},{"family":"Mesirov","given":"Jill P."}],"issued":{"date-parts":[["2011",1]]}}}],"schema":"https://github.com/citation-style-language/schema/raw/master/csl-citation.json"} </w:instrText>
      </w:r>
      <w:r w:rsidRPr="00982466">
        <w:rPr>
          <w:rFonts w:eastAsia="MS Mincho"/>
        </w:rPr>
        <w:fldChar w:fldCharType="separate"/>
      </w:r>
      <w:r w:rsidRPr="00982466">
        <w:rPr>
          <w:rFonts w:eastAsia="Calibri"/>
          <w:szCs w:val="24"/>
          <w:vertAlign w:val="superscript"/>
        </w:rPr>
        <w:t>53</w:t>
      </w:r>
      <w:r w:rsidRPr="00982466">
        <w:rPr>
          <w:rFonts w:eastAsia="MS Mincho"/>
        </w:rPr>
        <w:fldChar w:fldCharType="end"/>
      </w:r>
      <w:r w:rsidRPr="00982466">
        <w:rPr>
          <w:rFonts w:eastAsia="MS Mincho"/>
        </w:rPr>
        <w:t>.</w:t>
      </w:r>
    </w:p>
    <w:p w14:paraId="13AA9253" w14:textId="77777777" w:rsidR="00982466" w:rsidRPr="00982466" w:rsidRDefault="00982466" w:rsidP="00982466">
      <w:pPr>
        <w:spacing w:line="480" w:lineRule="auto"/>
        <w:rPr>
          <w:rFonts w:eastAsia="MS Mincho"/>
          <w:szCs w:val="24"/>
        </w:rPr>
      </w:pPr>
      <w:r w:rsidRPr="00982466">
        <w:rPr>
          <w:rFonts w:eastAsia="MS Gothic"/>
          <w:b/>
          <w:szCs w:val="24"/>
        </w:rPr>
        <w:t>Nanopore direct RNA-seq</w:t>
      </w:r>
    </w:p>
    <w:p w14:paraId="11BC3799" w14:textId="77777777" w:rsidR="00982466" w:rsidRPr="00982466" w:rsidRDefault="00982466" w:rsidP="00982466">
      <w:pPr>
        <w:spacing w:line="480" w:lineRule="auto"/>
        <w:rPr>
          <w:rFonts w:eastAsia="MS Mincho"/>
        </w:rPr>
      </w:pPr>
      <w:r w:rsidRPr="00982466">
        <w:rPr>
          <w:rFonts w:eastAsia="MS Mincho"/>
        </w:rPr>
        <w:t>Total RNA was extracted from 20-30 mg snap-frozen kidney tissue using the AllPrep DNA/RNA Micro Kit (80284, Qiagen) as per the manufacturer’s protocol. Libraries were prepared from 5 µg total RNA using the Nanopore Direct RNA Sequencing Kit (SQK-RNA002, Oxford Nanopore) as per the manufacturer’s protocol with the optional reverse transcription step. Libraries were sequenced on a Nanopore GridION instrument using R9.4.1 flow cell chemistry. FASTQ files were mapped to the custom P</w:t>
      </w:r>
      <w:r w:rsidRPr="00982466">
        <w:rPr>
          <w:rFonts w:eastAsia="Arial"/>
        </w:rPr>
        <w:fldChar w:fldCharType="begin"/>
      </w:r>
      <w:r w:rsidRPr="00982466">
        <w:rPr>
          <w:rFonts w:eastAsia="Arial"/>
        </w:rPr>
        <w:instrText xml:space="preserve"> ADDIN ZOTERO_ITEM CSL_CITATION {"citationID":"ieiN7Vej","properties":{"formattedCitation":"\\super 6\\nosupersub{}","plainCitation":"6","dontUpdate":true,"noteIndex":0},"citationItems":[{"id":5443,"uris":["http://zotero.org/users/6514188/items/DF3R4EQN"],"itemData":{"id":5443,"type":"article-journal","abstract":"Approximately 5–10% of the human genome remains inaccessible due to the presence of repetitive sequences such as segmental duplications and tandem repeat arrays. We show that existing long-read mappers often yield incorrect alignments and variant calls within long, near-identical repeats, as they remain vulnerable to allelic bias. In the presence of a nonreference allele within a repeat, a read sampled from that region could be mapped to an incorrect repeat copy. To address this limitation, we developed a new long-read mapping method, Winnowmap2, by using minimal confidently alignable substrings. Winnowmap2 computes each read mapping through a collection of confident subalignments. This approach is more tolerant of structural variation and more sensitive to paralog-specific variants within repeats. Our experiments highlight that Winnowmap2 successfully addresses the issue of allelic bias, enabling more accurate downstream variant calls in repetitive sequences.","container-title":"Nature Methods","DOI":"10.1038/s41592-022-01457-8","ISSN":"1548-7105","issue":"6","journalAbbreviation":"Nat Methods","language":"en","license":"2022 The Author(s), under exclusive licence to Springer Nature America, Inc.","note":"number: 6\npublisher: Nature Publishing Group","page":"705-710","source":"www.nature.com","title":"Long-read mapping to repetitive reference sequences using Winnowmap2","volume":"19","author":[{"family":"Jain","given":"Chirag"},{"family":"Rhie","given":"Arang"},{"family":"Hansen","given":"Nancy F."},{"family":"Koren","given":"Sergey"},{"family":"Phillippy","given":"Adam M."}],"issued":{"date-parts":[["2022",6]]}}}],"schema":"https://github.com/citation-style-language/schema/raw/master/csl-citation.json"} </w:instrText>
      </w:r>
      <w:r w:rsidR="00000000">
        <w:rPr>
          <w:rFonts w:eastAsia="Arial"/>
        </w:rPr>
        <w:fldChar w:fldCharType="separate"/>
      </w:r>
      <w:r w:rsidRPr="00982466">
        <w:rPr>
          <w:rFonts w:eastAsia="Arial"/>
        </w:rPr>
        <w:fldChar w:fldCharType="end"/>
      </w:r>
      <w:r w:rsidRPr="00982466">
        <w:rPr>
          <w:rFonts w:eastAsia="MS Mincho"/>
        </w:rPr>
        <w:t>ayload 15S genome build with minimap2 (2.22-r1101)</w:t>
      </w:r>
      <w:r w:rsidRPr="00982466">
        <w:rPr>
          <w:rFonts w:eastAsia="Arial"/>
        </w:rPr>
        <w:fldChar w:fldCharType="begin"/>
      </w:r>
      <w:r w:rsidRPr="00982466">
        <w:rPr>
          <w:rFonts w:eastAsia="Arial"/>
        </w:rPr>
        <w:instrText xml:space="preserve"> ADDIN ZOTERO_ITEM CSL_CITATION {"citationID":"AdaSbj9w","properties":{"formattedCitation":"\\super 54\\nosupersub{}","plainCitation":"54","noteIndex":0},"citationItems":[{"id":296,"uris":["http://zotero.org/groups/2479917/items/HPAV4VWP"],"itemData":{"id":296,"type":"article-journal","abstract":"Recent advances in sequencing technologies promise ultra-long reads of </w:instrText>
      </w:r>
      <w:r w:rsidRPr="00982466">
        <w:rPr>
          <w:rFonts w:ascii="Cambria Math" w:eastAsia="Arial" w:hAnsi="Cambria Math" w:cs="Cambria Math"/>
        </w:rPr>
        <w:instrText>∼</w:instrText>
      </w:r>
      <w:r w:rsidRPr="00982466">
        <w:rPr>
          <w:rFonts w:eastAsia="Arial"/>
        </w:rPr>
        <w:instrText xml:space="preserve">100 kb in average, full-length mRNA or cDNA reads in high throughput and genomic contigs over 100 Mb in length. Existing alignment programs are unable or inefficient to process such data at scale, which presses for the development of new alignment algorithms.Minimap2 is a general-purpose alignment program to map DNA or long mRNA sequences against a large reference database. It works with accurate short reads of ≥100 bp in length, ≥1 kb genomic reads at error rate </w:instrText>
      </w:r>
      <w:r w:rsidRPr="00982466">
        <w:rPr>
          <w:rFonts w:ascii="Cambria Math" w:eastAsia="Arial" w:hAnsi="Cambria Math" w:cs="Cambria Math"/>
        </w:rPr>
        <w:instrText>∼</w:instrText>
      </w:r>
      <w:r w:rsidRPr="00982466">
        <w:rPr>
          <w:rFonts w:eastAsia="Arial"/>
        </w:rPr>
        <w:instrText xml:space="preserve">15%, full-length noisy Direct RNA or cDNA reads and assembly contigs or closely related full chromosomes of hundreds of megabases in length. Minimap2 does split-read alignment, employs concave gap cost for long insertions and deletions and introduces new heuristics to reduce spurious alignments. It is 3–4 times as fast as mainstream short-read mappers at comparable accuracy, and is ≥30 times faster than long-read genomic or cDNA mappers at higher accuracy, surpassing most aligners specialized in one type of alignment.https://github.com/lh3/minimap2Supplementary data are available at Bioinformatics online.","container-title":"Bioinformatics","DOI":"10.1093/bioinformatics/bty191","ISSN":"1367-4803","issue":"18","journalAbbreviation":"Bioinformatics","page":"3094-3100","title":"Minimap2: pairwise alignment for nucleotide sequences","volume":"34","author":[{"family":"Li","given":"Heng"}],"issued":{"date-parts":[["2018",9,15]]}}}],"schema":"https://github.com/citation-style-language/schema/raw/master/csl-citation.json"} </w:instrText>
      </w:r>
      <w:r w:rsidRPr="00982466">
        <w:rPr>
          <w:rFonts w:eastAsia="Arial"/>
        </w:rPr>
        <w:fldChar w:fldCharType="separate"/>
      </w:r>
      <w:r w:rsidRPr="00982466">
        <w:rPr>
          <w:rFonts w:eastAsia="Calibri"/>
          <w:szCs w:val="24"/>
          <w:vertAlign w:val="superscript"/>
        </w:rPr>
        <w:t>54</w:t>
      </w:r>
      <w:r w:rsidRPr="00982466">
        <w:rPr>
          <w:rFonts w:eastAsia="Arial"/>
        </w:rPr>
        <w:fldChar w:fldCharType="end"/>
      </w:r>
      <w:r w:rsidRPr="00982466">
        <w:rPr>
          <w:rFonts w:eastAsia="MS Mincho"/>
        </w:rPr>
        <w:t xml:space="preserve"> and a custom script was used to order the mapped reads for visualization in IGV (https://github.com/egenesis/nanopore_igv_issue_fix_sy.git)</w:t>
      </w:r>
      <w:r w:rsidRPr="00982466">
        <w:rPr>
          <w:rFonts w:eastAsia="Arial"/>
        </w:rPr>
        <w:fldChar w:fldCharType="begin"/>
      </w:r>
      <w:r w:rsidRPr="00982466">
        <w:rPr>
          <w:rFonts w:eastAsia="Arial"/>
        </w:rPr>
        <w:instrText xml:space="preserve"> ADDIN ZOTERO_ITEM CSL_CITATION {"citationID":"NZvYD29y","properties":{"formattedCitation":"\\super 55\\nosupersub{}","plainCitation":"55","noteIndex":0},"citationItems":[{"id":299,"uris":["http://zotero.org/groups/2479917/items/3R93LNWG"],"itemData":{"id":299,"type":"article-journal","container-title":"Nature Biotechnology","DOI":"10.1038/s41587-020-0439-x","ISSN":"1546-1696","issue":"3","journalAbbreviation":"Nat Biotechnol","language":"en","license":"2020 The Author(s), under exclusive licence to Springer Nature America, Inc.","note":"number: 3\npublisher: Nature Publishing Group","page":"276-278","source":"www.nature.com","title":"The nf-core framework for community-curated bioinformatics pipelines","volume":"38","author":[{"family":"Ewels","given":"Philip A."},{"family":"Peltzer","given":"Alexander"},{"family":"Fillinger","given":"Sven"},{"family":"Patel","given":"Harshil"},{"family":"Alneberg","given":"Johannes"},{"family":"Wilm","given":"Andreas"},{"family":"Garcia","given":"Maxime Ulysse"},{"family":"Di Tommaso","given":"Paolo"},{"family":"Nahnsen","given":"Sven"}],"issued":{"date-parts":[["2020",3]]}}}],"schema":"https://github.com/citation-style-language/schema/raw/master/csl-citation.json"} </w:instrText>
      </w:r>
      <w:r w:rsidRPr="00982466">
        <w:rPr>
          <w:rFonts w:eastAsia="Arial"/>
        </w:rPr>
        <w:fldChar w:fldCharType="separate"/>
      </w:r>
      <w:r w:rsidRPr="00982466">
        <w:rPr>
          <w:rFonts w:eastAsia="Calibri"/>
          <w:szCs w:val="24"/>
          <w:vertAlign w:val="superscript"/>
        </w:rPr>
        <w:t>55</w:t>
      </w:r>
      <w:r w:rsidRPr="00982466">
        <w:rPr>
          <w:rFonts w:eastAsia="Arial"/>
        </w:rPr>
        <w:fldChar w:fldCharType="end"/>
      </w:r>
      <w:r w:rsidRPr="00982466">
        <w:rPr>
          <w:rFonts w:eastAsia="MS Mincho"/>
        </w:rPr>
        <w:t xml:space="preserve">.  </w:t>
      </w:r>
      <w:r w:rsidRPr="00982466">
        <w:rPr>
          <w:rFonts w:eastAsia="Arial"/>
        </w:rPr>
        <w:fldChar w:fldCharType="begin"/>
      </w:r>
      <w:r w:rsidRPr="00982466">
        <w:rPr>
          <w:rFonts w:eastAsia="Arial"/>
        </w:rPr>
        <w:instrText xml:space="preserve"> ADDIN ZOTERO_ITEM CSL_CITATION {"citationID":"OWAmkUOE","properties":{"formattedCitation":"\\super 7\\nosupersub{}","plainCitation":"7","dontUpdate":true,"noteIndex":0},"citationItems":[{"id":298,"uris":["http://zotero.org/groups/2479917/items/9U4HAC4S"],"itemData":{"id":298,"type":"article-journal","container-title":"Nature biotechnology","DOI":"10.1038/nbt.1754","ISSN":"1087-0156","issue":"1","journalAbbreviation":"Nat Biotechnol","note":"PMID: 21221095\nPMCID: PMC3346182","page":"24-26","source":"PubMed Central","title":"Integrative Genomics Viewer","volume":"29","author":[{"family":"Robinson","given":"James T."},{"family":"Thorvaldsdóttir","given":"Helga"},{"family":"Winckler","given":"Wendy"},{"family":"Guttman","given":"Mitchell"},{"family":"Lander","given":"Eric S."},{"family":"Getz","given":"Gad"},{"family":"Mesirov","given":"Jill P."}],"issued":{"date-parts":[["2011",1]]}}},{"id":"MypTXvYg/bNaH7GSi","uris":["http://zotero.org/users/6514188/items/E5A4XP4T"],"itemData":{"id":5445,"type":"article-journal","abstract":"Summary: The Sequence Alignment/Map (SAM) format is a generic alignment format for storing read alignments against reference sequences, supporting short and long reads (up to 128 Mbp) produced by different sequencing platforms. It is flexible in style, ...","container-title":"Bioinformatics","DOI":"10.1093/bioinformatics/btp352","issue":"16","language":"en","note":"publisher: Oxford University Press\nPMID: 19505943","page":"2078","source":"www.ncbi.nlm.nih.gov","title":"The Sequence Alignment/Map format and SAMtools","volume":"25","author":[{"family":"Li","given":"Heng"},{"family":"Handsaker","given":"Bob"},{"family":"Wysoker","given":"Alec"},{"family":"Fennell","given":"Tim"},{"family":"Ruan","given":"Jue"},{"family":"Homer","given":"Nils"},{"family":"Marth","given":"Gabor"},{"family":"Abecasis","given":"Goncalo"},{"family":"Durbin","given":"Richard"},{"family":"Subgroup","given":"1000 Genome Project Data Processing"}],"issued":{"date-parts":[["2009",8,8]]}}}],"schema":"https://github.com/citation-style-language/schema/raw/master/csl-citation.json"} </w:instrText>
      </w:r>
      <w:r w:rsidR="00000000">
        <w:rPr>
          <w:rFonts w:eastAsia="Arial"/>
        </w:rPr>
        <w:fldChar w:fldCharType="separate"/>
      </w:r>
      <w:r w:rsidRPr="00982466">
        <w:rPr>
          <w:rFonts w:eastAsia="Arial"/>
        </w:rPr>
        <w:fldChar w:fldCharType="end"/>
      </w:r>
    </w:p>
    <w:p w14:paraId="7CAD99F5" w14:textId="77777777" w:rsidR="00982466" w:rsidRPr="00982466" w:rsidRDefault="00982466" w:rsidP="00982466">
      <w:pPr>
        <w:keepNext/>
        <w:keepLines/>
        <w:spacing w:before="240" w:line="480" w:lineRule="auto"/>
        <w:outlineLvl w:val="0"/>
        <w:rPr>
          <w:rFonts w:eastAsia="MS Gothic"/>
          <w:b/>
          <w:szCs w:val="24"/>
        </w:rPr>
      </w:pPr>
      <w:r w:rsidRPr="00982466">
        <w:rPr>
          <w:rFonts w:eastAsia="MS Gothic"/>
          <w:b/>
          <w:szCs w:val="24"/>
        </w:rPr>
        <w:lastRenderedPageBreak/>
        <w:t>Illumina RNA-seq and computational analysis</w:t>
      </w:r>
    </w:p>
    <w:p w14:paraId="2AF840BE" w14:textId="77777777" w:rsidR="00982466" w:rsidRPr="00982466" w:rsidRDefault="00982466" w:rsidP="00982466">
      <w:pPr>
        <w:spacing w:line="480" w:lineRule="auto"/>
        <w:rPr>
          <w:rFonts w:eastAsia="MS Mincho"/>
        </w:rPr>
      </w:pPr>
      <w:r w:rsidRPr="00982466">
        <w:rPr>
          <w:rFonts w:eastAsia="Calibri"/>
        </w:rPr>
        <w:t>Libraries were generated using the Illumina Stranded mRNA kit (20040534, Illumina) on 500 ng of total RNA. Library concentrations were quantified using the Qubit 3 (Q33216, Thermo Fisher) high sensitivity dsDNA assay (Q33231, Thermo Fisher), diluted to a final loading concentration of 650 pM, and sequenced on an Illumina NextSeq 2000 using a P3 100 cycle reagent kit (20040559, Illumina).</w:t>
      </w:r>
      <w:r w:rsidRPr="00982466">
        <w:rPr>
          <w:rFonts w:eastAsia="MS Mincho"/>
        </w:rPr>
        <w:t xml:space="preserve"> Transcript sequences were generated with gffread (0.12.7) </w:t>
      </w:r>
      <w:r w:rsidRPr="00982466">
        <w:rPr>
          <w:rFonts w:eastAsia="MS Mincho"/>
        </w:rPr>
        <w:fldChar w:fldCharType="begin"/>
      </w:r>
      <w:r w:rsidRPr="00982466">
        <w:rPr>
          <w:rFonts w:eastAsia="MS Mincho"/>
        </w:rPr>
        <w:instrText xml:space="preserve"> ADDIN ZOTERO_ITEM CSL_CITATION {"citationID":"TYbSv3pl","properties":{"formattedCitation":"\\super 56\\nosupersub{}","plainCitation":"56","noteIndex":0},"citationItems":[{"id":"MypTXvYg/bU3Xc29l","uris":["http://zotero.org/users/6514188/items/YPGJQ5BQ"],"itemData":{"id":5604,"type":"article-journal","abstract":"GTF (Gene Transfer Format) and GFF (General Feature Format) are popular file formats used by bioinformatics programs to represent and exchange information about various genomic features, such as gene and transcript locations and structure. GffRead and GffCompare are open source programs that provide extensive and efficient solutions to manipulate files in a GTF or GFF format. While GffRead can convert, sort, filter, transform, or cluster genomic features, GffCompare can be used to compare and merge different gene annotations. Availability and implementation: GFF utilities are implemented in C++ for Linux and OS X and released as open source under an MIT license  ( https://github.com/gpertea/gffread, https://github.com/gpertea/gffcompare).","container-title":"F1000Research","DOI":"10.12688/f1000research.23297.2","ISSN":"2046-1402","journalAbbreviation":"F1000Res","language":"eng","note":"PMID: 32489650\nPMCID: PMC7222033","page":"ISCB Comm J-304","source":"PubMed","title":"GFF Utilities: GffRead and GffCompare","title-short":"GFF Utilities","volume":"9","author":[{"family":"Pertea","given":"Geo"},{"family":"Pertea","given":"Mihaela"}],"issued":{"date-parts":[["2020"]]}}}],"schema":"https://github.com/citation-style-language/schema/raw/master/csl-citation.json"} </w:instrText>
      </w:r>
      <w:r w:rsidRPr="00982466">
        <w:rPr>
          <w:rFonts w:eastAsia="MS Mincho"/>
        </w:rPr>
        <w:fldChar w:fldCharType="separate"/>
      </w:r>
      <w:r w:rsidRPr="00982466">
        <w:rPr>
          <w:rFonts w:eastAsia="Calibri"/>
          <w:szCs w:val="24"/>
          <w:vertAlign w:val="superscript"/>
        </w:rPr>
        <w:t>56</w:t>
      </w:r>
      <w:r w:rsidRPr="00982466">
        <w:rPr>
          <w:rFonts w:eastAsia="MS Mincho"/>
        </w:rPr>
        <w:fldChar w:fldCharType="end"/>
      </w:r>
      <w:r w:rsidRPr="00982466">
        <w:rPr>
          <w:rFonts w:eastAsia="MS Mincho"/>
        </w:rPr>
        <w:t xml:space="preserve"> using a modified ENSEMBL Sscrofa11.1 FASTA assembly and v105 GTF annotation with unplaced contigs/scaffolds removed, and PL15S FASTA sequence and GTF annotation added as needed as a separate contig. For samples derived from transplanted organs, the ENSEMBL </w:t>
      </w:r>
      <w:r w:rsidRPr="00982466">
        <w:rPr>
          <w:rFonts w:eastAsia="MS Mincho"/>
          <w:i/>
          <w:iCs/>
        </w:rPr>
        <w:t>Macaca fascicularis</w:t>
      </w:r>
      <w:r w:rsidRPr="00982466">
        <w:rPr>
          <w:rFonts w:eastAsia="MS Mincho"/>
        </w:rPr>
        <w:t xml:space="preserve"> 6.0 FASTA assembly and v105 GTF annotations with unplaced contigs/scaffolds removed were appended to the pig reference. Transcripts were indexed using salmon index (1.6.0)</w:t>
      </w:r>
      <w:r w:rsidRPr="00982466">
        <w:rPr>
          <w:rFonts w:eastAsia="MS Mincho"/>
        </w:rPr>
        <w:fldChar w:fldCharType="begin"/>
      </w:r>
      <w:r w:rsidRPr="00982466">
        <w:rPr>
          <w:rFonts w:eastAsia="MS Mincho"/>
        </w:rPr>
        <w:instrText xml:space="preserve"> ADDIN ZOTERO_ITEM CSL_CITATION {"citationID":"1BB6mr29","properties":{"formattedCitation":"\\super 57\\nosupersub{}","plainCitation":"57","noteIndex":0},"citationItems":[{"id":5607,"uris":["http://zotero.org/users/6514188/items/77TY55WX"],"itemData":{"id":5607,"type":"article-journal","abstract":"We introduce Salmon, a lightweight method for quantifying transcript abundance from RNA-seq reads. Salmon combines a new dual-phase parallel inference algorithm and feature-rich bias models with an ultra-fast read mapping procedure. It is the first transcriptome-wide quantifier to correct for fragment GC-content bias, which, as we demonstrate here, substantially improves the accuracy of abundance estimates and the sensitivity of subsequent differential expression analysis.","container-title":"Nature Methods","DOI":"10.1038/nmeth.4197","ISSN":"1548-7105","issue":"4","journalAbbreviation":"Nat Methods","language":"eng","note":"PMID: 28263959\nPMCID: PMC5600148","page":"417-419","source":"PubMed","title":"Salmon provides fast and bias-aware quantification of transcript expression","volume":"14","author":[{"family":"Patro","given":"Rob"},{"family":"Duggal","given":"Geet"},{"family":"Love","given":"Michael I."},{"family":"Irizarry","given":"Rafael A."},{"family":"Kingsford","given":"Carl"}],"issued":{"date-parts":[["2017",4]]}}}],"schema":"https://github.com/citation-style-language/schema/raw/master/csl-citation.json"} </w:instrText>
      </w:r>
      <w:r w:rsidRPr="00982466">
        <w:rPr>
          <w:rFonts w:eastAsia="MS Mincho"/>
        </w:rPr>
        <w:fldChar w:fldCharType="separate"/>
      </w:r>
      <w:r w:rsidRPr="00982466">
        <w:rPr>
          <w:rFonts w:eastAsia="Calibri"/>
          <w:szCs w:val="24"/>
          <w:vertAlign w:val="superscript"/>
        </w:rPr>
        <w:t>57</w:t>
      </w:r>
      <w:r w:rsidRPr="00982466">
        <w:rPr>
          <w:rFonts w:eastAsia="MS Mincho"/>
        </w:rPr>
        <w:fldChar w:fldCharType="end"/>
      </w:r>
      <w:r w:rsidRPr="00982466">
        <w:rPr>
          <w:rFonts w:eastAsia="MS Mincho"/>
        </w:rPr>
        <w:t xml:space="preserve"> with standard settings, and using the whole genome as a decoy, and RNA-seq read counts were quantified at the transcript level with salmon quant (mapping-based mode) with custom settings: 100 bootstrap replicates and GC content and sequence bias correction were applied. Transcript abundances were aggregated to gene level using tximport (1.22.0)</w:t>
      </w:r>
      <w:r w:rsidRPr="00982466">
        <w:rPr>
          <w:rFonts w:eastAsia="MS Mincho"/>
        </w:rPr>
        <w:fldChar w:fldCharType="begin"/>
      </w:r>
      <w:r w:rsidRPr="00982466">
        <w:rPr>
          <w:rFonts w:eastAsia="MS Mincho"/>
        </w:rPr>
        <w:instrText xml:space="preserve"> ADDIN ZOTERO_ITEM CSL_CITATION {"citationID":"dLB9Q3ah","properties":{"formattedCitation":"\\super 58\\nosupersub{}","plainCitation":"58","noteIndex":0},"citationItems":[{"id":5610,"uris":["http://zotero.org/users/6514188/items/J9HL4BAL"],"itemData":{"id":5610,"type":"article-journal","abstract":"High-throughput sequencing of cDNA (RNA-seq) is used extensively to characterize the transcriptome of cells. Many transcriptomic studies aim at comparing either abundance levels or the transcriptome composition between given conditions, and as a first step, the sequencing reads must be used as the basis for abundance quantification of transcriptomic features of interest, such as genes or transcripts. Various quantification approaches have been proposed, ranging from simple counting of reads that overlap given genomic regions to more complex estimation of underlying transcript abundances. In this paper, we show that gene-level abundance estimates and statistical inference offer advantages over transcript-level analyses, in terms of performance and interpretability. We also illustrate that the presence of differential isoform usage can lead to inflated false discovery rates in differential gene expression analyses on simple count matrices but that this can be addressed by incorporating offsets derived from transcript-level abundance estimates. We also show that the problem is relatively minor in several real data sets. Finally, we provide an R package ( tximport) to help users integrate transcript-level abundance estimates from common quantification pipelines into count-based statistical inference engines.","container-title":"F1000Research","DOI":"10.12688/f1000research.7563.2","ISSN":"2046-1402","journalAbbreviation":"F1000Res","language":"eng","note":"PMID: 26925227\nPMCID: PMC4712774","page":"1521","source":"PubMed","title":"Differential analyses for RNA-seq: transcript-level estimates improve gene-level inferences","title-short":"Differential analyses for RNA-seq","volume":"4","author":[{"family":"Soneson","given":"Charlotte"},{"family":"Love","given":"Michael I."},{"family":"Robinson","given":"Mark D."}],"issued":{"date-parts":[["2015"]]}}}],"schema":"https://github.com/citation-style-language/schema/raw/master/csl-citation.json"} </w:instrText>
      </w:r>
      <w:r w:rsidRPr="00982466">
        <w:rPr>
          <w:rFonts w:eastAsia="MS Mincho"/>
        </w:rPr>
        <w:fldChar w:fldCharType="separate"/>
      </w:r>
      <w:r w:rsidRPr="00982466">
        <w:rPr>
          <w:rFonts w:eastAsia="Calibri"/>
          <w:szCs w:val="24"/>
          <w:vertAlign w:val="superscript"/>
        </w:rPr>
        <w:t>58</w:t>
      </w:r>
      <w:r w:rsidRPr="00982466">
        <w:rPr>
          <w:rFonts w:eastAsia="MS Mincho"/>
        </w:rPr>
        <w:fldChar w:fldCharType="end"/>
      </w:r>
      <w:r w:rsidRPr="00982466">
        <w:rPr>
          <w:rFonts w:eastAsia="MS Mincho"/>
        </w:rPr>
        <w:t>, only protein coding and lncRNA genes were retained, and normalized rlog counts were generated with DESeq2 (1.34.0)</w:t>
      </w:r>
      <w:r w:rsidRPr="00982466">
        <w:rPr>
          <w:rFonts w:eastAsia="MS Mincho"/>
        </w:rPr>
        <w:fldChar w:fldCharType="begin"/>
      </w:r>
      <w:r w:rsidRPr="00982466">
        <w:rPr>
          <w:rFonts w:eastAsia="MS Mincho"/>
        </w:rPr>
        <w:instrText xml:space="preserve"> ADDIN ZOTERO_ITEM CSL_CITATION {"citationID":"LgODRwHJ","properties":{"formattedCitation":"\\super 59\\nosupersub{}","plainCitation":"59","noteIndex":0},"citationItems":[{"id":5613,"uris":["http://zotero.org/users/6514188/items/6B5KW9AQ"],"itemData":{"id":5613,"type":"article-journal","abstract":"In comparative high-throughput sequencing assays, a fundamental task is the analysis of count data, such as read counts per gene in RNA-seq, for evidence of systematic changes across experimental conditions. Small replicate numbers, discreteness, large dynamic range and the presence of outliers require a suitable statistical approach. We present DESeq2, a method for differential analysis of count data, using shrinkage estimation for dispersions and fold changes to improve stability and interpretability of estimates. This enables a more quantitative analysis focused on the strength rather than the mere presence of differential expression. The DESeq2 package is available at http://www.bioconductor.org/packages/release/bioc/html/DESeq2.html webcite.","container-title":"Genome Biology","DOI":"10.1186/s13059-014-0550-8","ISSN":"1474-760X","issue":"12","journalAbbreviation":"Genome Biol","language":"eng","note":"PMID: 25516281\nPMCID: PMC4302049","page":"550","source":"PubMed","title":"Moderated estimation of fold change and  dispersion for RNA-seq data with DESeq2","volume":"15","author":[{"family":"Love","given":"Michael I."},{"family":"Huber","given":"Wolfgang"},{"family":"Anders","given":"Simon"}],"issued":{"date-parts":[["2014"]]}}}],"schema":"https://github.com/citation-style-language/schema/raw/master/csl-citation.json"} </w:instrText>
      </w:r>
      <w:r w:rsidRPr="00982466">
        <w:rPr>
          <w:rFonts w:eastAsia="MS Mincho"/>
        </w:rPr>
        <w:fldChar w:fldCharType="separate"/>
      </w:r>
      <w:r w:rsidRPr="00982466">
        <w:rPr>
          <w:rFonts w:eastAsia="Calibri"/>
          <w:szCs w:val="24"/>
          <w:vertAlign w:val="superscript"/>
        </w:rPr>
        <w:t>59</w:t>
      </w:r>
      <w:r w:rsidRPr="00982466">
        <w:rPr>
          <w:rFonts w:eastAsia="MS Mincho"/>
        </w:rPr>
        <w:fldChar w:fldCharType="end"/>
      </w:r>
      <w:r w:rsidRPr="00982466">
        <w:rPr>
          <w:rFonts w:eastAsia="MS Mincho"/>
        </w:rPr>
        <w:t xml:space="preserve"> using sample collection source (i.e. contralateral, biopsy, and necropsy) and Pig ID as an unblinded covariates for the kidney data, and sample type (i.e., CD31-, CD31+ KEC) and Pig ID for the KEC data. For each PL15S cassette the mean rlog value for all genes in the cassette was computed before plotting with ggplot2. The ComplexHeatmap (2.10.0)</w:t>
      </w:r>
      <w:r w:rsidRPr="00982466">
        <w:rPr>
          <w:rFonts w:eastAsia="MS Mincho"/>
        </w:rPr>
        <w:fldChar w:fldCharType="begin"/>
      </w:r>
      <w:r w:rsidRPr="00982466">
        <w:rPr>
          <w:rFonts w:eastAsia="MS Mincho"/>
        </w:rPr>
        <w:instrText xml:space="preserve"> ADDIN ZOTERO_ITEM CSL_CITATION {"citationID":"zEmf4m8o","properties":{"formattedCitation":"\\super 60\\nosupersub{}","plainCitation":"60","noteIndex":0},"citationItems":[{"id":5616,"uris":["http://zotero.org/users/6514188/items/7QYY3MHC"],"itemData":{"id":5616,"type":"article-journal","abstract":"Parallel heatmaps with carefully designed annotation graphics are powerful for efficient visualization of patterns and relationships among high dimensional genomic data. Here we present the ComplexHeatmap package that provides rich functionalities for customizing heatmaps, arranging multiple parallel heatmaps and including user-defined annotation graphics. We demonstrate the power of ComplexHeatmap to easily reveal patterns and correlations among multiple sources of information with four real-world datasets.\nAVAILABILITY AND IMPLEMENTATION: The ComplexHeatmap package and documentation are freely available from the Bioconductor project: http://www.bioconductor.org/packages/devel/bioc/html/ComplexHeatmap.html\nCONTACT: m.schlesner@dkfz.de\nSUPPLEMENTARY INFORMATION: Supplementary data are available at Bioinformatics online.","container-title":"Bioinformatics (Oxford, England)","DOI":"10.1093/bioinformatics/btw313","ISSN":"1367-4811","issue":"18","journalAbbreviation":"Bioinformatics","language":"eng","note":"PMID: 27207943","page":"2847-2849","source":"PubMed","title":"Complex heatmaps reveal patterns and correlations in multidimensional genomic data","volume":"32","author":[{"family":"Gu","given":"Zuguang"},{"family":"Eils","given":"Roland"},{"family":"Schlesner","given":"Matthias"}],"issued":{"date-parts":[["2016",9,15]]}}}],"schema":"https://github.com/citation-style-language/schema/raw/master/csl-citation.json"} </w:instrText>
      </w:r>
      <w:r w:rsidRPr="00982466">
        <w:rPr>
          <w:rFonts w:eastAsia="MS Mincho"/>
        </w:rPr>
        <w:fldChar w:fldCharType="separate"/>
      </w:r>
      <w:r w:rsidRPr="00982466">
        <w:rPr>
          <w:rFonts w:eastAsia="Calibri"/>
          <w:szCs w:val="24"/>
          <w:vertAlign w:val="superscript"/>
        </w:rPr>
        <w:t>60</w:t>
      </w:r>
      <w:r w:rsidRPr="00982466">
        <w:rPr>
          <w:rFonts w:eastAsia="MS Mincho"/>
        </w:rPr>
        <w:fldChar w:fldCharType="end"/>
      </w:r>
      <w:r w:rsidRPr="00982466">
        <w:rPr>
          <w:rFonts w:eastAsia="MS Mincho"/>
        </w:rPr>
        <w:t xml:space="preserve"> library was used for heatmap creation. Code for payload expression (</w:t>
      </w:r>
      <w:hyperlink r:id="rId11" w:history="1">
        <w:r w:rsidRPr="00982466">
          <w:rPr>
            <w:rFonts w:eastAsia="MS Mincho"/>
            <w:color w:val="0000FF"/>
            <w:u w:val="single"/>
          </w:rPr>
          <w:t>https://github.com/egenesis/Nature_2023_RNA-seq</w:t>
        </w:r>
      </w:hyperlink>
      <w:r w:rsidRPr="00982466">
        <w:rPr>
          <w:rFonts w:eastAsia="MS Mincho"/>
        </w:rPr>
        <w:t>) and KEC identity (</w:t>
      </w:r>
      <w:hyperlink r:id="rId12" w:history="1">
        <w:r w:rsidRPr="00982466">
          <w:rPr>
            <w:rFonts w:eastAsia="MS Mincho"/>
          </w:rPr>
          <w:t>https://github.com/egenesis/Nature_2023_scRNAseq</w:t>
        </w:r>
        <w:r w:rsidRPr="00982466">
          <w:rPr>
            <w:rFonts w:eastAsia="MS Mincho"/>
            <w:color w:val="0000FF"/>
            <w:u w:val="single"/>
          </w:rPr>
          <w:t>)</w:t>
        </w:r>
      </w:hyperlink>
      <w:r w:rsidRPr="00982466">
        <w:rPr>
          <w:rFonts w:eastAsia="MS Mincho"/>
        </w:rPr>
        <w:t xml:space="preserve"> are available on github.</w:t>
      </w:r>
    </w:p>
    <w:p w14:paraId="10D892DE" w14:textId="77777777" w:rsidR="00982466" w:rsidRPr="00982466" w:rsidRDefault="00982466" w:rsidP="00982466">
      <w:pPr>
        <w:keepNext/>
        <w:keepLines/>
        <w:spacing w:before="240" w:line="480" w:lineRule="auto"/>
        <w:outlineLvl w:val="0"/>
        <w:rPr>
          <w:rFonts w:eastAsia="MS Gothic"/>
          <w:b/>
          <w:szCs w:val="24"/>
        </w:rPr>
      </w:pPr>
      <w:r w:rsidRPr="00982466">
        <w:rPr>
          <w:rFonts w:eastAsia="MS Gothic"/>
          <w:b/>
          <w:szCs w:val="24"/>
        </w:rPr>
        <w:lastRenderedPageBreak/>
        <w:t>scRNA-seq of dissociated kidney cells</w:t>
      </w:r>
      <w:r w:rsidRPr="00982466">
        <w:rPr>
          <w:rFonts w:eastAsia="MS Gothic"/>
          <w:b/>
          <w:bCs/>
          <w:szCs w:val="24"/>
        </w:rPr>
        <w:t xml:space="preserve"> and computational analysis of 3’ scRNA-seq</w:t>
      </w:r>
    </w:p>
    <w:p w14:paraId="5F86F9F5" w14:textId="77777777" w:rsidR="00982466" w:rsidRPr="00982466" w:rsidRDefault="00982466" w:rsidP="00982466">
      <w:pPr>
        <w:spacing w:line="480" w:lineRule="auto"/>
        <w:rPr>
          <w:rFonts w:eastAsia="MS Mincho"/>
        </w:rPr>
      </w:pPr>
      <w:r w:rsidRPr="00982466">
        <w:rPr>
          <w:rFonts w:eastAsia="MS Mincho"/>
        </w:rPr>
        <w:t>Kidney samples were dissociated into single cells as described above and cells processed for scRNA-seq. The cells were resuspended in RBC lysis buffer (11814389001, Roche, Basel, Switzerland) for 2 minutes on ice. Lysis was terminated by adding 1X HBSS with 20% FBS, the cells were centrifuged and the pellets resuspended in 1X HBSS and filtered through a 70-µm filter. Cells were manually counted by trypan blue exclusion, and dead cell removal was performed using a Dead Cell Removal Kit (130-090-101, Miltenyi Biotec) following manufacturer’s instructions. After dead cell removal, cells were recounted and resuspended in complete medium at a concentration of 600-1200 cells/μL. Cell suspensions were used to generate scRNA-seq libraries, using 10X Genomics Chromium Next GEM Single Cell 3’ v3.1 (Dual Index) (1000121, 10X Genomics, Pleasanton, CA), per manufacturer’s instructions.</w:t>
      </w:r>
      <w:r w:rsidRPr="00982466">
        <w:rPr>
          <w:rFonts w:eastAsia="MS Gothic"/>
          <w:b/>
          <w:bCs/>
        </w:rPr>
        <w:t xml:space="preserve"> </w:t>
      </w:r>
      <w:r w:rsidRPr="00982466">
        <w:rPr>
          <w:rFonts w:eastAsia="MS Mincho"/>
        </w:rPr>
        <w:t>The assembly and annotation previously generated for RNA-seq was indexed using STARsolo (2.7.9a)</w:t>
      </w:r>
      <w:r w:rsidRPr="00982466">
        <w:rPr>
          <w:rFonts w:eastAsia="MS Mincho"/>
        </w:rPr>
        <w:fldChar w:fldCharType="begin"/>
      </w:r>
      <w:r w:rsidRPr="00982466">
        <w:rPr>
          <w:rFonts w:eastAsia="MS Mincho"/>
        </w:rPr>
        <w:instrText xml:space="preserve"> ADDIN ZOTERO_ITEM CSL_CITATION {"citationID":"haYm7iUc","properties":{"formattedCitation":"\\super 61\\nosupersub{}","plainCitation":"61","noteIndex":0},"citationItems":[{"id":5619,"uris":["http://zotero.org/users/6514188/items/AGN663WZ"],"itemData":{"id":5619,"type":"report","abstract":"Abstract\n          \n            We present\n            STARsolo\n            , a comprehensive turnkey solution for quantifying gene expression in single-cell/nucleus RNA-seq data, built into RNA-seq aligner\n            STAR\n            . Using simulated data that closely resembles realistic scRNA-seq, we demonstrate that\n            STARsolo\n            is highly accurate and significantly outperforms pseudoalignment-to-transcriptome tools.\n            STARsolo\n            can replicate the results of, but is considerably faster than\n            CellRanger\n            , currently the most widely used tool for pre-processing scRNA-seq data. In addition to uniquely mapped reads,\n            STARsolo\n            takes account of multi-gene reads, necessary to detect certain classes of biologically important genes. It has a flexible cell barcode processing scheme, compatible with many established scRNA-seq protocols, and extendable to emerging technologies.\n            STARsolo\n            can quantify transcriptomic features beyond gene expression, which we illustrate by analyzing cell-type-specific alternative splicing in the Tabula Muris project.","genre":"preprint","language":"en","note":"DOI: 10.1101/2021.05.05.442755","publisher":"Bioinformatics","source":"DOI.org (Crossref)","title":"STARsolo: accurate, fast and versatile mapping/quantification of single-cell and single-nucleus RNA-seq data","title-short":"STARsolo","URL":"http://biorxiv.org/lookup/doi/10.1101/2021.05.05.442755","author":[{"family":"Kaminow","given":"Benjamin"},{"family":"Yunusov","given":"Dinar"},{"family":"Dobin","given":"Alexander"}],"accessed":{"date-parts":[["2022",8,4]]},"issued":{"date-parts":[["2021",5,5]]}}}],"schema":"https://github.com/citation-style-language/schema/raw/master/csl-citation.json"} </w:instrText>
      </w:r>
      <w:r w:rsidRPr="00982466">
        <w:rPr>
          <w:rFonts w:eastAsia="MS Mincho"/>
        </w:rPr>
        <w:fldChar w:fldCharType="separate"/>
      </w:r>
      <w:r w:rsidRPr="00982466">
        <w:rPr>
          <w:rFonts w:eastAsia="Calibri"/>
          <w:szCs w:val="24"/>
          <w:vertAlign w:val="superscript"/>
        </w:rPr>
        <w:t>61</w:t>
      </w:r>
      <w:r w:rsidRPr="00982466">
        <w:rPr>
          <w:rFonts w:eastAsia="MS Mincho"/>
        </w:rPr>
        <w:fldChar w:fldCharType="end"/>
      </w:r>
      <w:r w:rsidRPr="00982466">
        <w:rPr>
          <w:rFonts w:eastAsia="MS Mincho"/>
        </w:rPr>
        <w:t xml:space="preserve"> –genomeGenerate with standard settings. 10X 3’ scRNA-seq was quantified using STARsolo with additional settings –soloCellFilter EmptyDrops_CR, --soloMultiMappers EM, --clipAdapterType CellRanger4, --outFilterScoreMin 30, --soloCBmatchWLtype 1MM_multi_Nbase_pseudocounts, --soloType Gene, --soloUMIdedup 1MM_CR, --soloUMIfiltering MultiGeneUMI_CR, and –soloUMIlen 12. Counts were loaded into R (4.1.2) using DropletUtils (1.14.2)</w:t>
      </w:r>
      <w:r w:rsidRPr="00982466">
        <w:rPr>
          <w:rFonts w:eastAsia="MS Mincho"/>
        </w:rPr>
        <w:fldChar w:fldCharType="begin"/>
      </w:r>
      <w:r w:rsidRPr="00982466">
        <w:rPr>
          <w:rFonts w:eastAsia="MS Mincho"/>
        </w:rPr>
        <w:instrText xml:space="preserve"> ADDIN ZOTERO_ITEM CSL_CITATION {"citationID":"B2QMJqnb","properties":{"formattedCitation":"\\super 62\\nosupersub{}","plainCitation":"62","noteIndex":0},"citationItems":[{"id":5621,"uris":["http://zotero.org/users/6514188/items/XAHQJFB3"],"itemData":{"id":5621,"type":"article-journal","abstract":"Droplet-based single-cell RNA sequencing protocols have dramatically increased the throughput of single-cell transcriptomics studies. A key computational challenge when processing these data is to distinguish libraries for real cells from empty droplets. Here, we describe a new statistical method for calling cells from droplet-based data, based on detecting significant deviations from the expression profile of the ambient solution. Using simulations, we demonstrate that EmptyDrops has greater power than existing approaches while controlling the false discovery rate among detected cells. Our method also retains distinct cell types that would have been discarded by existing methods in several real data sets.","container-title":"Genome Biology","DOI":"10.1186/s13059-019-1662-y","ISSN":"1474-760X","issue":"1","journalAbbreviation":"Genome Biol","language":"eng","note":"PMID: 30902100\nPMCID: PMC6431044","page":"63","source":"PubMed","title":"EmptyDrops: distinguishing cells from empty droplets in droplet-based single-cell RNA sequencing data","title-short":"EmptyDrops","volume":"20","author":[{"family":"Lun","given":"Aaron T. L."},{"family":"Riesenfeld","given":"Samantha"},{"family":"Andrews","given":"Tallulah"},{"family":"Dao","given":"The Phuong"},{"family":"Gomes","given":"Tomas"},{"literal":"participants in the 1st Human Cell Atlas Jamboree"},{"family":"Marioni","given":"John C."}],"issued":{"date-parts":[["2019",3,22]]}}}],"schema":"https://github.com/citation-style-language/schema/raw/master/csl-citation.json"} </w:instrText>
      </w:r>
      <w:r w:rsidRPr="00982466">
        <w:rPr>
          <w:rFonts w:eastAsia="MS Mincho"/>
        </w:rPr>
        <w:fldChar w:fldCharType="separate"/>
      </w:r>
      <w:r w:rsidRPr="00982466">
        <w:rPr>
          <w:rFonts w:eastAsia="Calibri"/>
          <w:szCs w:val="24"/>
          <w:vertAlign w:val="superscript"/>
        </w:rPr>
        <w:t>62</w:t>
      </w:r>
      <w:r w:rsidRPr="00982466">
        <w:rPr>
          <w:rFonts w:eastAsia="MS Mincho"/>
        </w:rPr>
        <w:fldChar w:fldCharType="end"/>
      </w:r>
      <w:r w:rsidRPr="00982466">
        <w:rPr>
          <w:rFonts w:eastAsia="MS Mincho"/>
        </w:rPr>
        <w:t xml:space="preserve"> and cells filtered based on number of unique molecular identifiers (UMIs) and detected features, percentage of mitochondrial UMIs, percentage of protein-coding and lncRNA UMIs, complexity (number of detected features versus total UMIs per cell), and doublet removal using scDblFinder (1.8.0)</w:t>
      </w:r>
      <w:r w:rsidRPr="00982466">
        <w:rPr>
          <w:rFonts w:eastAsia="MS Mincho"/>
        </w:rPr>
        <w:fldChar w:fldCharType="begin"/>
      </w:r>
      <w:r w:rsidRPr="00982466">
        <w:rPr>
          <w:rFonts w:eastAsia="MS Mincho"/>
        </w:rPr>
        <w:instrText xml:space="preserve"> ADDIN ZOTERO_ITEM CSL_CITATION {"citationID":"ipWKrxSB","properties":{"formattedCitation":"\\super 63\\nosupersub{}","plainCitation":"63","noteIndex":0},"citationItems":[{"id":5624,"uris":["http://zotero.org/users/6514188/items/NSRYEIKP"],"itemData":{"id":5624,"type":"article-journal","abstract":"Doublets are prevalent in single-cell sequencing data and can lead to artifactual findings. A number of strategies have therefore been proposed to detect them. Building on the strengths of existing approaches, we developed scDblFinder, a fast, flexible and accurate Bioconductor-based doublet detection method. Here we present the method, justify its design choices, demonstrate its performance on both single-cell RNA and accessibility (ATAC) sequencing data, and provide some observations on doublet formation, detection, and enrichment analysis. Even in complex datasets, scDblFinder can accurately identify most heterotypic doublets, and was already found by an independent benchmark to outcompete alternatives.","container-title":"F1000Research","DOI":"10.12688/f1000research.73600.2","ISSN":"2046-1402","journalAbbreviation":"F1000Res","language":"eng","note":"PMID: 35814628\nPMCID: PMC9204188","page":"979","source":"PubMed","title":"Doublet identification in single-cell sequencing data using scDblFinder","volume":"10","author":[{"family":"Germain","given":"Pierre-Luc"},{"family":"Lun","given":"Aaron"},{"family":"Garcia Meixide","given":"Carlos"},{"family":"Macnair","given":"Will"},{"family":"Robinson","given":"Mark D."}],"issued":{"date-parts":[["2021"]]}}}],"schema":"https://github.com/citation-style-language/schema/raw/master/csl-citation.json"} </w:instrText>
      </w:r>
      <w:r w:rsidRPr="00982466">
        <w:rPr>
          <w:rFonts w:eastAsia="MS Mincho"/>
        </w:rPr>
        <w:fldChar w:fldCharType="separate"/>
      </w:r>
      <w:r w:rsidRPr="00982466">
        <w:rPr>
          <w:rFonts w:eastAsia="Calibri"/>
          <w:szCs w:val="24"/>
          <w:vertAlign w:val="superscript"/>
        </w:rPr>
        <w:t>63</w:t>
      </w:r>
      <w:r w:rsidRPr="00982466">
        <w:rPr>
          <w:rFonts w:eastAsia="MS Mincho"/>
        </w:rPr>
        <w:fldChar w:fldCharType="end"/>
      </w:r>
      <w:r w:rsidRPr="00982466">
        <w:rPr>
          <w:rFonts w:eastAsia="MS Mincho"/>
        </w:rPr>
        <w:t>. Counts were normalized using scran quickCluster, computeSumFactors, and logNormCounts per scran (1.22.1) guidelines</w:t>
      </w:r>
      <w:r w:rsidRPr="00982466">
        <w:rPr>
          <w:rFonts w:eastAsia="MS Mincho"/>
        </w:rPr>
        <w:fldChar w:fldCharType="begin"/>
      </w:r>
      <w:r w:rsidRPr="00982466">
        <w:rPr>
          <w:rFonts w:eastAsia="MS Mincho"/>
        </w:rPr>
        <w:instrText xml:space="preserve"> ADDIN ZOTERO_ITEM CSL_CITATION {"citationID":"h5yjb0vJ","properties":{"formattedCitation":"\\super 64\\nosupersub{}","plainCitation":"64","noteIndex":0},"citationItems":[{"id":5627,"uris":["http://zotero.org/users/6514188/items/ZTLC7U7Q"],"itemData":{"id":5627,"type":"article-journal","abstract":"Recent technological advancements have enabled the profiling of a large number of genome-wide features in individual cells. However, single-cell data present unique challenges that require the development of specialized methods and software infrastructure to successfully derive biological insights. The Bioconductor project has rapidly grown to meet these demands, hosting community-developed open-source software distributed as R packages. Featuring state-of-the-art computational methods, standardized data infrastructure and interactive data visualization tools, we present an overview and online book (https://osca.bioconductor.org) of single-cell methods for prospective users.","container-title":"Nature Methods","DOI":"10.1038/s41592-019-0654-x","ISSN":"1548-7105","issue":"2","journalAbbreviation":"Nat Methods","language":"eng","note":"PMID: 31792435\nPMCID: PMC7358058","page":"137-145","source":"PubMed","title":"Orchestrating single-cell analysis with Bioconductor","volume":"17","author":[{"family":"Amezquita","given":"Robert A."},{"family":"Lun","given":"Aaron T. L."},{"family":"Becht","given":"Etienne"},{"family":"Carey","given":"Vince J."},{"family":"Carpp","given":"Lindsay N."},{"family":"Geistlinger","given":"Ludwig"},{"family":"Marini","given":"Federico"},{"family":"Rue-Albrecht","given":"Kevin"},{"family":"Risso","given":"Davide"},{"family":"Soneson","given":"Charlotte"},{"family":"Waldron","given":"Levi"},{"family":"Pagès","given":"Hervé"},{"family":"Smith","given":"Mike L."},{"family":"Huber","given":"Wolfgang"},{"family":"Morgan","given":"Martin"},{"family":"Gottardo","given":"Raphael"},{"family":"Hicks","given":"Stephanie C."}],"issued":{"date-parts":[["2020",2]]}}}],"schema":"https://github.com/citation-style-language/schema/raw/master/csl-citation.json"} </w:instrText>
      </w:r>
      <w:r w:rsidRPr="00982466">
        <w:rPr>
          <w:rFonts w:eastAsia="MS Mincho"/>
        </w:rPr>
        <w:fldChar w:fldCharType="separate"/>
      </w:r>
      <w:r w:rsidRPr="00982466">
        <w:rPr>
          <w:rFonts w:eastAsia="Calibri"/>
          <w:szCs w:val="24"/>
          <w:vertAlign w:val="superscript"/>
        </w:rPr>
        <w:t>64</w:t>
      </w:r>
      <w:r w:rsidRPr="00982466">
        <w:rPr>
          <w:rFonts w:eastAsia="MS Mincho"/>
        </w:rPr>
        <w:fldChar w:fldCharType="end"/>
      </w:r>
      <w:r w:rsidRPr="00982466">
        <w:rPr>
          <w:rFonts w:eastAsia="MS Mincho"/>
        </w:rPr>
        <w:t>. Cell-cycle was assigned using Seurat (4.1.0)</w:t>
      </w:r>
      <w:r w:rsidRPr="00982466">
        <w:rPr>
          <w:rFonts w:eastAsia="MS Mincho"/>
        </w:rPr>
        <w:fldChar w:fldCharType="begin"/>
      </w:r>
      <w:r w:rsidRPr="00982466">
        <w:rPr>
          <w:rFonts w:eastAsia="MS Mincho"/>
        </w:rPr>
        <w:instrText xml:space="preserve"> ADDIN ZOTERO_ITEM CSL_CITATION {"citationID":"FhuMnkma","properties":{"formattedCitation":"\\super 65\\nosupersub{}","plainCitation":"65","noteIndex":0},"citationItems":[{"id":5630,"uris":["http://zotero.org/users/6514188/items/TI7ZVNPD"],"itemData":{"id":5630,"type":"article-journal","abstract":"The simultaneous measurement of multiple modalities represents an exciting frontier for single-cell genomics and necessitates computational methods that can define cellular states based on multimodal data. Here, we introduce \"weighted-nearest neighbor\" analysis, an unsupervised framework to learn the relative utility of each data type in each cell, enabling an integrative analysis of multiple modalities. We apply our procedure to a CITE-seq dataset of 211,000 human peripheral blood mononuclear cells (PBMCs) with panels extending to 228 antibodies to construct a multimodal reference atlas of the circulating immune system. Multimodal analysis substantially improves our ability to resolve cell states, allowing us to identify and validate previously unreported lymphoid subpopulations. Moreover, we demonstrate how to leverage this reference to rapidly map new datasets and to interpret immune responses to vaccination and coronavirus disease 2019 (COVID-19). Our approach represents a broadly applicable strategy to analyze single-cell multimodal datasets and to look beyond the transcriptome toward a unified and multimodal definition of cellular identity.","container-title":"Cell","DOI":"10.1016/j.cell.2021.04.048","ISSN":"1097-4172","issue":"13","journalAbbreviation":"Cell","language":"eng","note":"PMID: 34062119\nPMCID: PMC8238499","page":"3573-3587.e29","source":"PubMed","title":"Integrated analysis of multimodal single-cell data","volume":"184","author":[{"family":"Hao","given":"Yuhan"},{"family":"Hao","given":"Stephanie"},{"family":"Andersen-Nissen","given":"Erica"},{"family":"Mauck","given":"William M."},{"family":"Zheng","given":"Shiwei"},{"family":"Butler","given":"Andrew"},{"family":"Lee","given":"Maddie J."},{"family":"Wilk","given":"Aaron J."},{"family":"Darby","given":"Charlotte"},{"family":"Zager","given":"Michael"},{"family":"Hoffman","given":"Paul"},{"family":"Stoeckius","given":"Marlon"},{"family":"Papalexi","given":"Efthymia"},{"family":"Mimitou","given":"Eleni P."},{"family":"Jain","given":"Jaison"},{"family":"Srivastava","given":"Avi"},{"family":"Stuart","given":"Tim"},{"family":"Fleming","given":"Lamar M."},{"family":"Yeung","given":"Bertrand"},{"family":"Rogers","given":"Angela J."},{"family":"McElrath","given":"Juliana M."},{"family":"Blish","given":"Catherine A."},{"family":"Gottardo","given":"Raphael"},{"family":"Smibert","given":"Peter"},{"family":"Satija","given":"Rahul"}],"issued":{"date-parts":[["2021",6,24]]}}}],"schema":"https://github.com/citation-style-language/schema/raw/master/csl-citation.json"} </w:instrText>
      </w:r>
      <w:r w:rsidRPr="00982466">
        <w:rPr>
          <w:rFonts w:eastAsia="MS Mincho"/>
        </w:rPr>
        <w:fldChar w:fldCharType="separate"/>
      </w:r>
      <w:r w:rsidRPr="00982466">
        <w:rPr>
          <w:rFonts w:eastAsia="Calibri"/>
          <w:szCs w:val="24"/>
          <w:vertAlign w:val="superscript"/>
        </w:rPr>
        <w:t>65</w:t>
      </w:r>
      <w:r w:rsidRPr="00982466">
        <w:rPr>
          <w:rFonts w:eastAsia="MS Mincho"/>
        </w:rPr>
        <w:fldChar w:fldCharType="end"/>
      </w:r>
      <w:r w:rsidRPr="00982466">
        <w:rPr>
          <w:rFonts w:eastAsia="MS Mincho"/>
        </w:rPr>
        <w:t xml:space="preserve"> CellCycleScoring. Batch effects were removed using scVI </w:t>
      </w:r>
      <w:r w:rsidRPr="00982466">
        <w:rPr>
          <w:rFonts w:eastAsia="MS Mincho"/>
        </w:rPr>
        <w:lastRenderedPageBreak/>
        <w:t>(0.15.5)</w:t>
      </w:r>
      <w:r w:rsidRPr="00982466">
        <w:rPr>
          <w:rFonts w:eastAsia="MS Mincho"/>
        </w:rPr>
        <w:fldChar w:fldCharType="begin"/>
      </w:r>
      <w:r w:rsidRPr="00982466">
        <w:rPr>
          <w:rFonts w:eastAsia="MS Mincho"/>
        </w:rPr>
        <w:instrText xml:space="preserve"> ADDIN ZOTERO_ITEM CSL_CITATION {"citationID":"QucVhVqY","properties":{"formattedCitation":"\\super 66\\nosupersub{}","plainCitation":"66","noteIndex":0},"citationItems":[{"id":5633,"uris":["http://zotero.org/users/6514188/items/5WWDC332"],"itemData":{"id":5633,"type":"article-journal","abstract":"Single-cell transcriptome measurements can reveal unexplored biological diversity, but they suffer from technical noise and bias that must be modeled to account for the resulting uncertainty in downstream analyses. Here we introduce single-cell variational inference (scVI), a ready-to-use scalable framework for the probabilistic representation and analysis of gene expression in single cells ( https://github.com/YosefLab/scVI ). scVI uses stochastic optimization and deep neural networks to aggregate information across similar cells and genes and to approximate the distributions that underlie observed expression values, while accounting for batch effects and limited sensitivity. We used scVI for a range of fundamental analysis tasks including batch correction, visualization, clustering, and differential expression, and achieved high accuracy for each task.","container-title":"Nature Methods","DOI":"10.1038/s41592-018-0229-2","ISSN":"1548-7105","issue":"12","journalAbbreviation":"Nat Methods","language":"eng","note":"PMID: 30504886\nPMCID: PMC6289068","page":"1053-1058","source":"PubMed","title":"Deep generative modeling for single-cell transcriptomics","volume":"15","author":[{"family":"Lopez","given":"Romain"},{"family":"Regier","given":"Jeffrey"},{"family":"Cole","given":"Michael B."},{"family":"Jordan","given":"Michael I."},{"family":"Yosef","given":"Nir"}],"issued":{"date-parts":[["2018",12]]}}}],"schema":"https://github.com/citation-style-language/schema/raw/master/csl-citation.json"} </w:instrText>
      </w:r>
      <w:r w:rsidRPr="00982466">
        <w:rPr>
          <w:rFonts w:eastAsia="MS Mincho"/>
        </w:rPr>
        <w:fldChar w:fldCharType="separate"/>
      </w:r>
      <w:r w:rsidRPr="00982466">
        <w:rPr>
          <w:rFonts w:eastAsia="Calibri"/>
          <w:szCs w:val="24"/>
          <w:vertAlign w:val="superscript"/>
        </w:rPr>
        <w:t>66</w:t>
      </w:r>
      <w:r w:rsidRPr="00982466">
        <w:rPr>
          <w:rFonts w:eastAsia="MS Mincho"/>
        </w:rPr>
        <w:fldChar w:fldCharType="end"/>
      </w:r>
      <w:r w:rsidRPr="00982466">
        <w:rPr>
          <w:rFonts w:eastAsia="MS Mincho"/>
        </w:rPr>
        <w:t xml:space="preserve"> with mitochondrial UMI percentage, Seurat S and G2M phase cell cycle scores, porcine donor, and kidney region (i.e. cortex or medulla) as covariates. Cells were clustered on the 20 latent dimensions from scVI using the bluster (1.4.0) (</w:t>
      </w:r>
      <w:hyperlink r:id="rId13" w:history="1">
        <w:r w:rsidRPr="00982466">
          <w:rPr>
            <w:rFonts w:eastAsia="MS Mincho"/>
            <w:color w:val="0000FF"/>
            <w:u w:val="single"/>
          </w:rPr>
          <w:t>https://www.bioconductor.org/packages/release/bioc/html/bluster.html</w:t>
        </w:r>
      </w:hyperlink>
      <w:r w:rsidRPr="00982466">
        <w:rPr>
          <w:rFonts w:eastAsia="MS Mincho"/>
        </w:rPr>
        <w:t>) louvain algorithm on shared nearest neighbors (k=3) via scran clusterCells. UMAP manifold was created via scater (1.22.0)</w:t>
      </w:r>
      <w:r w:rsidRPr="00982466">
        <w:rPr>
          <w:rFonts w:eastAsia="MS Mincho"/>
        </w:rPr>
        <w:fldChar w:fldCharType="begin"/>
      </w:r>
      <w:r w:rsidRPr="00982466">
        <w:rPr>
          <w:rFonts w:eastAsia="MS Mincho"/>
        </w:rPr>
        <w:instrText xml:space="preserve"> ADDIN ZOTERO_ITEM CSL_CITATION {"citationID":"xQdmI5jK","properties":{"formattedCitation":"\\super 67\\nosupersub{}","plainCitation":"67","noteIndex":0},"citationItems":[{"id":5636,"uris":["http://zotero.org/users/6514188/items/6EACUB9Q"],"itemData":{"id":5636,"type":"article-journal","abstract":"Motivation: Single-cell RNA sequencing (scRNA-seq) is increasingly used to study gene expression at the level of individual cells. However, preparing raw sequence data for further analysis is not a straightforward process. Biases, artifacts and other sources of unwanted variation are present in the data, requiring substantial time and effort to be spent on pre-processing, quality control (QC) and normalization.\nResults: We have developed the R/Bioconductor package scater to facilitate rigorous pre-processing, quality control, normalization and visualization of scRNA-seq data. The package provides a convenient, flexible workflow to process raw sequencing reads into a high-quality expression dataset ready for downstream analysis. scater provides a rich suite of plotting tools for single-cell data and a flexible data structure that is compatible with existing tools and can be used as infrastructure for future software development.\nAvailability and Implementation: The open-source code, along with installation instructions, vignettes and case studies, is available through Bioconductor at http://bioconductor.org/packages/scater .\nContact: davis@ebi.ac.uk.\nSupplementary information: Supplementary data are available at Bioinformatics online.","container-title":"Bioinformatics (Oxford, England)","DOI":"10.1093/bioinformatics/btw777","ISSN":"1367-4811","issue":"8","journalAbbreviation":"Bioinformatics","language":"eng","note":"PMID: 28088763\nPMCID: PMC5408845","page":"1179-1186","source":"PubMed","title":"Scater: pre-processing, quality control, normalization and visualization of single-cell RNA-seq data in R","title-short":"Scater","volume":"33","author":[{"family":"McCarthy","given":"Davis J."},{"family":"Campbell","given":"Kieran R."},{"family":"Lun","given":"Aaron T. L."},{"family":"Wills","given":"Quin F."}],"issued":{"date-parts":[["2017",4,15]]}}}],"schema":"https://github.com/citation-style-language/schema/raw/master/csl-citation.json"} </w:instrText>
      </w:r>
      <w:r w:rsidRPr="00982466">
        <w:rPr>
          <w:rFonts w:eastAsia="MS Mincho"/>
        </w:rPr>
        <w:fldChar w:fldCharType="separate"/>
      </w:r>
      <w:r w:rsidRPr="00982466">
        <w:rPr>
          <w:rFonts w:eastAsia="Calibri"/>
          <w:szCs w:val="24"/>
          <w:vertAlign w:val="superscript"/>
        </w:rPr>
        <w:t>67</w:t>
      </w:r>
      <w:r w:rsidRPr="00982466">
        <w:rPr>
          <w:rFonts w:eastAsia="MS Mincho"/>
        </w:rPr>
        <w:fldChar w:fldCharType="end"/>
      </w:r>
      <w:r w:rsidRPr="00982466">
        <w:rPr>
          <w:rFonts w:eastAsia="MS Mincho"/>
        </w:rPr>
        <w:t xml:space="preserve"> runUMAP with 20 nearest neighbors and a minimum distance of 0.2. Cluster marker genes were computed using scran scoreMarkers and cell types assigned using known markers</w:t>
      </w:r>
      <w:r w:rsidRPr="00982466">
        <w:rPr>
          <w:rFonts w:eastAsia="MS Mincho"/>
        </w:rPr>
        <w:fldChar w:fldCharType="begin"/>
      </w:r>
      <w:r w:rsidRPr="00982466">
        <w:rPr>
          <w:rFonts w:eastAsia="MS Mincho"/>
        </w:rPr>
        <w:instrText xml:space="preserve"> ADDIN ZOTERO_ITEM CSL_CITATION {"citationID":"dW6rVtsk","properties":{"formattedCitation":"\\super 68\\nosupersub{}","plainCitation":"68","noteIndex":0},"citationItems":[{"id":5639,"uris":["http://zotero.org/users/6514188/items/LURUI9YK"],"itemData":{"id":5639,"type":"article-journal","abstract":"The kidney maintains electrolyte, water, and acid-base balance, eliminates foreign and waste compounds, regulates blood pressure, and secretes hormones. There are at least 16 different highly specialized epithelial cell types in the mammalian kidney. The number of specialized endothelial cells, immune cells, and interstitial cell types might even be larger. The concerted interplay between different cell types is critical for kidney function. Traditionally, cells were defined by their function or microscopical morphological appearance. With the advent of new single-cell modalities such as transcriptomics, epigenetics, metabolomics, and proteomics we are entering into a new era of cell type definition. This new technological revolution provides new opportunities to classify cells in the kidney and understand their functions.","container-title":"Annual Review of Physiology","DOI":"10.1146/annurev-physiol-052521-121841","ISSN":"1545-1585","journalAbbreviation":"Annu Rev Physiol","language":"eng","note":"PMID: 34843404\nPMCID: PMC9233501","page":"507-531","source":"PubMed","title":"How Many Cell Types Are in the Kidney and What Do They Do?","volume":"84","author":[{"family":"Balzer","given":"Michael S."},{"family":"Rohacs","given":"Tibor"},{"family":"Susztak","given":"Katalin"}],"issued":{"date-parts":[["2022",2,10]]}}}],"schema":"https://github.com/citation-style-language/schema/raw/master/csl-citation.json"} </w:instrText>
      </w:r>
      <w:r w:rsidRPr="00982466">
        <w:rPr>
          <w:rFonts w:eastAsia="MS Mincho"/>
        </w:rPr>
        <w:fldChar w:fldCharType="separate"/>
      </w:r>
      <w:r w:rsidRPr="00982466">
        <w:rPr>
          <w:rFonts w:eastAsia="Calibri"/>
          <w:szCs w:val="24"/>
          <w:vertAlign w:val="superscript"/>
        </w:rPr>
        <w:t>68</w:t>
      </w:r>
      <w:r w:rsidRPr="00982466">
        <w:rPr>
          <w:rFonts w:eastAsia="MS Mincho"/>
        </w:rPr>
        <w:fldChar w:fldCharType="end"/>
      </w:r>
      <w:r w:rsidRPr="00982466">
        <w:rPr>
          <w:rFonts w:eastAsia="MS Mincho"/>
        </w:rPr>
        <w:t xml:space="preserve"> and the molecular signature database</w:t>
      </w:r>
      <w:r w:rsidRPr="00982466">
        <w:rPr>
          <w:rFonts w:eastAsia="MS Mincho"/>
        </w:rPr>
        <w:fldChar w:fldCharType="begin"/>
      </w:r>
      <w:r w:rsidRPr="00982466">
        <w:rPr>
          <w:rFonts w:eastAsia="MS Mincho"/>
        </w:rPr>
        <w:instrText xml:space="preserve"> ADDIN ZOTERO_ITEM CSL_CITATION {"citationID":"Xe176CSi","properties":{"formattedCitation":"\\super 69\\nosupersub{}","plainCitation":"69","noteIndex":0},"citationItems":[{"id":5641,"uris":["http://zotero.org/users/6514188/items/IJ4VDVGZ"],"itemData":{"id":5641,"type":"article-journal","abstract":"MOTIVATION: Well-annotated gene sets representing the universe of the biological processes are critical for meaningful and insightful interpretation of large-scale genomic data. The Molecular Signatures Database (MSigDB) is one of the most widely used repositories of such sets.\nRESULTS: We report the availability of a new version of the database, MSigDB 3.0, with over 6700 gene sets, a complete revision of the collection of canonical pathways and experimental signatures from publications, enhanced annotations and upgrades to the web site.\nAVAILABILITY AND IMPLEMENTATION: MSigDB is freely available for non-commercial use at http://www.broadinstitute.org/msigdb.","container-title":"Bioinformatics (Oxford, England)","DOI":"10.1093/bioinformatics/btr260","ISSN":"1367-4811","issue":"12","journalAbbreviation":"Bioinformatics","language":"eng","note":"PMID: 21546393\nPMCID: PMC3106198","page":"1739-1740","source":"PubMed","title":"Molecular signatures database (MSigDB) 3.0","volume":"27","author":[{"family":"Liberzon","given":"Arthur"},{"family":"Subramanian","given":"Aravind"},{"family":"Pinchback","given":"Reid"},{"family":"Thorvaldsdóttir","given":"Helga"},{"family":"Tamayo","given":"Pablo"},{"family":"Mesirov","given":"Jill P."}],"issued":{"date-parts":[["2011",6,15]]}}}],"schema":"https://github.com/citation-style-language/schema/raw/master/csl-citation.json"} </w:instrText>
      </w:r>
      <w:r w:rsidRPr="00982466">
        <w:rPr>
          <w:rFonts w:eastAsia="MS Mincho"/>
        </w:rPr>
        <w:fldChar w:fldCharType="separate"/>
      </w:r>
      <w:r w:rsidRPr="00982466">
        <w:rPr>
          <w:rFonts w:eastAsia="Calibri"/>
          <w:szCs w:val="24"/>
          <w:vertAlign w:val="superscript"/>
        </w:rPr>
        <w:t>69</w:t>
      </w:r>
      <w:r w:rsidRPr="00982466">
        <w:rPr>
          <w:rFonts w:eastAsia="MS Mincho"/>
        </w:rPr>
        <w:fldChar w:fldCharType="end"/>
      </w:r>
      <w:r w:rsidRPr="00982466">
        <w:rPr>
          <w:rFonts w:eastAsia="MS Mincho"/>
        </w:rPr>
        <w:t xml:space="preserve"> cell type signature enrichment using the fgsea (1.20.0)</w:t>
      </w:r>
      <w:r w:rsidRPr="00982466">
        <w:rPr>
          <w:rFonts w:eastAsia="MS Mincho"/>
        </w:rPr>
        <w:fldChar w:fldCharType="begin"/>
      </w:r>
      <w:r w:rsidRPr="00982466">
        <w:rPr>
          <w:rFonts w:eastAsia="MS Mincho"/>
        </w:rPr>
        <w:instrText xml:space="preserve"> ADDIN ZOTERO_ITEM CSL_CITATION {"citationID":"qsgP8VuR","properties":{"formattedCitation":"\\super 70\\nosupersub{}","plainCitation":"70","noteIndex":0},"citationItems":[{"id":5644,"uris":["http://zotero.org/users/6514188/items/GF4YMNXM"],"itemData":{"id":5644,"type":"report","abstract":"Abstract\n          Gene set enrichment analysis (GSEA) is an ubiquitously used tool for evaluating pathway enrichment in transcriptional data. Typical experimental design consists in comparing two conditions with several replicates using a differential gene expression test followed by preranked GSEA performed against a collection of hundreds and thousands of pathways. However, the reference implementation of this method cannot accurately estimate small P-values, which significantly limits its sensitivity due to multiple hypotheses correction procedure.\n          \n            Here we present FGSEA (Fast Gene Set Enrichment Analysis) method that is able to estimate arbitrarily low GSEA P-values with a high accuracy in a matter of minutes or even seconds. To confirm the accuracy of the method, we also developed an exact algorithm for GSEA P-values calculation for integer gene-level statistics. Using the exact algorithm as a reference we show that FGSEA is able to routinely estimate P-values up to 10\n            −100\n            with a small and predictable estimation error. We systematically evaluate FGSEA on a collection of 605 datasets and show that FGSEA recovers much more statistically significant pathways compared to other implementations.\n          \n          \n            FGSEA is open source and available as an R package in Bioconductor (\n            http://bioconductor.org/packages/fgsea/\n            ) and on GitHub (\n            https://github.com/ctlab/fgsea/\n            ).","genre":"preprint","language":"en","note":"DOI: 10.1101/060012","publisher":"Bioinformatics","source":"DOI.org (Crossref)","title":"Fast gene set enrichment analysis","URL":"http://biorxiv.org/lookup/doi/10.1101/060012","author":[{"family":"Korotkevich","given":"Gennady"},{"family":"Sukhov","given":"Vladimir"},{"family":"Budin","given":"Nikolay"},{"family":"Shpak","given":"Boris"},{"family":"Artyomov","given":"Maxim N."},{"family":"Sergushichev","given":"Alexey"}],"accessed":{"date-parts":[["2022",8,4]]},"issued":{"date-parts":[["2016",6,20]]}}}],"schema":"https://github.com/citation-style-language/schema/raw/master/csl-citation.json"} </w:instrText>
      </w:r>
      <w:r w:rsidRPr="00982466">
        <w:rPr>
          <w:rFonts w:eastAsia="MS Mincho"/>
        </w:rPr>
        <w:fldChar w:fldCharType="separate"/>
      </w:r>
      <w:r w:rsidRPr="00982466">
        <w:rPr>
          <w:rFonts w:eastAsia="Calibri"/>
          <w:szCs w:val="24"/>
          <w:vertAlign w:val="superscript"/>
        </w:rPr>
        <w:t>70</w:t>
      </w:r>
      <w:r w:rsidRPr="00982466">
        <w:rPr>
          <w:rFonts w:eastAsia="MS Mincho"/>
        </w:rPr>
        <w:fldChar w:fldCharType="end"/>
      </w:r>
      <w:r w:rsidRPr="00982466">
        <w:rPr>
          <w:rFonts w:eastAsia="MS Mincho"/>
        </w:rPr>
        <w:t xml:space="preserve"> fora function on the top 50 features per cluster by minimum Cohen’s d log fold change. UMAP and jitter plots were generated using either the scater ggcells function, or scuttle (1.6.2) makePerCellDF in addition to ggplot2 (3.2.0). Code for scRNA-seq analysis is available on github (</w:t>
      </w:r>
      <w:hyperlink r:id="rId14" w:history="1">
        <w:r w:rsidRPr="00982466">
          <w:rPr>
            <w:rFonts w:eastAsia="MS Mincho"/>
            <w:color w:val="0000FF"/>
            <w:u w:val="single"/>
          </w:rPr>
          <w:t>https://github.com/egenesis/Nature_2023_scRNAseq</w:t>
        </w:r>
      </w:hyperlink>
      <w:r w:rsidRPr="00982466">
        <w:rPr>
          <w:rFonts w:eastAsia="MS Mincho"/>
        </w:rPr>
        <w:t>).</w:t>
      </w:r>
    </w:p>
    <w:p w14:paraId="58300564" w14:textId="77777777" w:rsidR="00982466" w:rsidRPr="00982466" w:rsidRDefault="00982466" w:rsidP="00982466">
      <w:pPr>
        <w:spacing w:line="480" w:lineRule="auto"/>
        <w:rPr>
          <w:rFonts w:eastAsia="MS Mincho"/>
        </w:rPr>
      </w:pPr>
      <w:r w:rsidRPr="00982466">
        <w:rPr>
          <w:rFonts w:eastAsia="MS Mincho"/>
          <w:b/>
          <w:bCs/>
        </w:rPr>
        <w:t>Amplicon sequencing for 3KO and PERV KO genotyping</w:t>
      </w:r>
    </w:p>
    <w:p w14:paraId="454BC1EB" w14:textId="77777777" w:rsidR="00982466" w:rsidRPr="00982466" w:rsidRDefault="00982466" w:rsidP="00982466">
      <w:pPr>
        <w:spacing w:line="480" w:lineRule="auto"/>
        <w:rPr>
          <w:rFonts w:eastAsia="MS Mincho"/>
        </w:rPr>
      </w:pPr>
      <w:r w:rsidRPr="00982466">
        <w:rPr>
          <w:rFonts w:eastAsia="MS Mincho"/>
        </w:rPr>
        <w:t>Genomic DNA samples were quantified using Qubit 2.0 Fluorometer (Invitrogen, Carlsbad, CA). A series of primers were designed against the region of interest and synthesized through Twist Biosciences (South San Francisco, CA). After amplification, amplicons were pooled at equal molar concentration. Sequencing libraries were prepared using NEBNext Ultra II DNA Library Prep Kit according to manufacturer’s instructions. The adaptor-ligated sequencing libraries were validated on the Agilent TapeStation (Agilent Technologies, Palo Alto, CA), and quantified by Qubit 2.0 Fluorometer (Invitrogen, Carlsbad, CA) as well as by quantitative PCR (KAPA Biosystems, Wilmington, MA). DNA libraries were multiplexed in equal molar mass and loaded on an Illumina MiSeq or NextSeq 2000 instrument according to manufacturer’s instructions (Illumina, San Diego, CA). The sequencing in the MiSeq was performed using a 2x250 paired-</w:t>
      </w:r>
      <w:r w:rsidRPr="00982466">
        <w:rPr>
          <w:rFonts w:eastAsia="MS Mincho"/>
        </w:rPr>
        <w:lastRenderedPageBreak/>
        <w:t xml:space="preserve">end (PE) configuration; image analysis and base calling are conducted by the MiSeq Control Software on the instrument. The sequencing in the NextSeq 2000 was performed using a 2x150 PE configuration; image analysis and base calling are conducted by Illumina Dragen basecalling software version 3.7.4 on a Nextseq 2000.). Illumina Reagent/kits for DNA library sequencing cluster generation and sequencing were used for enriched DNA sequencing. </w:t>
      </w:r>
    </w:p>
    <w:p w14:paraId="065B2021" w14:textId="77777777" w:rsidR="00982466" w:rsidRPr="00982466" w:rsidRDefault="00982466" w:rsidP="00982466">
      <w:pPr>
        <w:spacing w:line="480" w:lineRule="auto"/>
        <w:rPr>
          <w:rFonts w:eastAsia="MS Mincho"/>
        </w:rPr>
      </w:pPr>
      <w:r w:rsidRPr="00982466">
        <w:rPr>
          <w:rFonts w:eastAsia="MS Mincho"/>
        </w:rPr>
        <w:t>The quality of the sequencing data was examined using FastQC (0.11.9) (http://www.bioinformatics.babraham.ac.uk/projects/fastqc/). Aadapters were trimmed using fastp (0.20.0) (</w:t>
      </w:r>
      <w:hyperlink r:id="rId15" w:history="1">
        <w:r w:rsidRPr="00982466">
          <w:rPr>
            <w:rFonts w:eastAsia="MS Mincho"/>
            <w:color w:val="0000FF"/>
            <w:u w:val="single"/>
          </w:rPr>
          <w:t>https://doi.org/10.1093/bioinformatics/bty560</w:t>
        </w:r>
      </w:hyperlink>
      <w:r w:rsidRPr="00982466">
        <w:rPr>
          <w:rFonts w:eastAsia="MS Mincho"/>
        </w:rPr>
        <w:t>), and reads with average quality lower than Q20 were removed. Primers were then trimmed using Cutadapt (3.7) (https://doi.org/10.14806/ej.17.1.200), and reads with no primers were removed. The preprocessed data were then aligned to the reference sequences and the edit was quantified using Crispresso2</w:t>
      </w:r>
      <w:r w:rsidRPr="00982466">
        <w:rPr>
          <w:rFonts w:eastAsia="MS Mincho"/>
        </w:rPr>
        <w:fldChar w:fldCharType="begin"/>
      </w:r>
      <w:r w:rsidRPr="00982466">
        <w:rPr>
          <w:rFonts w:eastAsia="MS Mincho"/>
        </w:rPr>
        <w:instrText xml:space="preserve"> ADDIN ZOTERO_ITEM CSL_CITATION {"citationID":"G5ObP0cX","properties":{"formattedCitation":"\\super 71\\nosupersub{}","plainCitation":"71","noteIndex":0},"citationItems":[{"id":6270,"uris":["http://zotero.org/users/6514188/items/LZ23WZ78"],"itemData":{"id":6270,"type":"article-journal","container-title":"Nature biotechnology","DOI":"10.1038/s41587-019-0032-3","ISSN":"1087-0156","issue":"3","journalAbbreviation":"Nat Biotechnol","note":"PMID: 30809026\nPMCID: PMC6533916","page":"224-226","source":"PubMed Central","title":"Accurate and rapid analysis of genome editing data from nucleases and base editors with CRISPResso2","volume":"37","author":[{"family":"Clement","given":"Kendell"},{"family":"Rees","given":"Holly"},{"family":"Canver","given":"Matthew C."},{"family":"Gehrke","given":"Jason M."},{"family":"Farouni","given":"Rick"},{"family":"Hsu","given":"Jonathan Y"},{"family":"Cole","given":"Mitchel A."},{"family":"Liu","given":"David R."},{"family":"Joung","given":"J. Keith"},{"family":"Bauer","given":"Daniel E."},{"family":"Pinello","given":"Luca"}],"issued":{"date-parts":[["2019",3]]}}}],"schema":"https://github.com/citation-style-language/schema/raw/master/csl-citation.json"} </w:instrText>
      </w:r>
      <w:r w:rsidRPr="00982466">
        <w:rPr>
          <w:rFonts w:eastAsia="MS Mincho"/>
        </w:rPr>
        <w:fldChar w:fldCharType="separate"/>
      </w:r>
      <w:r w:rsidRPr="00982466">
        <w:rPr>
          <w:rFonts w:eastAsia="Calibri"/>
          <w:szCs w:val="24"/>
          <w:vertAlign w:val="superscript"/>
        </w:rPr>
        <w:t>71</w:t>
      </w:r>
      <w:r w:rsidRPr="00982466">
        <w:rPr>
          <w:rFonts w:eastAsia="MS Mincho"/>
        </w:rPr>
        <w:fldChar w:fldCharType="end"/>
      </w:r>
      <w:r w:rsidRPr="00982466">
        <w:rPr>
          <w:rFonts w:eastAsia="MS Mincho"/>
        </w:rPr>
        <w:t xml:space="preserve">. Modified reads are defined as reads with indels within a 20bp window centered around the predicted cleavage site for 3KO or between cleavage sites for PERV KO. Genotypes supported by less than 0.5% of the reads were considered background noise and ignored. The percentage of modified reads and unmodified reads were reported by the software in the output file “CRISPResso_quantification_of_editing_frequency.txt” and plotted using ggplot2 (3.2.0). For 3KO, alleles around the cleavage site were aggregated and plotted using a custom python script (revised based on the python script from </w:t>
      </w:r>
      <w:hyperlink r:id="rId16" w:history="1">
        <w:r w:rsidRPr="00982466">
          <w:rPr>
            <w:color w:val="0000FF"/>
            <w:u w:val="single"/>
          </w:rPr>
          <w:t>https://github.com/pinellolab/CRISPResso2/blob/master/scripts/plotCustomAllelePlot.py</w:t>
        </w:r>
      </w:hyperlink>
      <w:r w:rsidRPr="00982466">
        <w:t>)</w:t>
      </w:r>
      <w:r w:rsidRPr="00982466">
        <w:rPr>
          <w:rFonts w:eastAsia="MS Mincho"/>
        </w:rPr>
        <w:t xml:space="preserve">. Alleles were examined to confirm all copies of the gene were edited. Alleles supported by less than 1% of the </w:t>
      </w:r>
      <w:bookmarkStart w:id="1" w:name="_Int_hnsRLqdz"/>
      <w:r w:rsidRPr="00982466">
        <w:rPr>
          <w:rFonts w:eastAsia="MS Mincho"/>
        </w:rPr>
        <w:t>reads</w:t>
      </w:r>
      <w:bookmarkEnd w:id="1"/>
      <w:r w:rsidRPr="00982466">
        <w:rPr>
          <w:rFonts w:eastAsia="MS Mincho"/>
        </w:rPr>
        <w:t xml:space="preserve"> were ignored. The percentage of reads supported each genotype/indel size were then plotted using the output data from the script. </w:t>
      </w:r>
    </w:p>
    <w:p w14:paraId="70EC379A" w14:textId="77777777" w:rsidR="00982466" w:rsidRPr="00982466" w:rsidRDefault="00982466" w:rsidP="00982466">
      <w:pPr>
        <w:spacing w:line="480" w:lineRule="auto"/>
        <w:rPr>
          <w:rFonts w:eastAsia="MS Mincho"/>
          <w:b/>
          <w:bCs/>
        </w:rPr>
      </w:pPr>
      <w:r w:rsidRPr="00982466">
        <w:rPr>
          <w:rFonts w:eastAsia="MS Mincho"/>
          <w:b/>
          <w:bCs/>
        </w:rPr>
        <w:t>Animal housing, husbandry and pain management</w:t>
      </w:r>
    </w:p>
    <w:p w14:paraId="311DEFD4" w14:textId="77777777" w:rsidR="00982466" w:rsidRPr="00982466" w:rsidRDefault="00982466" w:rsidP="00982466">
      <w:pPr>
        <w:spacing w:line="480" w:lineRule="auto"/>
        <w:rPr>
          <w:rFonts w:eastAsia="MS Mincho"/>
        </w:rPr>
      </w:pPr>
      <w:r w:rsidRPr="00982466">
        <w:rPr>
          <w:rFonts w:eastAsia="MS Mincho"/>
        </w:rPr>
        <w:lastRenderedPageBreak/>
        <w:t>All housing, husbandry and pain management practices for swine and NHP follow recommendations outlined in the Guide for the Care and Use of Agricultural Animals in Research and Teaching and the Guide for the Care and Use of Laboratory Animals.  Specifically, piglets and NHPs are group housed where possible with visibility and cage-side contact with other animals in situations where animals cannot be group housed.  Pig and NHP cages are cleaned as often as necessary to provide clean, dry spaces and to mitigate health concerns.  In general pigs and NHP are observed at least once daily but more frequently if health concerns are noted, after surgical procedures and for newborn pigs that require more attention.  Pre-wean and nursery piglets are fed ad libitum.  Older pigs are limit-fed based on weight, and NHP are fed twice daily.  All animals receive water ad libitum.  Potential pain in pigs is managed with intramuscular flunixin (Banamine) prior to procedures and twenty-four hours later.  Any lingering discomfort is monitored daily and treated on an as needed basis based on veterinary staff recommendations.  In NHP, subcutaneous or intramuscular buprenorphine and/or hydromorphone and meloxicam is administered for up to two days following surgery.  Intravenous fentanyl, ketamine and lidocaine may also be infused during procedures.  Local anesthesia (Bupivacaine) is also infiltrated around surgical wounds at the time of skin closure.</w:t>
      </w:r>
    </w:p>
    <w:p w14:paraId="64866C9C" w14:textId="77777777" w:rsidR="00982466" w:rsidRPr="00982466" w:rsidRDefault="00982466" w:rsidP="00982466">
      <w:pPr>
        <w:keepNext/>
        <w:keepLines/>
        <w:spacing w:before="240" w:line="480" w:lineRule="auto"/>
        <w:outlineLvl w:val="0"/>
        <w:rPr>
          <w:rFonts w:eastAsia="MS Mincho"/>
          <w:szCs w:val="24"/>
        </w:rPr>
      </w:pPr>
      <w:r w:rsidRPr="00982466">
        <w:rPr>
          <w:rFonts w:eastAsia="MS Gothic"/>
          <w:b/>
          <w:szCs w:val="24"/>
        </w:rPr>
        <w:t>Immune suppression regimen</w:t>
      </w:r>
      <w:r w:rsidRPr="00982466">
        <w:rPr>
          <w:rFonts w:eastAsia="MS Gothic"/>
          <w:szCs w:val="24"/>
        </w:rPr>
        <w:t xml:space="preserve"> </w:t>
      </w:r>
    </w:p>
    <w:p w14:paraId="14017949" w14:textId="77777777" w:rsidR="00982466" w:rsidRPr="00982466" w:rsidRDefault="00982466" w:rsidP="00982466">
      <w:pPr>
        <w:spacing w:line="480" w:lineRule="auto"/>
        <w:rPr>
          <w:rFonts w:eastAsia="MS Mincho"/>
          <w:szCs w:val="24"/>
        </w:rPr>
      </w:pPr>
      <w:r w:rsidRPr="00982466">
        <w:rPr>
          <w:rFonts w:eastAsia="MS Mincho"/>
          <w:szCs w:val="24"/>
        </w:rPr>
        <w:t xml:space="preserve">The recipients were treated with anti-CD20 mAb (20 mg/kg, NIH NHPRR, Boston, MA) before transplant.  Some recipients received additional doses at approximately 60-day intervals until POD 180 to ensure B-cell depletion.  Rabbit polyclonal anti-rhesus thymocyte globulin (5 mg/kg, </w:t>
      </w:r>
      <w:r w:rsidRPr="00982466">
        <w:rPr>
          <w:rFonts w:eastAsia="Calibri"/>
          <w:szCs w:val="24"/>
        </w:rPr>
        <w:t>rhATG, AB_2716327, NIH NHPRR, Boston, MA</w:t>
      </w:r>
      <w:r w:rsidRPr="00982466">
        <w:rPr>
          <w:rFonts w:eastAsia="MS Mincho"/>
          <w:szCs w:val="24"/>
        </w:rPr>
        <w:t xml:space="preserve">) was given on days -1 and 0 as additional induction therapy. During the transplant procedure, two doses of anti-CD154 mAb (25 mg/kg, </w:t>
      </w:r>
      <w:r w:rsidRPr="00982466">
        <w:rPr>
          <w:rFonts w:eastAsia="Calibri"/>
          <w:szCs w:val="24"/>
        </w:rPr>
        <w:t xml:space="preserve">5C8H1, AB_2716324, NIH NHPRR, or TNX-1500, Tonix Pharmaceuticals, Chatham, </w:t>
      </w:r>
      <w:r w:rsidRPr="00982466">
        <w:rPr>
          <w:rFonts w:eastAsia="Calibri"/>
          <w:szCs w:val="24"/>
        </w:rPr>
        <w:lastRenderedPageBreak/>
        <w:t>NJ)</w:t>
      </w:r>
      <w:r w:rsidRPr="00982466">
        <w:rPr>
          <w:rFonts w:eastAsia="MS Mincho"/>
          <w:szCs w:val="24"/>
        </w:rPr>
        <w:t xml:space="preserve"> were administered.  Additional 20 mg/kg doses were given on days 2, 5, 7, 12, and then weekly for the course of the study. To prevent possible thrombotic complications from the anti-CD154 mAb 5C8H1, 1 mg/kg of ketorolac (</w:t>
      </w:r>
      <w:r w:rsidRPr="00982466">
        <w:rPr>
          <w:rFonts w:eastAsia="Calibri"/>
          <w:szCs w:val="24"/>
        </w:rPr>
        <w:t>Pfizer, New York, NY</w:t>
      </w:r>
      <w:r w:rsidRPr="00982466">
        <w:rPr>
          <w:rFonts w:eastAsia="MS Mincho"/>
          <w:szCs w:val="24"/>
        </w:rPr>
        <w:t>) was administered prior to each dose with 5C8H1.  Daily mycophenolate mofetil (200 mg, Genentech, San Francisco, CA) was given orally.  During the first 2 months, tacrolimus (Astellas, Northbrook, IL) was administered by intramuscular injection to maintain trough levels 5-10 ng/ml.  Daily solumedrol (40 mg, Pfizer, New York, NY) was tapered beginning at 2 weeks with dosing ending by day 30. Weekly or daily subcutaneous Epogen (Amgen, Thousand Oaks, CA) injections were given to maintain hematocrit at 30% or above. In response to weight loss or infection, maintenance immunosuppression was occasionally modified by discontinuing MMF or increasing the time between anti-CD154 doses from weekly to every 10 days.</w:t>
      </w:r>
    </w:p>
    <w:p w14:paraId="1796AC7B" w14:textId="77777777" w:rsidR="00982466" w:rsidRPr="00982466" w:rsidRDefault="00982466" w:rsidP="00982466">
      <w:pPr>
        <w:keepNext/>
        <w:keepLines/>
        <w:spacing w:before="240" w:line="480" w:lineRule="auto"/>
        <w:outlineLvl w:val="0"/>
        <w:rPr>
          <w:rFonts w:eastAsia="MS Gothic"/>
          <w:b/>
          <w:szCs w:val="24"/>
        </w:rPr>
      </w:pPr>
      <w:r w:rsidRPr="00982466">
        <w:rPr>
          <w:rFonts w:eastAsia="MS Gothic"/>
          <w:b/>
          <w:szCs w:val="24"/>
        </w:rPr>
        <w:t>Lymphocyte subset analysis</w:t>
      </w:r>
    </w:p>
    <w:p w14:paraId="2ACB7BAA" w14:textId="3C7EA838" w:rsidR="00982466" w:rsidRPr="00982466" w:rsidRDefault="00982466" w:rsidP="00982466">
      <w:pPr>
        <w:spacing w:line="480" w:lineRule="auto"/>
        <w:contextualSpacing/>
        <w:rPr>
          <w:rFonts w:eastAsia="MS Mincho"/>
          <w:szCs w:val="24"/>
        </w:rPr>
      </w:pPr>
      <w:r w:rsidRPr="00982466">
        <w:rPr>
          <w:rFonts w:eastAsia="Calibri"/>
          <w:szCs w:val="24"/>
        </w:rPr>
        <w:t>Peripheral blood cells from red blood cell-lysed whole blood were labelled with a combination of the following antibodies: anti-human CD3 (SP34-2), anti-human CD4 (L200), anti-human CD8 (SK1), anti-human CD45RA (5H9) (BD Pharmingen), and anti-human CD20 (2H7) (BioLegend).  Stained samples were acquired and analyzed using FACS Verse (BD Biosciences) and FlowJo. Gating strategy is provided in Supplementary Fig. 4.</w:t>
      </w:r>
    </w:p>
    <w:p w14:paraId="5B53E54C" w14:textId="77777777" w:rsidR="00982466" w:rsidRPr="00982466" w:rsidRDefault="00982466" w:rsidP="00982466">
      <w:pPr>
        <w:spacing w:line="480" w:lineRule="auto"/>
        <w:rPr>
          <w:rFonts w:eastAsia="MS Mincho"/>
          <w:szCs w:val="24"/>
        </w:rPr>
      </w:pPr>
    </w:p>
    <w:p w14:paraId="6D96A521" w14:textId="0147EDCA" w:rsidR="00982466" w:rsidRPr="00982466" w:rsidRDefault="00982466" w:rsidP="00982466">
      <w:pPr>
        <w:rPr>
          <w:rFonts w:eastAsia="MS Mincho"/>
          <w:szCs w:val="24"/>
        </w:rPr>
      </w:pPr>
      <w:r w:rsidRPr="00982466">
        <w:rPr>
          <w:rFonts w:eastAsia="Calibri"/>
          <w:szCs w:val="24"/>
        </w:rPr>
        <w:br w:type="page"/>
      </w:r>
    </w:p>
    <w:p w14:paraId="4749D7CD" w14:textId="77777777" w:rsidR="00982466" w:rsidRPr="00982466" w:rsidRDefault="00982466" w:rsidP="00982466">
      <w:pPr>
        <w:rPr>
          <w:b/>
          <w:bCs/>
        </w:rPr>
        <w:sectPr w:rsidR="00982466" w:rsidRPr="00982466" w:rsidSect="00816965">
          <w:headerReference w:type="default" r:id="rId17"/>
          <w:footerReference w:type="default" r:id="rId18"/>
          <w:pgSz w:w="12240" w:h="15840"/>
          <w:pgMar w:top="1440" w:right="1440" w:bottom="1440" w:left="1440" w:header="720" w:footer="720" w:gutter="0"/>
          <w:pgNumType w:start="1"/>
          <w:cols w:space="720"/>
          <w:docGrid w:linePitch="360"/>
        </w:sectPr>
      </w:pPr>
    </w:p>
    <w:p w14:paraId="76E8B434" w14:textId="77777777" w:rsidR="00982466" w:rsidRPr="00982466" w:rsidRDefault="00982466" w:rsidP="00982466">
      <w:pPr>
        <w:rPr>
          <w:rFonts w:eastAsia="Calibri"/>
          <w:szCs w:val="24"/>
        </w:rPr>
      </w:pPr>
      <w:r w:rsidRPr="00982466">
        <w:rPr>
          <w:b/>
          <w:bCs/>
        </w:rPr>
        <w:lastRenderedPageBreak/>
        <w:t>Supplementary Table 1.</w:t>
      </w:r>
    </w:p>
    <w:p w14:paraId="58561BD6" w14:textId="77777777" w:rsidR="00982466" w:rsidRPr="00982466" w:rsidRDefault="00982466" w:rsidP="00982466">
      <w:pPr>
        <w:rPr>
          <w:szCs w:val="24"/>
        </w:rPr>
      </w:pPr>
      <w:r w:rsidRPr="00982466">
        <w:rPr>
          <w:szCs w:val="24"/>
        </w:rPr>
        <w:t>Molecular incompatibilities exist among pigs, humans, and old world monkeys for cell surface proteins carried in Payload 15S</w:t>
      </w:r>
    </w:p>
    <w:p w14:paraId="7A76BEC6" w14:textId="77777777" w:rsidR="00982466" w:rsidRPr="00982466" w:rsidRDefault="00982466" w:rsidP="00982466"/>
    <w:tbl>
      <w:tblPr>
        <w:tblStyle w:val="TableGrid12"/>
        <w:tblpPr w:leftFromText="180" w:rightFromText="180" w:horzAnchor="margin" w:tblpY="710"/>
        <w:tblW w:w="13135" w:type="dxa"/>
        <w:tblLayout w:type="fixed"/>
        <w:tblLook w:val="04A0" w:firstRow="1" w:lastRow="0" w:firstColumn="1" w:lastColumn="0" w:noHBand="0" w:noVBand="1"/>
      </w:tblPr>
      <w:tblGrid>
        <w:gridCol w:w="1305"/>
        <w:gridCol w:w="990"/>
        <w:gridCol w:w="825"/>
        <w:gridCol w:w="1095"/>
        <w:gridCol w:w="1360"/>
        <w:gridCol w:w="990"/>
        <w:gridCol w:w="1170"/>
        <w:gridCol w:w="990"/>
        <w:gridCol w:w="1260"/>
        <w:gridCol w:w="995"/>
        <w:gridCol w:w="1172"/>
        <w:gridCol w:w="983"/>
      </w:tblGrid>
      <w:tr w:rsidR="00982466" w:rsidRPr="00982466" w14:paraId="3E3BE80E" w14:textId="77777777" w:rsidTr="008177A2">
        <w:tc>
          <w:tcPr>
            <w:tcW w:w="4215" w:type="dxa"/>
            <w:gridSpan w:val="4"/>
            <w:vAlign w:val="center"/>
          </w:tcPr>
          <w:p w14:paraId="3881B08F" w14:textId="77777777" w:rsidR="00982466" w:rsidRPr="00982466" w:rsidRDefault="00982466" w:rsidP="00982466">
            <w:pPr>
              <w:jc w:val="center"/>
              <w:rPr>
                <w:rFonts w:ascii="Calibri" w:eastAsia="Calibri" w:hAnsi="Calibri" w:cs="Arial"/>
                <w:b/>
                <w:szCs w:val="22"/>
              </w:rPr>
            </w:pPr>
            <w:r w:rsidRPr="00982466">
              <w:rPr>
                <w:rFonts w:ascii="Calibri" w:eastAsia="Calibri" w:hAnsi="Calibri" w:cs="Arial"/>
                <w:b/>
                <w:szCs w:val="22"/>
              </w:rPr>
              <w:t>H. sapiens</w:t>
            </w:r>
          </w:p>
        </w:tc>
        <w:tc>
          <w:tcPr>
            <w:tcW w:w="2350" w:type="dxa"/>
            <w:gridSpan w:val="2"/>
            <w:vAlign w:val="center"/>
          </w:tcPr>
          <w:p w14:paraId="625F36E3" w14:textId="77777777" w:rsidR="00982466" w:rsidRPr="00982466" w:rsidRDefault="00982466" w:rsidP="00982466">
            <w:pPr>
              <w:jc w:val="center"/>
              <w:rPr>
                <w:rFonts w:ascii="Calibri" w:eastAsia="Calibri" w:hAnsi="Calibri" w:cs="Arial"/>
                <w:b/>
                <w:szCs w:val="22"/>
              </w:rPr>
            </w:pPr>
            <w:r w:rsidRPr="00982466">
              <w:rPr>
                <w:rFonts w:ascii="Calibri" w:eastAsia="Calibri" w:hAnsi="Calibri" w:cs="Arial"/>
                <w:b/>
                <w:szCs w:val="22"/>
              </w:rPr>
              <w:t>S. scrofa</w:t>
            </w:r>
          </w:p>
        </w:tc>
        <w:tc>
          <w:tcPr>
            <w:tcW w:w="2160" w:type="dxa"/>
            <w:gridSpan w:val="2"/>
            <w:vAlign w:val="center"/>
          </w:tcPr>
          <w:p w14:paraId="79C9939A" w14:textId="77777777" w:rsidR="00982466" w:rsidRPr="00982466" w:rsidRDefault="00982466" w:rsidP="00982466">
            <w:pPr>
              <w:jc w:val="center"/>
              <w:rPr>
                <w:rFonts w:ascii="Calibri" w:eastAsia="Calibri" w:hAnsi="Calibri" w:cs="Arial"/>
                <w:b/>
                <w:szCs w:val="22"/>
              </w:rPr>
            </w:pPr>
            <w:r w:rsidRPr="00982466">
              <w:rPr>
                <w:rFonts w:ascii="Calibri" w:eastAsia="Calibri" w:hAnsi="Calibri" w:cs="Arial"/>
                <w:b/>
                <w:szCs w:val="22"/>
              </w:rPr>
              <w:t>M. fascicularis (cyno)</w:t>
            </w:r>
          </w:p>
        </w:tc>
        <w:tc>
          <w:tcPr>
            <w:tcW w:w="2255" w:type="dxa"/>
            <w:gridSpan w:val="2"/>
            <w:vAlign w:val="center"/>
          </w:tcPr>
          <w:p w14:paraId="453085CA" w14:textId="77777777" w:rsidR="00982466" w:rsidRPr="00982466" w:rsidRDefault="00982466" w:rsidP="00982466">
            <w:pPr>
              <w:jc w:val="center"/>
              <w:rPr>
                <w:rFonts w:ascii="Calibri" w:eastAsia="Calibri" w:hAnsi="Calibri" w:cs="Arial"/>
                <w:b/>
                <w:szCs w:val="22"/>
              </w:rPr>
            </w:pPr>
            <w:r w:rsidRPr="00982466">
              <w:rPr>
                <w:rFonts w:ascii="Calibri" w:eastAsia="Calibri" w:hAnsi="Calibri" w:cs="Arial"/>
                <w:b/>
                <w:szCs w:val="22"/>
              </w:rPr>
              <w:t>P. anubis (baboon)</w:t>
            </w:r>
          </w:p>
        </w:tc>
        <w:tc>
          <w:tcPr>
            <w:tcW w:w="2155" w:type="dxa"/>
            <w:gridSpan w:val="2"/>
          </w:tcPr>
          <w:p w14:paraId="7189602F" w14:textId="77777777" w:rsidR="00982466" w:rsidRPr="00982466" w:rsidRDefault="00982466" w:rsidP="00982466">
            <w:pPr>
              <w:jc w:val="center"/>
              <w:rPr>
                <w:rFonts w:ascii="Calibri" w:eastAsia="Calibri" w:hAnsi="Calibri" w:cs="Arial"/>
                <w:b/>
                <w:szCs w:val="22"/>
              </w:rPr>
            </w:pPr>
            <w:r w:rsidRPr="00982466">
              <w:rPr>
                <w:rFonts w:ascii="Calibri" w:eastAsia="Calibri" w:hAnsi="Calibri" w:cs="Arial"/>
                <w:b/>
                <w:szCs w:val="22"/>
              </w:rPr>
              <w:t>M. mulatta (rhesus)</w:t>
            </w:r>
          </w:p>
        </w:tc>
      </w:tr>
      <w:tr w:rsidR="00982466" w:rsidRPr="00982466" w14:paraId="4F8D0E6D" w14:textId="77777777" w:rsidTr="008177A2">
        <w:tc>
          <w:tcPr>
            <w:tcW w:w="1305" w:type="dxa"/>
            <w:vAlign w:val="center"/>
          </w:tcPr>
          <w:p w14:paraId="1B423A07"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ENSEMBL Gene ID</w:t>
            </w:r>
          </w:p>
        </w:tc>
        <w:tc>
          <w:tcPr>
            <w:tcW w:w="990" w:type="dxa"/>
            <w:vAlign w:val="center"/>
          </w:tcPr>
          <w:p w14:paraId="56B8E952"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Gene Name</w:t>
            </w:r>
          </w:p>
        </w:tc>
        <w:tc>
          <w:tcPr>
            <w:tcW w:w="825" w:type="dxa"/>
            <w:vAlign w:val="center"/>
          </w:tcPr>
          <w:p w14:paraId="0EDBD345"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Alias</w:t>
            </w:r>
          </w:p>
        </w:tc>
        <w:tc>
          <w:tcPr>
            <w:tcW w:w="1095" w:type="dxa"/>
            <w:vAlign w:val="center"/>
          </w:tcPr>
          <w:p w14:paraId="2244C7CC" w14:textId="77777777" w:rsidR="00982466" w:rsidRPr="00982466" w:rsidRDefault="00982466" w:rsidP="00982466">
            <w:pPr>
              <w:jc w:val="center"/>
              <w:textAlignment w:val="bottom"/>
              <w:rPr>
                <w:rFonts w:ascii="Calibri" w:eastAsia="Calibri" w:hAnsi="Calibri" w:cs="Arial"/>
                <w:b/>
                <w:szCs w:val="22"/>
              </w:rPr>
            </w:pPr>
            <w:r w:rsidRPr="00982466">
              <w:rPr>
                <w:rFonts w:ascii="Calibri" w:eastAsia="Calibri" w:hAnsi="Calibri" w:cs="Arial"/>
                <w:b/>
                <w:color w:val="000000"/>
                <w:kern w:val="24"/>
                <w:szCs w:val="22"/>
              </w:rPr>
              <w:t>UniProt/</w:t>
            </w:r>
          </w:p>
          <w:p w14:paraId="43B1ACC2"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SwissProt Protein ID</w:t>
            </w:r>
          </w:p>
        </w:tc>
        <w:tc>
          <w:tcPr>
            <w:tcW w:w="1360" w:type="dxa"/>
            <w:vAlign w:val="center"/>
          </w:tcPr>
          <w:p w14:paraId="123D6B8A" w14:textId="77777777" w:rsidR="00982466" w:rsidRPr="00982466" w:rsidRDefault="00982466" w:rsidP="00982466">
            <w:pPr>
              <w:jc w:val="center"/>
              <w:textAlignment w:val="bottom"/>
              <w:rPr>
                <w:rFonts w:ascii="Calibri" w:eastAsia="Calibri" w:hAnsi="Calibri" w:cs="Arial"/>
                <w:b/>
                <w:szCs w:val="22"/>
              </w:rPr>
            </w:pPr>
            <w:r w:rsidRPr="00982466">
              <w:rPr>
                <w:rFonts w:ascii="Calibri" w:eastAsia="Calibri" w:hAnsi="Calibri" w:cs="Arial"/>
                <w:b/>
                <w:color w:val="000000"/>
                <w:kern w:val="24"/>
                <w:szCs w:val="22"/>
              </w:rPr>
              <w:t>UniProt/</w:t>
            </w:r>
          </w:p>
          <w:p w14:paraId="59535789"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SwissProt Protein ID</w:t>
            </w:r>
          </w:p>
        </w:tc>
        <w:tc>
          <w:tcPr>
            <w:tcW w:w="990" w:type="dxa"/>
            <w:vAlign w:val="center"/>
          </w:tcPr>
          <w:p w14:paraId="6D520AC4"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Identity (%) to H. sapiens</w:t>
            </w:r>
          </w:p>
        </w:tc>
        <w:tc>
          <w:tcPr>
            <w:tcW w:w="1170" w:type="dxa"/>
            <w:vAlign w:val="center"/>
          </w:tcPr>
          <w:p w14:paraId="7F7405E6" w14:textId="77777777" w:rsidR="00982466" w:rsidRPr="00982466" w:rsidRDefault="00982466" w:rsidP="00982466">
            <w:pPr>
              <w:jc w:val="center"/>
              <w:textAlignment w:val="bottom"/>
              <w:rPr>
                <w:rFonts w:ascii="Calibri" w:eastAsia="Calibri" w:hAnsi="Calibri" w:cs="Arial"/>
                <w:b/>
                <w:szCs w:val="22"/>
              </w:rPr>
            </w:pPr>
            <w:r w:rsidRPr="00982466">
              <w:rPr>
                <w:rFonts w:ascii="Calibri" w:eastAsia="Calibri" w:hAnsi="Calibri" w:cs="Arial"/>
                <w:b/>
                <w:color w:val="000000"/>
                <w:kern w:val="24"/>
                <w:szCs w:val="22"/>
              </w:rPr>
              <w:t>UniProt/</w:t>
            </w:r>
          </w:p>
          <w:p w14:paraId="21133CC5"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SwissProt Protein ID</w:t>
            </w:r>
          </w:p>
        </w:tc>
        <w:tc>
          <w:tcPr>
            <w:tcW w:w="990" w:type="dxa"/>
            <w:vAlign w:val="center"/>
          </w:tcPr>
          <w:p w14:paraId="7A0F20EA"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Identity (%) to H. sapiens</w:t>
            </w:r>
          </w:p>
        </w:tc>
        <w:tc>
          <w:tcPr>
            <w:tcW w:w="1260" w:type="dxa"/>
            <w:vAlign w:val="center"/>
          </w:tcPr>
          <w:p w14:paraId="316E988F" w14:textId="77777777" w:rsidR="00982466" w:rsidRPr="00982466" w:rsidRDefault="00982466" w:rsidP="00982466">
            <w:pPr>
              <w:jc w:val="center"/>
              <w:textAlignment w:val="bottom"/>
              <w:rPr>
                <w:rFonts w:ascii="Calibri" w:eastAsia="Calibri" w:hAnsi="Calibri" w:cs="Arial"/>
                <w:b/>
                <w:szCs w:val="22"/>
              </w:rPr>
            </w:pPr>
            <w:r w:rsidRPr="00982466">
              <w:rPr>
                <w:rFonts w:ascii="Calibri" w:eastAsia="Calibri" w:hAnsi="Calibri" w:cs="Arial"/>
                <w:b/>
                <w:color w:val="000000"/>
                <w:kern w:val="24"/>
                <w:szCs w:val="22"/>
              </w:rPr>
              <w:t>UniProt/</w:t>
            </w:r>
          </w:p>
          <w:p w14:paraId="7ADF80FC" w14:textId="77777777" w:rsidR="00982466" w:rsidRPr="00982466" w:rsidRDefault="00982466" w:rsidP="00982466">
            <w:pPr>
              <w:rPr>
                <w:rFonts w:ascii="Calibri" w:eastAsia="Calibri" w:hAnsi="Calibri" w:cs="Arial"/>
                <w:b/>
                <w:color w:val="000000"/>
                <w:kern w:val="24"/>
                <w:szCs w:val="22"/>
              </w:rPr>
            </w:pPr>
            <w:r w:rsidRPr="00982466">
              <w:rPr>
                <w:rFonts w:ascii="Calibri" w:eastAsia="Calibri" w:hAnsi="Calibri" w:cs="Arial"/>
                <w:b/>
                <w:color w:val="000000"/>
                <w:kern w:val="24"/>
                <w:szCs w:val="22"/>
              </w:rPr>
              <w:t xml:space="preserve">SwissProt </w:t>
            </w:r>
          </w:p>
          <w:p w14:paraId="6B6437FC"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Protein ID</w:t>
            </w:r>
          </w:p>
        </w:tc>
        <w:tc>
          <w:tcPr>
            <w:tcW w:w="995" w:type="dxa"/>
            <w:vAlign w:val="center"/>
          </w:tcPr>
          <w:p w14:paraId="7EC4A2DF"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Identity (%) to H. sapiens</w:t>
            </w:r>
          </w:p>
        </w:tc>
        <w:tc>
          <w:tcPr>
            <w:tcW w:w="1172" w:type="dxa"/>
            <w:vAlign w:val="center"/>
          </w:tcPr>
          <w:p w14:paraId="58A94D9B" w14:textId="77777777" w:rsidR="00982466" w:rsidRPr="00982466" w:rsidRDefault="00982466" w:rsidP="00982466">
            <w:pPr>
              <w:jc w:val="center"/>
              <w:textAlignment w:val="bottom"/>
              <w:rPr>
                <w:rFonts w:ascii="Calibri" w:eastAsia="Calibri" w:hAnsi="Calibri" w:cs="Arial"/>
                <w:b/>
                <w:szCs w:val="22"/>
              </w:rPr>
            </w:pPr>
            <w:r w:rsidRPr="00982466">
              <w:rPr>
                <w:rFonts w:ascii="Calibri" w:eastAsia="Calibri" w:hAnsi="Calibri" w:cs="Arial"/>
                <w:b/>
                <w:color w:val="000000"/>
                <w:kern w:val="24"/>
                <w:szCs w:val="22"/>
              </w:rPr>
              <w:t>UniProt/</w:t>
            </w:r>
          </w:p>
          <w:p w14:paraId="7213123D"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SwissProt Protein ID</w:t>
            </w:r>
          </w:p>
        </w:tc>
        <w:tc>
          <w:tcPr>
            <w:tcW w:w="983" w:type="dxa"/>
            <w:vAlign w:val="center"/>
          </w:tcPr>
          <w:p w14:paraId="60AFB3AE" w14:textId="77777777" w:rsidR="00982466" w:rsidRPr="00982466" w:rsidRDefault="00982466" w:rsidP="00982466">
            <w:pPr>
              <w:rPr>
                <w:rFonts w:ascii="Calibri" w:eastAsia="Calibri" w:hAnsi="Calibri" w:cs="Arial"/>
                <w:b/>
                <w:szCs w:val="22"/>
              </w:rPr>
            </w:pPr>
            <w:r w:rsidRPr="00982466">
              <w:rPr>
                <w:rFonts w:ascii="Calibri" w:eastAsia="Calibri" w:hAnsi="Calibri" w:cs="Arial"/>
                <w:b/>
                <w:color w:val="000000"/>
                <w:kern w:val="24"/>
                <w:szCs w:val="22"/>
              </w:rPr>
              <w:t>Identity (%) to H. sapiens</w:t>
            </w:r>
          </w:p>
        </w:tc>
      </w:tr>
      <w:tr w:rsidR="00982466" w:rsidRPr="00982466" w14:paraId="05FF3234" w14:textId="77777777" w:rsidTr="008177A2">
        <w:tc>
          <w:tcPr>
            <w:tcW w:w="1305" w:type="dxa"/>
            <w:vAlign w:val="center"/>
          </w:tcPr>
          <w:p w14:paraId="716F3ADE"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ENSG00000117335</w:t>
            </w:r>
          </w:p>
        </w:tc>
        <w:tc>
          <w:tcPr>
            <w:tcW w:w="990" w:type="dxa"/>
            <w:vAlign w:val="center"/>
          </w:tcPr>
          <w:p w14:paraId="53325D98" w14:textId="77777777" w:rsidR="00982466" w:rsidRPr="00982466" w:rsidRDefault="00982466" w:rsidP="00982466">
            <w:pPr>
              <w:rPr>
                <w:rFonts w:ascii="Calibri" w:eastAsia="Calibri" w:hAnsi="Calibri" w:cs="Arial"/>
                <w:i/>
                <w:iCs/>
                <w:szCs w:val="22"/>
              </w:rPr>
            </w:pPr>
            <w:r w:rsidRPr="00982466">
              <w:rPr>
                <w:rFonts w:ascii="Calibri" w:eastAsia="Calibri" w:hAnsi="Calibri" w:cs="Arial"/>
                <w:i/>
                <w:iCs/>
                <w:color w:val="000000"/>
                <w:kern w:val="24"/>
                <w:szCs w:val="22"/>
              </w:rPr>
              <w:t>CD46 ​</w:t>
            </w:r>
          </w:p>
        </w:tc>
        <w:tc>
          <w:tcPr>
            <w:tcW w:w="825" w:type="dxa"/>
            <w:vAlign w:val="center"/>
          </w:tcPr>
          <w:p w14:paraId="4E3D6F4D"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MCP ​</w:t>
            </w:r>
          </w:p>
        </w:tc>
        <w:tc>
          <w:tcPr>
            <w:tcW w:w="1095" w:type="dxa"/>
            <w:vAlign w:val="center"/>
          </w:tcPr>
          <w:p w14:paraId="25E3CA1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P15529</w:t>
            </w:r>
          </w:p>
        </w:tc>
        <w:tc>
          <w:tcPr>
            <w:tcW w:w="1360" w:type="dxa"/>
            <w:vAlign w:val="center"/>
          </w:tcPr>
          <w:p w14:paraId="2ECBDA0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O02839</w:t>
            </w:r>
          </w:p>
        </w:tc>
        <w:tc>
          <w:tcPr>
            <w:tcW w:w="990" w:type="dxa"/>
            <w:vAlign w:val="center"/>
          </w:tcPr>
          <w:p w14:paraId="5D76F41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40.46​</w:t>
            </w:r>
          </w:p>
        </w:tc>
        <w:tc>
          <w:tcPr>
            <w:tcW w:w="1170" w:type="dxa"/>
            <w:vAlign w:val="center"/>
          </w:tcPr>
          <w:p w14:paraId="377ED1C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A0A2K5WCS2</w:t>
            </w:r>
          </w:p>
        </w:tc>
        <w:tc>
          <w:tcPr>
            <w:tcW w:w="990" w:type="dxa"/>
            <w:vAlign w:val="center"/>
          </w:tcPr>
          <w:p w14:paraId="17427458"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77.44 ​</w:t>
            </w:r>
          </w:p>
        </w:tc>
        <w:tc>
          <w:tcPr>
            <w:tcW w:w="1260" w:type="dxa"/>
            <w:vAlign w:val="center"/>
          </w:tcPr>
          <w:p w14:paraId="6B761E85"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A0A096NAP4</w:t>
            </w:r>
          </w:p>
        </w:tc>
        <w:tc>
          <w:tcPr>
            <w:tcW w:w="995" w:type="dxa"/>
            <w:vAlign w:val="center"/>
          </w:tcPr>
          <w:p w14:paraId="2D7DCA41"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85.71​</w:t>
            </w:r>
          </w:p>
        </w:tc>
        <w:tc>
          <w:tcPr>
            <w:tcW w:w="1172" w:type="dxa"/>
            <w:vAlign w:val="center"/>
          </w:tcPr>
          <w:p w14:paraId="4DC4F5DB"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F7DTG0</w:t>
            </w:r>
          </w:p>
        </w:tc>
        <w:tc>
          <w:tcPr>
            <w:tcW w:w="983" w:type="dxa"/>
            <w:vAlign w:val="center"/>
          </w:tcPr>
          <w:p w14:paraId="1818AF0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77.69​</w:t>
            </w:r>
          </w:p>
        </w:tc>
      </w:tr>
      <w:tr w:rsidR="00982466" w:rsidRPr="00982466" w14:paraId="12EAC785" w14:textId="77777777" w:rsidTr="008177A2">
        <w:tc>
          <w:tcPr>
            <w:tcW w:w="1305" w:type="dxa"/>
            <w:vAlign w:val="center"/>
          </w:tcPr>
          <w:p w14:paraId="2A35B12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ENSG00000196352</w:t>
            </w:r>
          </w:p>
        </w:tc>
        <w:tc>
          <w:tcPr>
            <w:tcW w:w="990" w:type="dxa"/>
            <w:vAlign w:val="center"/>
          </w:tcPr>
          <w:p w14:paraId="68D940B0" w14:textId="77777777" w:rsidR="00982466" w:rsidRPr="00982466" w:rsidRDefault="00982466" w:rsidP="00982466">
            <w:pPr>
              <w:rPr>
                <w:rFonts w:ascii="Calibri" w:eastAsia="Calibri" w:hAnsi="Calibri" w:cs="Arial"/>
                <w:i/>
                <w:iCs/>
                <w:szCs w:val="22"/>
              </w:rPr>
            </w:pPr>
            <w:r w:rsidRPr="00982466">
              <w:rPr>
                <w:rFonts w:ascii="Calibri" w:eastAsia="Calibri" w:hAnsi="Calibri" w:cs="Arial"/>
                <w:i/>
                <w:iCs/>
                <w:color w:val="000000"/>
                <w:kern w:val="24"/>
                <w:szCs w:val="22"/>
              </w:rPr>
              <w:t>CD55 ​</w:t>
            </w:r>
          </w:p>
        </w:tc>
        <w:tc>
          <w:tcPr>
            <w:tcW w:w="825" w:type="dxa"/>
            <w:vAlign w:val="center"/>
          </w:tcPr>
          <w:p w14:paraId="719389E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DAF ​</w:t>
            </w:r>
          </w:p>
        </w:tc>
        <w:tc>
          <w:tcPr>
            <w:tcW w:w="1095" w:type="dxa"/>
            <w:vAlign w:val="center"/>
          </w:tcPr>
          <w:p w14:paraId="441D9D29"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P08174</w:t>
            </w:r>
          </w:p>
        </w:tc>
        <w:tc>
          <w:tcPr>
            <w:tcW w:w="1360" w:type="dxa"/>
            <w:vAlign w:val="center"/>
          </w:tcPr>
          <w:p w14:paraId="3F2303B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Q9GLM2</w:t>
            </w:r>
          </w:p>
        </w:tc>
        <w:tc>
          <w:tcPr>
            <w:tcW w:w="990" w:type="dxa"/>
            <w:vAlign w:val="center"/>
          </w:tcPr>
          <w:p w14:paraId="3D514FF4"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36.77​</w:t>
            </w:r>
          </w:p>
        </w:tc>
        <w:tc>
          <w:tcPr>
            <w:tcW w:w="1170" w:type="dxa"/>
            <w:vAlign w:val="center"/>
          </w:tcPr>
          <w:p w14:paraId="7375156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A0A2K5X1U9</w:t>
            </w:r>
          </w:p>
        </w:tc>
        <w:tc>
          <w:tcPr>
            <w:tcW w:w="990" w:type="dxa"/>
            <w:vAlign w:val="center"/>
          </w:tcPr>
          <w:p w14:paraId="6DC2575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78.77 ​</w:t>
            </w:r>
          </w:p>
        </w:tc>
        <w:tc>
          <w:tcPr>
            <w:tcW w:w="1260" w:type="dxa"/>
            <w:vAlign w:val="center"/>
          </w:tcPr>
          <w:p w14:paraId="539CD568"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A0A2I3LDB2</w:t>
            </w:r>
          </w:p>
        </w:tc>
        <w:tc>
          <w:tcPr>
            <w:tcW w:w="995" w:type="dxa"/>
            <w:vAlign w:val="center"/>
          </w:tcPr>
          <w:p w14:paraId="42B3D0E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68.47​</w:t>
            </w:r>
          </w:p>
        </w:tc>
        <w:tc>
          <w:tcPr>
            <w:tcW w:w="1172" w:type="dxa"/>
            <w:vAlign w:val="center"/>
          </w:tcPr>
          <w:p w14:paraId="0762B4E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A0A1D5R106</w:t>
            </w:r>
          </w:p>
        </w:tc>
        <w:tc>
          <w:tcPr>
            <w:tcW w:w="983" w:type="dxa"/>
            <w:vAlign w:val="center"/>
          </w:tcPr>
          <w:p w14:paraId="70C3644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78.77​</w:t>
            </w:r>
          </w:p>
        </w:tc>
      </w:tr>
      <w:tr w:rsidR="00982466" w:rsidRPr="00982466" w14:paraId="1B3CF655" w14:textId="77777777" w:rsidTr="008177A2">
        <w:tc>
          <w:tcPr>
            <w:tcW w:w="1305" w:type="dxa"/>
            <w:vAlign w:val="center"/>
          </w:tcPr>
          <w:p w14:paraId="53F4F6FB"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ENSG00000196776</w:t>
            </w:r>
          </w:p>
        </w:tc>
        <w:tc>
          <w:tcPr>
            <w:tcW w:w="990" w:type="dxa"/>
            <w:vAlign w:val="center"/>
          </w:tcPr>
          <w:p w14:paraId="77B3E7D4" w14:textId="77777777" w:rsidR="00982466" w:rsidRPr="00982466" w:rsidRDefault="00982466" w:rsidP="00982466">
            <w:pPr>
              <w:rPr>
                <w:rFonts w:ascii="Calibri" w:eastAsia="Calibri" w:hAnsi="Calibri" w:cs="Arial"/>
                <w:szCs w:val="22"/>
              </w:rPr>
            </w:pPr>
            <w:r w:rsidRPr="00982466">
              <w:rPr>
                <w:rFonts w:ascii="Calibri" w:eastAsia="Calibri" w:hAnsi="Calibri" w:cs="Arial"/>
                <w:i/>
                <w:iCs/>
                <w:color w:val="000000"/>
                <w:kern w:val="24"/>
                <w:szCs w:val="22"/>
              </w:rPr>
              <w:t>CD47 </w:t>
            </w:r>
            <w:r w:rsidRPr="00982466">
              <w:rPr>
                <w:rFonts w:ascii="Calibri" w:eastAsia="Calibri" w:hAnsi="Calibri" w:cs="Arial"/>
                <w:color w:val="000000"/>
                <w:kern w:val="24"/>
                <w:szCs w:val="22"/>
              </w:rPr>
              <w:t>​</w:t>
            </w:r>
          </w:p>
        </w:tc>
        <w:tc>
          <w:tcPr>
            <w:tcW w:w="825" w:type="dxa"/>
            <w:vAlign w:val="center"/>
          </w:tcPr>
          <w:p w14:paraId="4BD19864" w14:textId="77777777" w:rsidR="00982466" w:rsidRPr="00982466" w:rsidRDefault="00982466" w:rsidP="00982466">
            <w:pPr>
              <w:rPr>
                <w:rFonts w:ascii="Calibri" w:eastAsia="Calibri" w:hAnsi="Calibri" w:cs="Arial"/>
                <w:szCs w:val="22"/>
              </w:rPr>
            </w:pPr>
          </w:p>
        </w:tc>
        <w:tc>
          <w:tcPr>
            <w:tcW w:w="1095" w:type="dxa"/>
            <w:vAlign w:val="center"/>
          </w:tcPr>
          <w:p w14:paraId="42D00F37"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Q08722</w:t>
            </w:r>
          </w:p>
        </w:tc>
        <w:tc>
          <w:tcPr>
            <w:tcW w:w="1360" w:type="dxa"/>
            <w:vAlign w:val="center"/>
          </w:tcPr>
          <w:p w14:paraId="42E4977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Q9GKE8</w:t>
            </w:r>
          </w:p>
        </w:tc>
        <w:tc>
          <w:tcPr>
            <w:tcW w:w="990" w:type="dxa"/>
            <w:vAlign w:val="center"/>
          </w:tcPr>
          <w:p w14:paraId="5694361B"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68.42​</w:t>
            </w:r>
          </w:p>
        </w:tc>
        <w:tc>
          <w:tcPr>
            <w:tcW w:w="1170" w:type="dxa"/>
            <w:vAlign w:val="center"/>
          </w:tcPr>
          <w:p w14:paraId="0EEC7D48"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A0A2K5X4I2</w:t>
            </w:r>
          </w:p>
        </w:tc>
        <w:tc>
          <w:tcPr>
            <w:tcW w:w="990" w:type="dxa"/>
            <w:vAlign w:val="center"/>
          </w:tcPr>
          <w:p w14:paraId="218EF3F9"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80.10 ​</w:t>
            </w:r>
          </w:p>
        </w:tc>
        <w:tc>
          <w:tcPr>
            <w:tcW w:w="1260" w:type="dxa"/>
            <w:vAlign w:val="center"/>
          </w:tcPr>
          <w:p w14:paraId="04324F8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A0A096NQZ6</w:t>
            </w:r>
          </w:p>
        </w:tc>
        <w:tc>
          <w:tcPr>
            <w:tcW w:w="995" w:type="dxa"/>
            <w:vAlign w:val="center"/>
          </w:tcPr>
          <w:p w14:paraId="1920DC9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98.45​</w:t>
            </w:r>
          </w:p>
        </w:tc>
        <w:tc>
          <w:tcPr>
            <w:tcW w:w="1172" w:type="dxa"/>
            <w:vAlign w:val="center"/>
          </w:tcPr>
          <w:p w14:paraId="1CBC10D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A0A5F8AK49</w:t>
            </w:r>
          </w:p>
        </w:tc>
        <w:tc>
          <w:tcPr>
            <w:tcW w:w="983" w:type="dxa"/>
            <w:vAlign w:val="center"/>
          </w:tcPr>
          <w:p w14:paraId="75DF86A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98.76​</w:t>
            </w:r>
          </w:p>
        </w:tc>
      </w:tr>
      <w:tr w:rsidR="00982466" w:rsidRPr="00982466" w14:paraId="51212AF9" w14:textId="77777777" w:rsidTr="008177A2">
        <w:tc>
          <w:tcPr>
            <w:tcW w:w="1305" w:type="dxa"/>
            <w:vAlign w:val="center"/>
          </w:tcPr>
          <w:p w14:paraId="0CC2C99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ENSG00000101000</w:t>
            </w:r>
            <w:r w:rsidRPr="00982466">
              <w:rPr>
                <w:rFonts w:ascii="Tahoma" w:eastAsia="Calibri" w:hAnsi="Tahoma" w:cs="Tahoma"/>
                <w:color w:val="000000"/>
                <w:kern w:val="24"/>
                <w:szCs w:val="22"/>
              </w:rPr>
              <w:t>﻿</w:t>
            </w:r>
          </w:p>
        </w:tc>
        <w:tc>
          <w:tcPr>
            <w:tcW w:w="990" w:type="dxa"/>
            <w:vAlign w:val="center"/>
          </w:tcPr>
          <w:p w14:paraId="27BB5302" w14:textId="77777777" w:rsidR="00982466" w:rsidRPr="00982466" w:rsidRDefault="00982466" w:rsidP="00982466">
            <w:pPr>
              <w:rPr>
                <w:rFonts w:ascii="Calibri" w:eastAsia="Calibri" w:hAnsi="Calibri" w:cs="Arial"/>
                <w:i/>
                <w:iCs/>
                <w:szCs w:val="22"/>
              </w:rPr>
            </w:pPr>
            <w:r w:rsidRPr="00982466">
              <w:rPr>
                <w:rFonts w:ascii="Calibri" w:eastAsia="Calibri" w:hAnsi="Calibri" w:cs="Arial"/>
                <w:i/>
                <w:iCs/>
                <w:color w:val="000000"/>
                <w:kern w:val="24"/>
                <w:szCs w:val="22"/>
              </w:rPr>
              <w:t>PROCR ​</w:t>
            </w:r>
          </w:p>
        </w:tc>
        <w:tc>
          <w:tcPr>
            <w:tcW w:w="825" w:type="dxa"/>
            <w:vAlign w:val="center"/>
          </w:tcPr>
          <w:p w14:paraId="586C485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EPCR ​</w:t>
            </w:r>
          </w:p>
        </w:tc>
        <w:tc>
          <w:tcPr>
            <w:tcW w:w="1095" w:type="dxa"/>
            <w:vAlign w:val="center"/>
          </w:tcPr>
          <w:p w14:paraId="4D1F4E6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Q9UNN8</w:t>
            </w:r>
          </w:p>
        </w:tc>
        <w:tc>
          <w:tcPr>
            <w:tcW w:w="1360" w:type="dxa"/>
            <w:vAlign w:val="center"/>
          </w:tcPr>
          <w:p w14:paraId="450F8C6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C6EQ34</w:t>
            </w:r>
          </w:p>
        </w:tc>
        <w:tc>
          <w:tcPr>
            <w:tcW w:w="990" w:type="dxa"/>
            <w:vAlign w:val="center"/>
          </w:tcPr>
          <w:p w14:paraId="0089193E"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69.42​</w:t>
            </w:r>
          </w:p>
        </w:tc>
        <w:tc>
          <w:tcPr>
            <w:tcW w:w="1170" w:type="dxa"/>
            <w:vAlign w:val="center"/>
          </w:tcPr>
          <w:p w14:paraId="269A154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A0A2K5W826</w:t>
            </w:r>
          </w:p>
        </w:tc>
        <w:tc>
          <w:tcPr>
            <w:tcW w:w="990" w:type="dxa"/>
            <w:vAlign w:val="center"/>
          </w:tcPr>
          <w:p w14:paraId="002DF4C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93.7 ​</w:t>
            </w:r>
          </w:p>
        </w:tc>
        <w:tc>
          <w:tcPr>
            <w:tcW w:w="1260" w:type="dxa"/>
            <w:vAlign w:val="center"/>
          </w:tcPr>
          <w:p w14:paraId="7E14EC17"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A0A096NUQ2</w:t>
            </w:r>
          </w:p>
        </w:tc>
        <w:tc>
          <w:tcPr>
            <w:tcW w:w="995" w:type="dxa"/>
            <w:vAlign w:val="center"/>
          </w:tcPr>
          <w:p w14:paraId="03B23CD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93.7​</w:t>
            </w:r>
          </w:p>
        </w:tc>
        <w:tc>
          <w:tcPr>
            <w:tcW w:w="1172" w:type="dxa"/>
            <w:vAlign w:val="center"/>
          </w:tcPr>
          <w:p w14:paraId="67D49B68"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A0A5F7ZJY1</w:t>
            </w:r>
          </w:p>
        </w:tc>
        <w:tc>
          <w:tcPr>
            <w:tcW w:w="983" w:type="dxa"/>
            <w:vAlign w:val="center"/>
          </w:tcPr>
          <w:p w14:paraId="625AD16D"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67.17​</w:t>
            </w:r>
          </w:p>
        </w:tc>
      </w:tr>
      <w:tr w:rsidR="00982466" w:rsidRPr="00982466" w14:paraId="4C3D3215" w14:textId="77777777" w:rsidTr="008177A2">
        <w:tc>
          <w:tcPr>
            <w:tcW w:w="1305" w:type="dxa"/>
            <w:vAlign w:val="center"/>
          </w:tcPr>
          <w:p w14:paraId="007A6D4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ENSG00000178726</w:t>
            </w:r>
          </w:p>
        </w:tc>
        <w:tc>
          <w:tcPr>
            <w:tcW w:w="990" w:type="dxa"/>
            <w:vAlign w:val="center"/>
          </w:tcPr>
          <w:p w14:paraId="73BECF99" w14:textId="77777777" w:rsidR="00982466" w:rsidRPr="00982466" w:rsidRDefault="00982466" w:rsidP="00982466">
            <w:pPr>
              <w:rPr>
                <w:rFonts w:ascii="Calibri" w:eastAsia="Calibri" w:hAnsi="Calibri" w:cs="Arial"/>
                <w:szCs w:val="22"/>
              </w:rPr>
            </w:pPr>
            <w:r w:rsidRPr="00982466">
              <w:rPr>
                <w:rFonts w:ascii="Calibri" w:eastAsia="Calibri" w:hAnsi="Calibri" w:cs="Arial"/>
                <w:i/>
                <w:iCs/>
                <w:color w:val="000000"/>
                <w:kern w:val="24"/>
                <w:szCs w:val="22"/>
              </w:rPr>
              <w:t>THBD</w:t>
            </w:r>
            <w:r w:rsidRPr="00982466">
              <w:rPr>
                <w:rFonts w:ascii="Calibri" w:eastAsia="Calibri" w:hAnsi="Calibri" w:cs="Arial"/>
                <w:color w:val="000000"/>
                <w:kern w:val="24"/>
                <w:szCs w:val="22"/>
              </w:rPr>
              <w:t> ​</w:t>
            </w:r>
          </w:p>
        </w:tc>
        <w:tc>
          <w:tcPr>
            <w:tcW w:w="825" w:type="dxa"/>
            <w:vAlign w:val="center"/>
          </w:tcPr>
          <w:p w14:paraId="7A2F111F"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TM ​</w:t>
            </w:r>
          </w:p>
        </w:tc>
        <w:tc>
          <w:tcPr>
            <w:tcW w:w="1095" w:type="dxa"/>
            <w:vAlign w:val="center"/>
          </w:tcPr>
          <w:p w14:paraId="7AB0D74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P07204</w:t>
            </w:r>
          </w:p>
        </w:tc>
        <w:tc>
          <w:tcPr>
            <w:tcW w:w="1360" w:type="dxa"/>
            <w:vAlign w:val="center"/>
          </w:tcPr>
          <w:p w14:paraId="6D3EE8B3"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A0A4X1V0Q9</w:t>
            </w:r>
          </w:p>
        </w:tc>
        <w:tc>
          <w:tcPr>
            <w:tcW w:w="990" w:type="dxa"/>
            <w:vAlign w:val="center"/>
          </w:tcPr>
          <w:p w14:paraId="21720042"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68.84​</w:t>
            </w:r>
          </w:p>
        </w:tc>
        <w:tc>
          <w:tcPr>
            <w:tcW w:w="1170" w:type="dxa"/>
            <w:vAlign w:val="center"/>
          </w:tcPr>
          <w:p w14:paraId="2D80A6BD"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G7PH40</w:t>
            </w:r>
          </w:p>
        </w:tc>
        <w:tc>
          <w:tcPr>
            <w:tcW w:w="990" w:type="dxa"/>
            <w:vAlign w:val="center"/>
          </w:tcPr>
          <w:p w14:paraId="3B89746E"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83.3​</w:t>
            </w:r>
          </w:p>
        </w:tc>
        <w:tc>
          <w:tcPr>
            <w:tcW w:w="1260" w:type="dxa"/>
            <w:vAlign w:val="center"/>
          </w:tcPr>
          <w:p w14:paraId="23447CA6"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ENSPANT00000063726*</w:t>
            </w:r>
          </w:p>
        </w:tc>
        <w:tc>
          <w:tcPr>
            <w:tcW w:w="995" w:type="dxa"/>
            <w:vAlign w:val="center"/>
          </w:tcPr>
          <w:p w14:paraId="156EBA3C"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81.3​</w:t>
            </w:r>
          </w:p>
        </w:tc>
        <w:tc>
          <w:tcPr>
            <w:tcW w:w="1172" w:type="dxa"/>
            <w:vAlign w:val="center"/>
          </w:tcPr>
          <w:p w14:paraId="53EB3FAD"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G7N337</w:t>
            </w:r>
          </w:p>
        </w:tc>
        <w:tc>
          <w:tcPr>
            <w:tcW w:w="983" w:type="dxa"/>
            <w:vAlign w:val="center"/>
          </w:tcPr>
          <w:p w14:paraId="02F6AC50" w14:textId="77777777" w:rsidR="00982466" w:rsidRPr="00982466" w:rsidRDefault="00982466" w:rsidP="00982466">
            <w:pPr>
              <w:rPr>
                <w:rFonts w:ascii="Calibri" w:eastAsia="Calibri" w:hAnsi="Calibri" w:cs="Arial"/>
                <w:szCs w:val="22"/>
              </w:rPr>
            </w:pPr>
            <w:r w:rsidRPr="00982466">
              <w:rPr>
                <w:rFonts w:ascii="Calibri" w:eastAsia="Calibri" w:hAnsi="Calibri" w:cs="Arial"/>
                <w:color w:val="000000"/>
                <w:kern w:val="24"/>
                <w:szCs w:val="22"/>
              </w:rPr>
              <w:t>87.83​</w:t>
            </w:r>
          </w:p>
        </w:tc>
      </w:tr>
    </w:tbl>
    <w:p w14:paraId="62B7323C" w14:textId="77777777" w:rsidR="00982466" w:rsidRPr="00982466" w:rsidRDefault="00982466" w:rsidP="00982466">
      <w:pPr>
        <w:keepNext/>
        <w:spacing w:before="240" w:after="60"/>
        <w:outlineLvl w:val="0"/>
        <w:rPr>
          <w:b/>
          <w:bCs/>
          <w:kern w:val="32"/>
          <w:szCs w:val="24"/>
        </w:rPr>
      </w:pPr>
    </w:p>
    <w:p w14:paraId="290F1A24" w14:textId="77777777" w:rsidR="00982466" w:rsidRPr="00982466" w:rsidRDefault="00982466" w:rsidP="00982466">
      <w:pPr>
        <w:rPr>
          <w:b/>
          <w:bCs/>
          <w:kern w:val="32"/>
          <w:szCs w:val="24"/>
        </w:rPr>
        <w:sectPr w:rsidR="00982466" w:rsidRPr="00982466" w:rsidSect="00181843">
          <w:pgSz w:w="15840" w:h="12240" w:orient="landscape"/>
          <w:pgMar w:top="1440" w:right="1440" w:bottom="1440" w:left="1440" w:header="720" w:footer="720" w:gutter="0"/>
          <w:cols w:space="720"/>
          <w:docGrid w:linePitch="360"/>
        </w:sectPr>
      </w:pPr>
      <w:r w:rsidRPr="00982466">
        <w:br w:type="page"/>
      </w:r>
    </w:p>
    <w:p w14:paraId="436A9199" w14:textId="77777777" w:rsidR="00982466" w:rsidRPr="00982466" w:rsidRDefault="00982466" w:rsidP="00982466">
      <w:pPr>
        <w:rPr>
          <w:b/>
          <w:bCs/>
          <w:szCs w:val="24"/>
        </w:rPr>
      </w:pPr>
      <w:r w:rsidRPr="00982466">
        <w:rPr>
          <w:b/>
          <w:bCs/>
          <w:szCs w:val="24"/>
        </w:rPr>
        <w:lastRenderedPageBreak/>
        <w:t xml:space="preserve">Supplementary Table 2. </w:t>
      </w:r>
    </w:p>
    <w:p w14:paraId="6A606F19" w14:textId="77777777" w:rsidR="00982466" w:rsidRPr="00982466" w:rsidRDefault="00982466" w:rsidP="00982466">
      <w:pPr>
        <w:rPr>
          <w:szCs w:val="24"/>
        </w:rPr>
      </w:pPr>
      <w:r w:rsidRPr="00982466">
        <w:rPr>
          <w:szCs w:val="24"/>
        </w:rPr>
        <w:t>CRISPR guide RNA sequences were used to edit the porcine genome</w:t>
      </w:r>
    </w:p>
    <w:p w14:paraId="10930E17" w14:textId="77777777" w:rsidR="00982466" w:rsidRPr="00982466" w:rsidRDefault="00982466" w:rsidP="00982466">
      <w:pPr>
        <w:rPr>
          <w:szCs w:val="24"/>
        </w:rPr>
      </w:pPr>
    </w:p>
    <w:tbl>
      <w:tblPr>
        <w:tblStyle w:val="TableGrid12"/>
        <w:tblW w:w="7825" w:type="dxa"/>
        <w:tblInd w:w="875" w:type="dxa"/>
        <w:tblLook w:val="0600" w:firstRow="0" w:lastRow="0" w:firstColumn="0" w:lastColumn="0" w:noHBand="1" w:noVBand="1"/>
      </w:tblPr>
      <w:tblGrid>
        <w:gridCol w:w="2540"/>
        <w:gridCol w:w="1775"/>
        <w:gridCol w:w="3510"/>
      </w:tblGrid>
      <w:tr w:rsidR="00982466" w:rsidRPr="00982466" w14:paraId="27355E81" w14:textId="77777777" w:rsidTr="008177A2">
        <w:tc>
          <w:tcPr>
            <w:tcW w:w="2540" w:type="dxa"/>
            <w:hideMark/>
          </w:tcPr>
          <w:p w14:paraId="7490536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Genomic Locus/Gene</w:t>
            </w:r>
          </w:p>
        </w:tc>
        <w:tc>
          <w:tcPr>
            <w:tcW w:w="1775" w:type="dxa"/>
            <w:hideMark/>
          </w:tcPr>
          <w:p w14:paraId="5FDDA350"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sgRNA Name</w:t>
            </w:r>
          </w:p>
        </w:tc>
        <w:tc>
          <w:tcPr>
            <w:tcW w:w="3510" w:type="dxa"/>
            <w:vAlign w:val="center"/>
            <w:hideMark/>
          </w:tcPr>
          <w:p w14:paraId="54CF13BF"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Sequence (5’ to 3’)</w:t>
            </w:r>
          </w:p>
        </w:tc>
      </w:tr>
      <w:tr w:rsidR="00982466" w:rsidRPr="00982466" w14:paraId="186BDA91" w14:textId="77777777" w:rsidTr="008177A2">
        <w:tc>
          <w:tcPr>
            <w:tcW w:w="2540" w:type="dxa"/>
            <w:hideMark/>
          </w:tcPr>
          <w:p w14:paraId="457745B7" w14:textId="77777777" w:rsidR="00982466" w:rsidRPr="00982466" w:rsidRDefault="00982466" w:rsidP="00982466">
            <w:pPr>
              <w:spacing w:after="160"/>
              <w:jc w:val="center"/>
              <w:rPr>
                <w:rFonts w:ascii="Calibri" w:eastAsia="Calibri" w:hAnsi="Calibri" w:cs="Arial"/>
                <w:i/>
                <w:iCs/>
                <w:szCs w:val="22"/>
              </w:rPr>
            </w:pPr>
            <w:r w:rsidRPr="00982466">
              <w:rPr>
                <w:rFonts w:ascii="Calibri" w:eastAsia="Calibri" w:hAnsi="Calibri" w:cs="Arial"/>
                <w:i/>
                <w:iCs/>
                <w:szCs w:val="22"/>
              </w:rPr>
              <w:t>AAVS1</w:t>
            </w:r>
          </w:p>
        </w:tc>
        <w:tc>
          <w:tcPr>
            <w:tcW w:w="1775" w:type="dxa"/>
            <w:hideMark/>
          </w:tcPr>
          <w:p w14:paraId="0BBA68E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1</w:t>
            </w:r>
          </w:p>
        </w:tc>
        <w:tc>
          <w:tcPr>
            <w:tcW w:w="3510" w:type="dxa"/>
            <w:hideMark/>
          </w:tcPr>
          <w:p w14:paraId="09583813"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GGCCCAGAACCAGAAAGAGG</w:t>
            </w:r>
          </w:p>
        </w:tc>
      </w:tr>
      <w:tr w:rsidR="00982466" w:rsidRPr="00982466" w14:paraId="69A4534A" w14:textId="77777777" w:rsidTr="008177A2">
        <w:tc>
          <w:tcPr>
            <w:tcW w:w="2540" w:type="dxa"/>
            <w:hideMark/>
          </w:tcPr>
          <w:p w14:paraId="7CAC9FD9" w14:textId="77777777" w:rsidR="00982466" w:rsidRPr="00982466" w:rsidRDefault="00982466" w:rsidP="00982466">
            <w:pPr>
              <w:spacing w:after="160"/>
              <w:jc w:val="center"/>
              <w:rPr>
                <w:rFonts w:ascii="Calibri" w:eastAsia="Calibri" w:hAnsi="Calibri" w:cs="Arial"/>
                <w:i/>
                <w:iCs/>
                <w:szCs w:val="22"/>
              </w:rPr>
            </w:pPr>
            <w:r w:rsidRPr="00982466">
              <w:rPr>
                <w:rFonts w:ascii="Calibri" w:eastAsia="Calibri" w:hAnsi="Calibri" w:cs="Arial"/>
                <w:i/>
                <w:iCs/>
                <w:szCs w:val="22"/>
              </w:rPr>
              <w:t>GGTA1</w:t>
            </w:r>
          </w:p>
        </w:tc>
        <w:tc>
          <w:tcPr>
            <w:tcW w:w="1775" w:type="dxa"/>
            <w:hideMark/>
          </w:tcPr>
          <w:p w14:paraId="057D4A5C"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4</w:t>
            </w:r>
          </w:p>
        </w:tc>
        <w:tc>
          <w:tcPr>
            <w:tcW w:w="3510" w:type="dxa"/>
            <w:hideMark/>
          </w:tcPr>
          <w:p w14:paraId="329A6F15"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GCTGCTTGTCTCAACTGTAA</w:t>
            </w:r>
          </w:p>
        </w:tc>
      </w:tr>
      <w:tr w:rsidR="00982466" w:rsidRPr="00982466" w14:paraId="10932BBB" w14:textId="77777777" w:rsidTr="008177A2">
        <w:tc>
          <w:tcPr>
            <w:tcW w:w="2540" w:type="dxa"/>
            <w:hideMark/>
          </w:tcPr>
          <w:p w14:paraId="601C35D7" w14:textId="77777777" w:rsidR="00982466" w:rsidRPr="00982466" w:rsidRDefault="00982466" w:rsidP="00982466">
            <w:pPr>
              <w:spacing w:after="160"/>
              <w:jc w:val="center"/>
              <w:rPr>
                <w:rFonts w:ascii="Calibri" w:eastAsia="Calibri" w:hAnsi="Calibri" w:cs="Arial"/>
                <w:i/>
                <w:iCs/>
                <w:szCs w:val="22"/>
              </w:rPr>
            </w:pPr>
            <w:r w:rsidRPr="00982466">
              <w:rPr>
                <w:rFonts w:ascii="Calibri" w:eastAsia="Calibri" w:hAnsi="Calibri" w:cs="Arial"/>
                <w:i/>
                <w:iCs/>
                <w:szCs w:val="22"/>
              </w:rPr>
              <w:t>CMAH</w:t>
            </w:r>
          </w:p>
        </w:tc>
        <w:tc>
          <w:tcPr>
            <w:tcW w:w="1775" w:type="dxa"/>
            <w:hideMark/>
          </w:tcPr>
          <w:p w14:paraId="354A71E4"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2</w:t>
            </w:r>
          </w:p>
        </w:tc>
        <w:tc>
          <w:tcPr>
            <w:tcW w:w="3510" w:type="dxa"/>
            <w:hideMark/>
          </w:tcPr>
          <w:p w14:paraId="04000A2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GAAGCTGCCAATCTCAAGGA</w:t>
            </w:r>
          </w:p>
        </w:tc>
      </w:tr>
      <w:tr w:rsidR="00982466" w:rsidRPr="00982466" w14:paraId="43ADC1AB" w14:textId="77777777" w:rsidTr="008177A2">
        <w:tc>
          <w:tcPr>
            <w:tcW w:w="2540" w:type="dxa"/>
            <w:hideMark/>
          </w:tcPr>
          <w:p w14:paraId="79014E11" w14:textId="77777777" w:rsidR="00982466" w:rsidRPr="00982466" w:rsidRDefault="00982466" w:rsidP="00982466">
            <w:pPr>
              <w:spacing w:after="160"/>
              <w:jc w:val="center"/>
              <w:rPr>
                <w:rFonts w:ascii="Calibri" w:eastAsia="Calibri" w:hAnsi="Calibri" w:cs="Arial"/>
                <w:i/>
                <w:iCs/>
                <w:szCs w:val="22"/>
              </w:rPr>
            </w:pPr>
            <w:r w:rsidRPr="00982466">
              <w:rPr>
                <w:rFonts w:ascii="Calibri" w:eastAsia="Calibri" w:hAnsi="Calibri" w:cs="Arial"/>
                <w:i/>
                <w:iCs/>
                <w:szCs w:val="22"/>
              </w:rPr>
              <w:t>B4GALNT2</w:t>
            </w:r>
          </w:p>
        </w:tc>
        <w:tc>
          <w:tcPr>
            <w:tcW w:w="1775" w:type="dxa"/>
            <w:hideMark/>
          </w:tcPr>
          <w:p w14:paraId="421CD7AA"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15</w:t>
            </w:r>
          </w:p>
        </w:tc>
        <w:tc>
          <w:tcPr>
            <w:tcW w:w="3510" w:type="dxa"/>
            <w:hideMark/>
          </w:tcPr>
          <w:p w14:paraId="678A6767"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AGCTCGAACACTTTCAGAGG</w:t>
            </w:r>
          </w:p>
        </w:tc>
      </w:tr>
      <w:tr w:rsidR="00982466" w:rsidRPr="00982466" w14:paraId="7BE9165B" w14:textId="77777777" w:rsidTr="008177A2">
        <w:tc>
          <w:tcPr>
            <w:tcW w:w="2540" w:type="dxa"/>
            <w:vMerge w:val="restart"/>
            <w:vAlign w:val="center"/>
            <w:hideMark/>
          </w:tcPr>
          <w:p w14:paraId="7BEBA27F"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 xml:space="preserve">PERV </w:t>
            </w:r>
          </w:p>
          <w:p w14:paraId="19C5D920"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Reverse Transcriptase</w:t>
            </w:r>
          </w:p>
        </w:tc>
        <w:tc>
          <w:tcPr>
            <w:tcW w:w="1775" w:type="dxa"/>
            <w:hideMark/>
          </w:tcPr>
          <w:p w14:paraId="5627652F"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3N</w:t>
            </w:r>
          </w:p>
        </w:tc>
        <w:tc>
          <w:tcPr>
            <w:tcW w:w="3510" w:type="dxa"/>
            <w:hideMark/>
          </w:tcPr>
          <w:p w14:paraId="40619DA2"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TCTGGCGGGAGCCACCAAAC</w:t>
            </w:r>
          </w:p>
        </w:tc>
      </w:tr>
      <w:tr w:rsidR="00982466" w:rsidRPr="00982466" w14:paraId="11FC8201" w14:textId="77777777" w:rsidTr="008177A2">
        <w:tc>
          <w:tcPr>
            <w:tcW w:w="0" w:type="auto"/>
            <w:vMerge/>
            <w:hideMark/>
          </w:tcPr>
          <w:p w14:paraId="380B9E57" w14:textId="77777777" w:rsidR="00982466" w:rsidRPr="00982466" w:rsidRDefault="00982466" w:rsidP="00982466">
            <w:pPr>
              <w:spacing w:after="160"/>
              <w:ind w:firstLine="720"/>
              <w:jc w:val="center"/>
              <w:rPr>
                <w:rFonts w:ascii="Calibri" w:eastAsia="Calibri" w:hAnsi="Calibri" w:cs="Arial"/>
                <w:szCs w:val="22"/>
              </w:rPr>
            </w:pPr>
          </w:p>
        </w:tc>
        <w:tc>
          <w:tcPr>
            <w:tcW w:w="1775" w:type="dxa"/>
            <w:hideMark/>
          </w:tcPr>
          <w:p w14:paraId="30C63E0F"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5N</w:t>
            </w:r>
          </w:p>
        </w:tc>
        <w:tc>
          <w:tcPr>
            <w:tcW w:w="3510" w:type="dxa"/>
            <w:hideMark/>
          </w:tcPr>
          <w:p w14:paraId="40477FB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GGCTTCGTCAAAGATGGTCG</w:t>
            </w:r>
          </w:p>
        </w:tc>
      </w:tr>
      <w:tr w:rsidR="00982466" w:rsidRPr="00982466" w14:paraId="76C4BCE6" w14:textId="77777777" w:rsidTr="008177A2">
        <w:tc>
          <w:tcPr>
            <w:tcW w:w="0" w:type="auto"/>
            <w:vMerge/>
            <w:hideMark/>
          </w:tcPr>
          <w:p w14:paraId="1F141C02" w14:textId="77777777" w:rsidR="00982466" w:rsidRPr="00982466" w:rsidRDefault="00982466" w:rsidP="00982466">
            <w:pPr>
              <w:spacing w:after="160"/>
              <w:ind w:firstLine="720"/>
              <w:jc w:val="center"/>
              <w:rPr>
                <w:rFonts w:ascii="Calibri" w:eastAsia="Calibri" w:hAnsi="Calibri" w:cs="Arial"/>
                <w:szCs w:val="22"/>
              </w:rPr>
            </w:pPr>
          </w:p>
        </w:tc>
        <w:tc>
          <w:tcPr>
            <w:tcW w:w="1775" w:type="dxa"/>
            <w:hideMark/>
          </w:tcPr>
          <w:p w14:paraId="618342A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sgRNA 9N</w:t>
            </w:r>
          </w:p>
        </w:tc>
        <w:tc>
          <w:tcPr>
            <w:tcW w:w="3510" w:type="dxa"/>
            <w:hideMark/>
          </w:tcPr>
          <w:p w14:paraId="03A1F1C5"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TTCTAAGCAGTCCTGTTTGG</w:t>
            </w:r>
          </w:p>
        </w:tc>
      </w:tr>
    </w:tbl>
    <w:p w14:paraId="748FB571" w14:textId="77777777" w:rsidR="00982466" w:rsidRPr="00982466" w:rsidRDefault="00982466" w:rsidP="00982466">
      <w:pPr>
        <w:keepNext/>
        <w:spacing w:before="240" w:after="60"/>
        <w:outlineLvl w:val="0"/>
        <w:rPr>
          <w:b/>
          <w:bCs/>
          <w:kern w:val="32"/>
          <w:szCs w:val="24"/>
        </w:rPr>
      </w:pPr>
    </w:p>
    <w:p w14:paraId="4830B3D9" w14:textId="77777777" w:rsidR="00982466" w:rsidRPr="00982466" w:rsidRDefault="00982466" w:rsidP="00982466">
      <w:pPr>
        <w:keepNext/>
        <w:spacing w:before="240" w:after="60"/>
        <w:outlineLvl w:val="0"/>
        <w:rPr>
          <w:b/>
          <w:bCs/>
          <w:kern w:val="32"/>
          <w:szCs w:val="24"/>
        </w:rPr>
      </w:pPr>
      <w:r w:rsidRPr="00982466">
        <w:rPr>
          <w:b/>
          <w:bCs/>
          <w:kern w:val="32"/>
          <w:szCs w:val="24"/>
        </w:rPr>
        <w:t>Supplementary Table 3.</w:t>
      </w:r>
    </w:p>
    <w:p w14:paraId="0F707928" w14:textId="77777777" w:rsidR="00982466" w:rsidRPr="00982466" w:rsidRDefault="00982466" w:rsidP="00982466">
      <w:r w:rsidRPr="00982466">
        <w:rPr>
          <w:szCs w:val="24"/>
        </w:rPr>
        <w:t>Protein variants used in Payload 15S</w:t>
      </w:r>
    </w:p>
    <w:p w14:paraId="68E4A788" w14:textId="77777777" w:rsidR="00982466" w:rsidRPr="00982466" w:rsidRDefault="00982466" w:rsidP="00982466"/>
    <w:tbl>
      <w:tblPr>
        <w:tblStyle w:val="TableGrid12"/>
        <w:tblW w:w="8905" w:type="dxa"/>
        <w:tblInd w:w="515" w:type="dxa"/>
        <w:tblLook w:val="0600" w:firstRow="0" w:lastRow="0" w:firstColumn="0" w:lastColumn="0" w:noHBand="1" w:noVBand="1"/>
      </w:tblPr>
      <w:tblGrid>
        <w:gridCol w:w="1255"/>
        <w:gridCol w:w="2250"/>
        <w:gridCol w:w="2070"/>
        <w:gridCol w:w="1350"/>
        <w:gridCol w:w="1980"/>
      </w:tblGrid>
      <w:tr w:rsidR="00982466" w:rsidRPr="00982466" w14:paraId="6B743886" w14:textId="77777777" w:rsidTr="008177A2">
        <w:trPr>
          <w:trHeight w:val="368"/>
        </w:trPr>
        <w:tc>
          <w:tcPr>
            <w:tcW w:w="1255" w:type="dxa"/>
            <w:hideMark/>
          </w:tcPr>
          <w:p w14:paraId="26FBE87F" w14:textId="77777777" w:rsidR="00982466" w:rsidRPr="00982466" w:rsidRDefault="00982466" w:rsidP="00982466">
            <w:pPr>
              <w:spacing w:after="160"/>
              <w:rPr>
                <w:rFonts w:ascii="Calibri" w:eastAsia="Calibri" w:hAnsi="Calibri" w:cs="Arial"/>
                <w:szCs w:val="22"/>
              </w:rPr>
            </w:pPr>
            <w:r w:rsidRPr="00982466">
              <w:rPr>
                <w:rFonts w:ascii="Calibri" w:eastAsia="Calibri" w:hAnsi="Calibri" w:cs="Arial"/>
                <w:b/>
                <w:szCs w:val="22"/>
              </w:rPr>
              <w:t>Gene</w:t>
            </w:r>
          </w:p>
        </w:tc>
        <w:tc>
          <w:tcPr>
            <w:tcW w:w="2250" w:type="dxa"/>
            <w:hideMark/>
          </w:tcPr>
          <w:p w14:paraId="29130CAE"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mRNA</w:t>
            </w:r>
          </w:p>
        </w:tc>
        <w:tc>
          <w:tcPr>
            <w:tcW w:w="2070" w:type="dxa"/>
            <w:hideMark/>
          </w:tcPr>
          <w:p w14:paraId="5ADA400F"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Protein</w:t>
            </w:r>
          </w:p>
        </w:tc>
        <w:tc>
          <w:tcPr>
            <w:tcW w:w="1350" w:type="dxa"/>
            <w:hideMark/>
          </w:tcPr>
          <w:p w14:paraId="01D858EB"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Size (aa)</w:t>
            </w:r>
          </w:p>
        </w:tc>
        <w:tc>
          <w:tcPr>
            <w:tcW w:w="1980" w:type="dxa"/>
            <w:hideMark/>
          </w:tcPr>
          <w:p w14:paraId="63D7DE33"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b/>
                <w:szCs w:val="22"/>
              </w:rPr>
              <w:t>Protein Variant</w:t>
            </w:r>
          </w:p>
        </w:tc>
      </w:tr>
      <w:tr w:rsidR="00982466" w:rsidRPr="00982466" w14:paraId="093EC9FE" w14:textId="77777777" w:rsidTr="008177A2">
        <w:trPr>
          <w:trHeight w:val="368"/>
        </w:trPr>
        <w:tc>
          <w:tcPr>
            <w:tcW w:w="1255" w:type="dxa"/>
            <w:vAlign w:val="center"/>
            <w:hideMark/>
          </w:tcPr>
          <w:p w14:paraId="64A95008" w14:textId="77777777" w:rsidR="00982466" w:rsidRPr="00982466" w:rsidRDefault="00982466" w:rsidP="00982466">
            <w:pPr>
              <w:spacing w:after="160"/>
              <w:rPr>
                <w:rFonts w:ascii="Calibri" w:eastAsia="Calibri" w:hAnsi="Calibri" w:cs="Arial"/>
                <w:szCs w:val="22"/>
              </w:rPr>
            </w:pPr>
            <w:r w:rsidRPr="00982466">
              <w:rPr>
                <w:rFonts w:ascii="Calibri" w:eastAsia="Calibri" w:hAnsi="Calibri" w:cs="Arial"/>
                <w:i/>
                <w:iCs/>
                <w:szCs w:val="22"/>
              </w:rPr>
              <w:t>CD46i</w:t>
            </w:r>
            <w:r w:rsidRPr="00982466">
              <w:rPr>
                <w:rFonts w:ascii="Calibri" w:eastAsia="Calibri" w:hAnsi="Calibri" w:cs="Arial"/>
                <w:szCs w:val="22"/>
              </w:rPr>
              <w:t>*</w:t>
            </w:r>
          </w:p>
        </w:tc>
        <w:tc>
          <w:tcPr>
            <w:tcW w:w="2250" w:type="dxa"/>
            <w:vAlign w:val="center"/>
            <w:hideMark/>
          </w:tcPr>
          <w:p w14:paraId="4E703DB7"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NM_002389.4</w:t>
            </w:r>
          </w:p>
        </w:tc>
        <w:tc>
          <w:tcPr>
            <w:tcW w:w="2070" w:type="dxa"/>
            <w:vAlign w:val="center"/>
            <w:hideMark/>
          </w:tcPr>
          <w:p w14:paraId="42FC6428"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NP_002380.3</w:t>
            </w:r>
          </w:p>
        </w:tc>
        <w:tc>
          <w:tcPr>
            <w:tcW w:w="1350" w:type="dxa"/>
            <w:vAlign w:val="center"/>
            <w:hideMark/>
          </w:tcPr>
          <w:p w14:paraId="679B21BA"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392</w:t>
            </w:r>
          </w:p>
        </w:tc>
        <w:tc>
          <w:tcPr>
            <w:tcW w:w="1980" w:type="dxa"/>
            <w:vAlign w:val="center"/>
            <w:hideMark/>
          </w:tcPr>
          <w:p w14:paraId="4569DC8C"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ABC1</w:t>
            </w:r>
          </w:p>
        </w:tc>
      </w:tr>
      <w:tr w:rsidR="00982466" w:rsidRPr="00982466" w14:paraId="6E915CE0" w14:textId="77777777" w:rsidTr="008177A2">
        <w:trPr>
          <w:trHeight w:val="350"/>
        </w:trPr>
        <w:tc>
          <w:tcPr>
            <w:tcW w:w="1255" w:type="dxa"/>
            <w:vAlign w:val="center"/>
            <w:hideMark/>
          </w:tcPr>
          <w:p w14:paraId="48D7D4AA"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CD55</w:t>
            </w:r>
          </w:p>
        </w:tc>
        <w:tc>
          <w:tcPr>
            <w:tcW w:w="2250" w:type="dxa"/>
            <w:vAlign w:val="center"/>
            <w:hideMark/>
          </w:tcPr>
          <w:p w14:paraId="1B064ADD"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NM_000574.4</w:t>
            </w:r>
          </w:p>
        </w:tc>
        <w:tc>
          <w:tcPr>
            <w:tcW w:w="2070" w:type="dxa"/>
            <w:vAlign w:val="center"/>
            <w:hideMark/>
          </w:tcPr>
          <w:p w14:paraId="5B72B03D"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NP_000565.1</w:t>
            </w:r>
          </w:p>
        </w:tc>
        <w:tc>
          <w:tcPr>
            <w:tcW w:w="1350" w:type="dxa"/>
            <w:vAlign w:val="center"/>
            <w:hideMark/>
          </w:tcPr>
          <w:p w14:paraId="59DFF797"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381</w:t>
            </w:r>
          </w:p>
        </w:tc>
        <w:tc>
          <w:tcPr>
            <w:tcW w:w="1980" w:type="dxa"/>
            <w:vAlign w:val="center"/>
            <w:hideMark/>
          </w:tcPr>
          <w:p w14:paraId="002A371F" w14:textId="77777777" w:rsidR="00982466" w:rsidRPr="00982466" w:rsidRDefault="00982466" w:rsidP="00982466">
            <w:pPr>
              <w:spacing w:after="160"/>
              <w:jc w:val="center"/>
              <w:rPr>
                <w:rFonts w:ascii="Calibri" w:eastAsia="Calibri" w:hAnsi="Calibri" w:cs="Arial"/>
                <w:szCs w:val="22"/>
              </w:rPr>
            </w:pPr>
          </w:p>
        </w:tc>
      </w:tr>
      <w:tr w:rsidR="00982466" w:rsidRPr="00982466" w14:paraId="49C6BF44" w14:textId="77777777" w:rsidTr="008177A2">
        <w:trPr>
          <w:trHeight w:val="368"/>
        </w:trPr>
        <w:tc>
          <w:tcPr>
            <w:tcW w:w="1255" w:type="dxa"/>
            <w:vAlign w:val="center"/>
            <w:hideMark/>
          </w:tcPr>
          <w:p w14:paraId="59A4FB8E"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CD47</w:t>
            </w:r>
          </w:p>
        </w:tc>
        <w:tc>
          <w:tcPr>
            <w:tcW w:w="2250" w:type="dxa"/>
            <w:vAlign w:val="center"/>
            <w:hideMark/>
          </w:tcPr>
          <w:p w14:paraId="29535A51"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NM_001777.4</w:t>
            </w:r>
          </w:p>
        </w:tc>
        <w:tc>
          <w:tcPr>
            <w:tcW w:w="2070" w:type="dxa"/>
            <w:vAlign w:val="center"/>
            <w:hideMark/>
          </w:tcPr>
          <w:p w14:paraId="7DBCA632"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NP_001768.1</w:t>
            </w:r>
          </w:p>
        </w:tc>
        <w:tc>
          <w:tcPr>
            <w:tcW w:w="1350" w:type="dxa"/>
            <w:vAlign w:val="center"/>
            <w:hideMark/>
          </w:tcPr>
          <w:p w14:paraId="4940C506"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323</w:t>
            </w:r>
          </w:p>
        </w:tc>
        <w:tc>
          <w:tcPr>
            <w:tcW w:w="1980" w:type="dxa"/>
            <w:vAlign w:val="center"/>
            <w:hideMark/>
          </w:tcPr>
          <w:p w14:paraId="54D35091"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Form 1</w:t>
            </w:r>
          </w:p>
        </w:tc>
      </w:tr>
      <w:tr w:rsidR="00982466" w:rsidRPr="00982466" w14:paraId="12685048" w14:textId="77777777" w:rsidTr="008177A2">
        <w:trPr>
          <w:trHeight w:val="368"/>
        </w:trPr>
        <w:tc>
          <w:tcPr>
            <w:tcW w:w="1255" w:type="dxa"/>
            <w:vAlign w:val="center"/>
            <w:hideMark/>
          </w:tcPr>
          <w:p w14:paraId="68A45F74"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THBD</w:t>
            </w:r>
          </w:p>
        </w:tc>
        <w:tc>
          <w:tcPr>
            <w:tcW w:w="2250" w:type="dxa"/>
            <w:vAlign w:val="center"/>
            <w:hideMark/>
          </w:tcPr>
          <w:p w14:paraId="04EED77C"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NM_000361.2</w:t>
            </w:r>
          </w:p>
        </w:tc>
        <w:tc>
          <w:tcPr>
            <w:tcW w:w="2070" w:type="dxa"/>
            <w:vAlign w:val="center"/>
            <w:hideMark/>
          </w:tcPr>
          <w:p w14:paraId="59CD6A91"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NP_000352.1</w:t>
            </w:r>
          </w:p>
        </w:tc>
        <w:tc>
          <w:tcPr>
            <w:tcW w:w="1350" w:type="dxa"/>
            <w:vAlign w:val="center"/>
            <w:hideMark/>
          </w:tcPr>
          <w:p w14:paraId="387E1132"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575</w:t>
            </w:r>
          </w:p>
        </w:tc>
        <w:tc>
          <w:tcPr>
            <w:tcW w:w="1980" w:type="dxa"/>
            <w:vAlign w:val="center"/>
            <w:hideMark/>
          </w:tcPr>
          <w:p w14:paraId="576680CE" w14:textId="77777777" w:rsidR="00982466" w:rsidRPr="00982466" w:rsidRDefault="00982466" w:rsidP="00982466">
            <w:pPr>
              <w:spacing w:after="160"/>
              <w:jc w:val="center"/>
              <w:rPr>
                <w:rFonts w:ascii="Calibri" w:eastAsia="Calibri" w:hAnsi="Calibri" w:cs="Arial"/>
                <w:szCs w:val="22"/>
              </w:rPr>
            </w:pPr>
          </w:p>
        </w:tc>
      </w:tr>
      <w:tr w:rsidR="00982466" w:rsidRPr="00982466" w14:paraId="667C5189" w14:textId="77777777" w:rsidTr="008177A2">
        <w:trPr>
          <w:trHeight w:val="368"/>
        </w:trPr>
        <w:tc>
          <w:tcPr>
            <w:tcW w:w="1255" w:type="dxa"/>
            <w:vAlign w:val="center"/>
            <w:hideMark/>
          </w:tcPr>
          <w:p w14:paraId="46DC8DC8"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PROCR</w:t>
            </w:r>
          </w:p>
        </w:tc>
        <w:tc>
          <w:tcPr>
            <w:tcW w:w="2250" w:type="dxa"/>
            <w:vAlign w:val="center"/>
            <w:hideMark/>
          </w:tcPr>
          <w:p w14:paraId="16381145"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NM_006404.5</w:t>
            </w:r>
          </w:p>
        </w:tc>
        <w:tc>
          <w:tcPr>
            <w:tcW w:w="2070" w:type="dxa"/>
            <w:vAlign w:val="center"/>
            <w:hideMark/>
          </w:tcPr>
          <w:p w14:paraId="7FFB2ED9"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NP_006395</w:t>
            </w:r>
          </w:p>
        </w:tc>
        <w:tc>
          <w:tcPr>
            <w:tcW w:w="1350" w:type="dxa"/>
            <w:vAlign w:val="center"/>
            <w:hideMark/>
          </w:tcPr>
          <w:p w14:paraId="6241302B"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238</w:t>
            </w:r>
          </w:p>
        </w:tc>
        <w:tc>
          <w:tcPr>
            <w:tcW w:w="1980" w:type="dxa"/>
            <w:vAlign w:val="center"/>
            <w:hideMark/>
          </w:tcPr>
          <w:p w14:paraId="79E1CCD7" w14:textId="77777777" w:rsidR="00982466" w:rsidRPr="00982466" w:rsidRDefault="00982466" w:rsidP="00982466">
            <w:pPr>
              <w:spacing w:after="160"/>
              <w:jc w:val="center"/>
              <w:rPr>
                <w:rFonts w:ascii="Calibri" w:eastAsia="Calibri" w:hAnsi="Calibri" w:cs="Arial"/>
                <w:szCs w:val="22"/>
              </w:rPr>
            </w:pPr>
          </w:p>
        </w:tc>
      </w:tr>
      <w:tr w:rsidR="00982466" w:rsidRPr="00982466" w14:paraId="3A4F3422" w14:textId="77777777" w:rsidTr="008177A2">
        <w:trPr>
          <w:trHeight w:val="368"/>
        </w:trPr>
        <w:tc>
          <w:tcPr>
            <w:tcW w:w="1255" w:type="dxa"/>
            <w:vAlign w:val="center"/>
            <w:hideMark/>
          </w:tcPr>
          <w:p w14:paraId="4A50D14E"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TNFAIP3</w:t>
            </w:r>
          </w:p>
        </w:tc>
        <w:tc>
          <w:tcPr>
            <w:tcW w:w="2250" w:type="dxa"/>
            <w:vAlign w:val="center"/>
            <w:hideMark/>
          </w:tcPr>
          <w:p w14:paraId="197A83B1"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NM_001270508.1</w:t>
            </w:r>
          </w:p>
        </w:tc>
        <w:tc>
          <w:tcPr>
            <w:tcW w:w="2070" w:type="dxa"/>
            <w:vAlign w:val="center"/>
            <w:hideMark/>
          </w:tcPr>
          <w:p w14:paraId="0C1AD56D"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NP_001257437.1</w:t>
            </w:r>
          </w:p>
        </w:tc>
        <w:tc>
          <w:tcPr>
            <w:tcW w:w="1350" w:type="dxa"/>
            <w:vAlign w:val="center"/>
            <w:hideMark/>
          </w:tcPr>
          <w:p w14:paraId="7C7A6BF1"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790</w:t>
            </w:r>
          </w:p>
        </w:tc>
        <w:tc>
          <w:tcPr>
            <w:tcW w:w="1980" w:type="dxa"/>
            <w:vAlign w:val="center"/>
            <w:hideMark/>
          </w:tcPr>
          <w:p w14:paraId="7F8C0956" w14:textId="77777777" w:rsidR="00982466" w:rsidRPr="00982466" w:rsidRDefault="00982466" w:rsidP="00982466">
            <w:pPr>
              <w:spacing w:after="160"/>
              <w:jc w:val="center"/>
              <w:rPr>
                <w:rFonts w:ascii="Calibri" w:eastAsia="Calibri" w:hAnsi="Calibri" w:cs="Arial"/>
                <w:szCs w:val="22"/>
              </w:rPr>
            </w:pPr>
          </w:p>
        </w:tc>
      </w:tr>
      <w:tr w:rsidR="00982466" w:rsidRPr="00982466" w14:paraId="52AFF661" w14:textId="77777777" w:rsidTr="008177A2">
        <w:trPr>
          <w:trHeight w:val="368"/>
        </w:trPr>
        <w:tc>
          <w:tcPr>
            <w:tcW w:w="1255" w:type="dxa"/>
            <w:vAlign w:val="center"/>
            <w:hideMark/>
          </w:tcPr>
          <w:p w14:paraId="0B8FDAFD" w14:textId="77777777" w:rsidR="00982466" w:rsidRPr="00982466" w:rsidRDefault="00982466" w:rsidP="00982466">
            <w:pPr>
              <w:spacing w:after="160"/>
              <w:rPr>
                <w:rFonts w:ascii="Calibri" w:eastAsia="Calibri" w:hAnsi="Calibri" w:cs="Arial"/>
                <w:i/>
                <w:iCs/>
                <w:szCs w:val="22"/>
              </w:rPr>
            </w:pPr>
            <w:r w:rsidRPr="00982466">
              <w:rPr>
                <w:rFonts w:ascii="Calibri" w:eastAsia="Calibri" w:hAnsi="Calibri" w:cs="Arial"/>
                <w:i/>
                <w:iCs/>
                <w:szCs w:val="22"/>
              </w:rPr>
              <w:t>HMOX1</w:t>
            </w:r>
          </w:p>
        </w:tc>
        <w:tc>
          <w:tcPr>
            <w:tcW w:w="2250" w:type="dxa"/>
            <w:vAlign w:val="center"/>
            <w:hideMark/>
          </w:tcPr>
          <w:p w14:paraId="28D0DF33"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NM_002133.2</w:t>
            </w:r>
          </w:p>
        </w:tc>
        <w:tc>
          <w:tcPr>
            <w:tcW w:w="2070" w:type="dxa"/>
            <w:vAlign w:val="center"/>
            <w:hideMark/>
          </w:tcPr>
          <w:p w14:paraId="700F5F59"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NP_002124.1</w:t>
            </w:r>
          </w:p>
        </w:tc>
        <w:tc>
          <w:tcPr>
            <w:tcW w:w="1350" w:type="dxa"/>
            <w:vAlign w:val="center"/>
            <w:hideMark/>
          </w:tcPr>
          <w:p w14:paraId="18C9BF89" w14:textId="77777777" w:rsidR="00982466" w:rsidRPr="00982466" w:rsidRDefault="00982466" w:rsidP="00982466">
            <w:pPr>
              <w:spacing w:after="160"/>
              <w:jc w:val="center"/>
              <w:rPr>
                <w:rFonts w:ascii="Calibri" w:eastAsia="Calibri" w:hAnsi="Calibri" w:cs="Arial"/>
                <w:szCs w:val="22"/>
              </w:rPr>
            </w:pPr>
            <w:r w:rsidRPr="00982466">
              <w:rPr>
                <w:rFonts w:ascii="Calibri" w:eastAsia="Calibri" w:hAnsi="Calibri" w:cs="Arial"/>
                <w:szCs w:val="22"/>
              </w:rPr>
              <w:t>288</w:t>
            </w:r>
          </w:p>
        </w:tc>
        <w:tc>
          <w:tcPr>
            <w:tcW w:w="1980" w:type="dxa"/>
            <w:vAlign w:val="center"/>
            <w:hideMark/>
          </w:tcPr>
          <w:p w14:paraId="0EC5BB52" w14:textId="77777777" w:rsidR="00982466" w:rsidRPr="00982466" w:rsidRDefault="00982466" w:rsidP="00982466">
            <w:pPr>
              <w:spacing w:after="160"/>
              <w:jc w:val="center"/>
              <w:rPr>
                <w:rFonts w:ascii="Calibri" w:eastAsia="Calibri" w:hAnsi="Calibri" w:cs="Arial"/>
                <w:szCs w:val="22"/>
              </w:rPr>
            </w:pPr>
          </w:p>
        </w:tc>
      </w:tr>
    </w:tbl>
    <w:p w14:paraId="438BCCEB" w14:textId="77777777" w:rsidR="00982466" w:rsidRPr="00982466" w:rsidRDefault="00982466" w:rsidP="00982466">
      <w:pPr>
        <w:keepNext/>
        <w:spacing w:before="240" w:after="60"/>
        <w:ind w:left="720"/>
        <w:outlineLvl w:val="0"/>
        <w:rPr>
          <w:kern w:val="32"/>
          <w:szCs w:val="24"/>
        </w:rPr>
      </w:pPr>
      <w:r w:rsidRPr="00982466">
        <w:rPr>
          <w:kern w:val="32"/>
          <w:szCs w:val="24"/>
        </w:rPr>
        <w:t xml:space="preserve">*This CD46 sequence carried 19 SNPs, incorporated to eliminate aberrant splicing observed in porcine cells and to balance the AT/GC content. </w:t>
      </w:r>
    </w:p>
    <w:p w14:paraId="65411981" w14:textId="77777777" w:rsidR="00982466" w:rsidRPr="00982466" w:rsidRDefault="00982466" w:rsidP="00982466">
      <w:pPr>
        <w:rPr>
          <w:b/>
          <w:bCs/>
          <w:kern w:val="32"/>
          <w:szCs w:val="24"/>
        </w:rPr>
      </w:pPr>
      <w:r w:rsidRPr="00982466">
        <w:br w:type="page"/>
      </w:r>
    </w:p>
    <w:p w14:paraId="0D7C444E" w14:textId="77777777" w:rsidR="00982466" w:rsidRPr="00982466" w:rsidRDefault="00982466" w:rsidP="00982466">
      <w:pPr>
        <w:keepNext/>
        <w:spacing w:before="240" w:after="60"/>
        <w:outlineLvl w:val="0"/>
        <w:rPr>
          <w:b/>
          <w:bCs/>
          <w:kern w:val="32"/>
          <w:szCs w:val="24"/>
        </w:rPr>
        <w:sectPr w:rsidR="00982466" w:rsidRPr="00982466" w:rsidSect="0063155E">
          <w:pgSz w:w="12240" w:h="15840"/>
          <w:pgMar w:top="1440" w:right="1440" w:bottom="1440" w:left="1440" w:header="720" w:footer="720" w:gutter="0"/>
          <w:cols w:space="720"/>
          <w:docGrid w:linePitch="360"/>
        </w:sectPr>
      </w:pPr>
    </w:p>
    <w:p w14:paraId="73552106" w14:textId="77777777" w:rsidR="00982466" w:rsidRPr="00982466" w:rsidRDefault="00982466" w:rsidP="00982466">
      <w:pPr>
        <w:keepNext/>
        <w:spacing w:before="240" w:after="60"/>
        <w:outlineLvl w:val="0"/>
        <w:rPr>
          <w:b/>
          <w:bCs/>
          <w:kern w:val="32"/>
          <w:sz w:val="22"/>
          <w:szCs w:val="22"/>
        </w:rPr>
      </w:pPr>
      <w:r w:rsidRPr="00982466">
        <w:rPr>
          <w:b/>
          <w:bCs/>
          <w:kern w:val="32"/>
          <w:sz w:val="22"/>
          <w:szCs w:val="22"/>
        </w:rPr>
        <w:lastRenderedPageBreak/>
        <w:t>Supplementary Table 4.</w:t>
      </w:r>
    </w:p>
    <w:p w14:paraId="23E0E854" w14:textId="77777777" w:rsidR="00982466" w:rsidRPr="00982466" w:rsidRDefault="00982466" w:rsidP="00982466">
      <w:pPr>
        <w:rPr>
          <w:sz w:val="22"/>
          <w:szCs w:val="22"/>
        </w:rPr>
      </w:pPr>
      <w:r w:rsidRPr="00982466">
        <w:rPr>
          <w:sz w:val="22"/>
          <w:szCs w:val="22"/>
        </w:rPr>
        <w:t>PCR primers were used in a polymerase chain reaction to genotype gene edited cells</w:t>
      </w:r>
    </w:p>
    <w:tbl>
      <w:tblPr>
        <w:tblStyle w:val="TableGrid12"/>
        <w:tblW w:w="12950" w:type="dxa"/>
        <w:tblLayout w:type="fixed"/>
        <w:tblLook w:val="04A0" w:firstRow="1" w:lastRow="0" w:firstColumn="1" w:lastColumn="0" w:noHBand="0" w:noVBand="1"/>
      </w:tblPr>
      <w:tblGrid>
        <w:gridCol w:w="1530"/>
        <w:gridCol w:w="2620"/>
        <w:gridCol w:w="3770"/>
        <w:gridCol w:w="3925"/>
        <w:gridCol w:w="1105"/>
      </w:tblGrid>
      <w:tr w:rsidR="00982466" w:rsidRPr="00982466" w14:paraId="2332A9FE" w14:textId="77777777" w:rsidTr="008177A2">
        <w:tc>
          <w:tcPr>
            <w:tcW w:w="1530" w:type="dxa"/>
            <w:tcBorders>
              <w:top w:val="nil"/>
              <w:left w:val="nil"/>
              <w:bottom w:val="single" w:sz="4" w:space="0" w:color="auto"/>
              <w:right w:val="single" w:sz="4" w:space="0" w:color="auto"/>
            </w:tcBorders>
          </w:tcPr>
          <w:p w14:paraId="063DAFD1" w14:textId="77777777" w:rsidR="00982466" w:rsidRPr="00982466" w:rsidRDefault="00982466" w:rsidP="00982466">
            <w:pPr>
              <w:rPr>
                <w:rFonts w:ascii="Calibri" w:eastAsia="Calibri" w:hAnsi="Calibri" w:cs="Arial"/>
              </w:rPr>
            </w:pPr>
          </w:p>
        </w:tc>
        <w:tc>
          <w:tcPr>
            <w:tcW w:w="2620" w:type="dxa"/>
            <w:tcBorders>
              <w:left w:val="single" w:sz="4" w:space="0" w:color="auto"/>
            </w:tcBorders>
            <w:vAlign w:val="center"/>
          </w:tcPr>
          <w:p w14:paraId="078E9B7A" w14:textId="77777777" w:rsidR="00982466" w:rsidRPr="00982466" w:rsidRDefault="00982466" w:rsidP="00982466">
            <w:pPr>
              <w:jc w:val="center"/>
              <w:rPr>
                <w:rFonts w:ascii="Calibri" w:eastAsia="Calibri" w:hAnsi="Calibri" w:cs="Arial"/>
                <w:b/>
              </w:rPr>
            </w:pPr>
            <w:r w:rsidRPr="00982466">
              <w:rPr>
                <w:rFonts w:ascii="Calibri" w:eastAsia="Calibri" w:hAnsi="Calibri" w:cs="Arial"/>
                <w:b/>
                <w:color w:val="000000"/>
                <w:kern w:val="24"/>
              </w:rPr>
              <w:t>Primers</w:t>
            </w:r>
          </w:p>
        </w:tc>
        <w:tc>
          <w:tcPr>
            <w:tcW w:w="3770" w:type="dxa"/>
            <w:vAlign w:val="center"/>
          </w:tcPr>
          <w:p w14:paraId="04EF53CB" w14:textId="77777777" w:rsidR="00982466" w:rsidRPr="00982466" w:rsidRDefault="00982466" w:rsidP="00982466">
            <w:pPr>
              <w:jc w:val="center"/>
              <w:rPr>
                <w:rFonts w:ascii="Calibri" w:eastAsia="Calibri" w:hAnsi="Calibri" w:cs="Arial"/>
                <w:b/>
              </w:rPr>
            </w:pPr>
            <w:r w:rsidRPr="00982466">
              <w:rPr>
                <w:rFonts w:ascii="Calibri" w:eastAsia="Calibri" w:hAnsi="Calibri" w:cs="Arial"/>
                <w:b/>
                <w:color w:val="000000"/>
                <w:kern w:val="24"/>
              </w:rPr>
              <w:t>Forward (-FAM)</w:t>
            </w:r>
          </w:p>
        </w:tc>
        <w:tc>
          <w:tcPr>
            <w:tcW w:w="3925" w:type="dxa"/>
            <w:vAlign w:val="center"/>
          </w:tcPr>
          <w:p w14:paraId="6C6E3642" w14:textId="77777777" w:rsidR="00982466" w:rsidRPr="00982466" w:rsidRDefault="00982466" w:rsidP="00982466">
            <w:pPr>
              <w:jc w:val="center"/>
              <w:rPr>
                <w:rFonts w:ascii="Calibri" w:eastAsia="Calibri" w:hAnsi="Calibri" w:cs="Arial"/>
                <w:b/>
              </w:rPr>
            </w:pPr>
            <w:r w:rsidRPr="00982466">
              <w:rPr>
                <w:rFonts w:ascii="Calibri" w:eastAsia="Calibri" w:hAnsi="Calibri" w:cs="Arial"/>
                <w:b/>
                <w:color w:val="000000"/>
                <w:kern w:val="24"/>
              </w:rPr>
              <w:t>Reverse</w:t>
            </w:r>
          </w:p>
        </w:tc>
        <w:tc>
          <w:tcPr>
            <w:tcW w:w="1105" w:type="dxa"/>
            <w:vAlign w:val="bottom"/>
          </w:tcPr>
          <w:p w14:paraId="5B2485ED" w14:textId="77777777" w:rsidR="00982466" w:rsidRPr="00982466" w:rsidRDefault="00982466" w:rsidP="00982466">
            <w:pPr>
              <w:jc w:val="center"/>
              <w:rPr>
                <w:rFonts w:ascii="Calibri" w:eastAsia="Calibri" w:hAnsi="Calibri" w:cs="Arial"/>
                <w:b/>
              </w:rPr>
            </w:pPr>
            <w:r w:rsidRPr="00982466">
              <w:rPr>
                <w:rFonts w:ascii="Calibri" w:eastAsia="Calibri" w:hAnsi="Calibri" w:cs="Arial"/>
                <w:b/>
                <w:color w:val="000000"/>
                <w:kern w:val="24"/>
              </w:rPr>
              <w:t>Amplicon Length (bps)</w:t>
            </w:r>
          </w:p>
        </w:tc>
      </w:tr>
      <w:tr w:rsidR="00982466" w:rsidRPr="00982466" w14:paraId="313F937D" w14:textId="77777777" w:rsidTr="008177A2">
        <w:tc>
          <w:tcPr>
            <w:tcW w:w="1530" w:type="dxa"/>
            <w:vMerge w:val="restart"/>
            <w:tcBorders>
              <w:top w:val="single" w:sz="4" w:space="0" w:color="auto"/>
            </w:tcBorders>
            <w:vAlign w:val="center"/>
          </w:tcPr>
          <w:p w14:paraId="69B04765" w14:textId="77777777" w:rsidR="00982466" w:rsidRPr="00982466" w:rsidRDefault="00982466" w:rsidP="00982466">
            <w:pPr>
              <w:jc w:val="center"/>
              <w:rPr>
                <w:rFonts w:ascii="Calibri" w:eastAsia="Calibri" w:hAnsi="Calibri" w:cs="Arial"/>
                <w:b/>
              </w:rPr>
            </w:pPr>
            <w:r w:rsidRPr="00982466">
              <w:rPr>
                <w:rFonts w:ascii="Calibri" w:eastAsia="Calibri" w:hAnsi="Calibri" w:cs="Arial"/>
                <w:b/>
              </w:rPr>
              <w:t>IDAA</w:t>
            </w:r>
          </w:p>
        </w:tc>
        <w:tc>
          <w:tcPr>
            <w:tcW w:w="2620" w:type="dxa"/>
            <w:vAlign w:val="bottom"/>
          </w:tcPr>
          <w:p w14:paraId="2AAFCA87" w14:textId="77777777" w:rsidR="00982466" w:rsidRPr="00982466" w:rsidRDefault="00982466" w:rsidP="00982466">
            <w:pPr>
              <w:jc w:val="center"/>
              <w:rPr>
                <w:rFonts w:ascii="Calibri" w:eastAsia="Calibri" w:hAnsi="Calibri" w:cs="Arial"/>
              </w:rPr>
            </w:pPr>
            <w:r w:rsidRPr="00982466">
              <w:rPr>
                <w:rFonts w:ascii="Calibri" w:eastAsia="Calibri" w:hAnsi="Calibri" w:cs="Arial"/>
                <w:i/>
                <w:color w:val="000000"/>
                <w:kern w:val="24"/>
              </w:rPr>
              <w:t>B4GALNT2</w:t>
            </w:r>
            <w:r w:rsidRPr="00982466">
              <w:rPr>
                <w:rFonts w:ascii="Calibri" w:eastAsia="Calibri" w:hAnsi="Calibri" w:cs="Arial"/>
                <w:color w:val="000000"/>
                <w:kern w:val="24"/>
              </w:rPr>
              <w:t>_FA</w:t>
            </w:r>
          </w:p>
        </w:tc>
        <w:tc>
          <w:tcPr>
            <w:tcW w:w="3770" w:type="dxa"/>
            <w:vAlign w:val="bottom"/>
          </w:tcPr>
          <w:p w14:paraId="34F978E8"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ACCTTGTCTTATTTTAGGCTGT</w:t>
            </w:r>
          </w:p>
        </w:tc>
        <w:tc>
          <w:tcPr>
            <w:tcW w:w="3925" w:type="dxa"/>
            <w:vAlign w:val="bottom"/>
          </w:tcPr>
          <w:p w14:paraId="61A02A48"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CACCCTCGGGAATGAGTA</w:t>
            </w:r>
          </w:p>
        </w:tc>
        <w:tc>
          <w:tcPr>
            <w:tcW w:w="1105" w:type="dxa"/>
            <w:vAlign w:val="bottom"/>
          </w:tcPr>
          <w:p w14:paraId="5882E95E"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224</w:t>
            </w:r>
          </w:p>
        </w:tc>
      </w:tr>
      <w:tr w:rsidR="00982466" w:rsidRPr="00982466" w14:paraId="7B7ADBF4" w14:textId="77777777" w:rsidTr="008177A2">
        <w:tc>
          <w:tcPr>
            <w:tcW w:w="1530" w:type="dxa"/>
            <w:vMerge/>
          </w:tcPr>
          <w:p w14:paraId="6F0A022A" w14:textId="77777777" w:rsidR="00982466" w:rsidRPr="00982466" w:rsidRDefault="00982466" w:rsidP="00982466">
            <w:pPr>
              <w:jc w:val="center"/>
              <w:rPr>
                <w:rFonts w:ascii="Calibri" w:eastAsia="Calibri" w:hAnsi="Calibri" w:cs="Arial"/>
                <w:b/>
              </w:rPr>
            </w:pPr>
          </w:p>
        </w:tc>
        <w:tc>
          <w:tcPr>
            <w:tcW w:w="2620" w:type="dxa"/>
            <w:vAlign w:val="bottom"/>
          </w:tcPr>
          <w:p w14:paraId="6E020AB4"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CMAH</w:t>
            </w:r>
            <w:r w:rsidRPr="00982466">
              <w:rPr>
                <w:rFonts w:ascii="Calibri" w:eastAsia="Calibri" w:hAnsi="Calibri" w:cs="Arial"/>
                <w:color w:val="000000"/>
                <w:kern w:val="24"/>
              </w:rPr>
              <w:t>_FA</w:t>
            </w:r>
          </w:p>
        </w:tc>
        <w:tc>
          <w:tcPr>
            <w:tcW w:w="3770" w:type="dxa"/>
            <w:vAlign w:val="bottom"/>
          </w:tcPr>
          <w:p w14:paraId="5F61888F"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AGGGAGGGCTTTCAAAC</w:t>
            </w:r>
          </w:p>
        </w:tc>
        <w:tc>
          <w:tcPr>
            <w:tcW w:w="3925" w:type="dxa"/>
            <w:vAlign w:val="bottom"/>
          </w:tcPr>
          <w:p w14:paraId="3BC0C8D1"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TCAGGCGGCTCTTATTCT</w:t>
            </w:r>
          </w:p>
        </w:tc>
        <w:tc>
          <w:tcPr>
            <w:tcW w:w="1105" w:type="dxa"/>
            <w:vAlign w:val="bottom"/>
          </w:tcPr>
          <w:p w14:paraId="6DE4BEDB"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249</w:t>
            </w:r>
          </w:p>
        </w:tc>
      </w:tr>
      <w:tr w:rsidR="00982466" w:rsidRPr="00982466" w14:paraId="4200AD37" w14:textId="77777777" w:rsidTr="008177A2">
        <w:tc>
          <w:tcPr>
            <w:tcW w:w="1530" w:type="dxa"/>
            <w:vMerge/>
          </w:tcPr>
          <w:p w14:paraId="33551E58" w14:textId="77777777" w:rsidR="00982466" w:rsidRPr="00982466" w:rsidRDefault="00982466" w:rsidP="00982466">
            <w:pPr>
              <w:jc w:val="center"/>
              <w:rPr>
                <w:rFonts w:ascii="Calibri" w:eastAsia="Calibri" w:hAnsi="Calibri" w:cs="Arial"/>
                <w:b/>
              </w:rPr>
            </w:pPr>
          </w:p>
        </w:tc>
        <w:tc>
          <w:tcPr>
            <w:tcW w:w="2620" w:type="dxa"/>
            <w:vAlign w:val="bottom"/>
          </w:tcPr>
          <w:p w14:paraId="6379F5CD"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GGTA1</w:t>
            </w:r>
            <w:r w:rsidRPr="00982466">
              <w:rPr>
                <w:rFonts w:ascii="Calibri" w:eastAsia="Calibri" w:hAnsi="Calibri" w:cs="Arial"/>
                <w:color w:val="000000"/>
                <w:kern w:val="24"/>
              </w:rPr>
              <w:t>_FA</w:t>
            </w:r>
          </w:p>
        </w:tc>
        <w:tc>
          <w:tcPr>
            <w:tcW w:w="3770" w:type="dxa"/>
            <w:vAlign w:val="bottom"/>
          </w:tcPr>
          <w:p w14:paraId="58D79F86"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CGCTCGTTGACTATTCATC</w:t>
            </w:r>
          </w:p>
        </w:tc>
        <w:tc>
          <w:tcPr>
            <w:tcW w:w="3925" w:type="dxa"/>
            <w:vAlign w:val="bottom"/>
          </w:tcPr>
          <w:p w14:paraId="630FC0A7"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ACTAGGAGATTAGAGGAGAC</w:t>
            </w:r>
          </w:p>
        </w:tc>
        <w:tc>
          <w:tcPr>
            <w:tcW w:w="1105" w:type="dxa"/>
            <w:vAlign w:val="bottom"/>
          </w:tcPr>
          <w:p w14:paraId="6E5EB2DD"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269</w:t>
            </w:r>
          </w:p>
        </w:tc>
      </w:tr>
      <w:tr w:rsidR="00982466" w:rsidRPr="00982466" w14:paraId="3AE8A107" w14:textId="77777777" w:rsidTr="008177A2">
        <w:tc>
          <w:tcPr>
            <w:tcW w:w="1530" w:type="dxa"/>
            <w:vMerge/>
          </w:tcPr>
          <w:p w14:paraId="2F01E43C" w14:textId="77777777" w:rsidR="00982466" w:rsidRPr="00982466" w:rsidRDefault="00982466" w:rsidP="00982466">
            <w:pPr>
              <w:jc w:val="center"/>
              <w:rPr>
                <w:rFonts w:ascii="Calibri" w:eastAsia="Calibri" w:hAnsi="Calibri" w:cs="Arial"/>
                <w:b/>
              </w:rPr>
            </w:pPr>
          </w:p>
        </w:tc>
        <w:tc>
          <w:tcPr>
            <w:tcW w:w="2620" w:type="dxa"/>
            <w:vAlign w:val="bottom"/>
          </w:tcPr>
          <w:p w14:paraId="769D8FAF"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PERV FA</w:t>
            </w:r>
          </w:p>
        </w:tc>
        <w:tc>
          <w:tcPr>
            <w:tcW w:w="3770" w:type="dxa"/>
            <w:vAlign w:val="bottom"/>
          </w:tcPr>
          <w:p w14:paraId="159E2E21"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CGACTGCCCCAAGGGTTCAA</w:t>
            </w:r>
          </w:p>
        </w:tc>
        <w:tc>
          <w:tcPr>
            <w:tcW w:w="3925" w:type="dxa"/>
            <w:vAlign w:val="bottom"/>
          </w:tcPr>
          <w:p w14:paraId="705C5DB6"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TCTCTCCTGCAAATCTGGGCC</w:t>
            </w:r>
          </w:p>
        </w:tc>
        <w:tc>
          <w:tcPr>
            <w:tcW w:w="1105" w:type="dxa"/>
            <w:vAlign w:val="bottom"/>
          </w:tcPr>
          <w:p w14:paraId="2283F206"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236</w:t>
            </w:r>
          </w:p>
        </w:tc>
      </w:tr>
      <w:tr w:rsidR="00982466" w:rsidRPr="00982466" w14:paraId="1BAA5BCA" w14:textId="77777777" w:rsidTr="008177A2">
        <w:tc>
          <w:tcPr>
            <w:tcW w:w="1530" w:type="dxa"/>
            <w:vMerge w:val="restart"/>
          </w:tcPr>
          <w:p w14:paraId="09766303" w14:textId="77777777" w:rsidR="00982466" w:rsidRPr="00982466" w:rsidRDefault="00982466" w:rsidP="00982466">
            <w:pPr>
              <w:jc w:val="center"/>
              <w:rPr>
                <w:rFonts w:ascii="Calibri" w:eastAsia="Calibri" w:hAnsi="Calibri" w:cs="Arial"/>
                <w:b/>
              </w:rPr>
            </w:pPr>
            <w:r w:rsidRPr="00982466">
              <w:rPr>
                <w:rFonts w:ascii="Calibri" w:eastAsia="Calibri" w:hAnsi="Calibri" w:cs="Arial"/>
                <w:b/>
              </w:rPr>
              <w:t>Conventional</w:t>
            </w:r>
          </w:p>
          <w:p w14:paraId="1DC118EC" w14:textId="77777777" w:rsidR="00982466" w:rsidRPr="00982466" w:rsidRDefault="00982466" w:rsidP="00982466">
            <w:pPr>
              <w:jc w:val="center"/>
              <w:rPr>
                <w:rFonts w:ascii="Calibri" w:eastAsia="Calibri" w:hAnsi="Calibri" w:cs="Arial"/>
                <w:b/>
              </w:rPr>
            </w:pPr>
            <w:r w:rsidRPr="00982466">
              <w:rPr>
                <w:rFonts w:ascii="Calibri" w:eastAsia="Calibri" w:hAnsi="Calibri" w:cs="Arial"/>
                <w:b/>
              </w:rPr>
              <w:t>PCR</w:t>
            </w:r>
          </w:p>
        </w:tc>
        <w:tc>
          <w:tcPr>
            <w:tcW w:w="2620" w:type="dxa"/>
            <w:vAlign w:val="bottom"/>
          </w:tcPr>
          <w:p w14:paraId="13E5DD5E"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AAVS1</w:t>
            </w:r>
            <w:r w:rsidRPr="00982466">
              <w:rPr>
                <w:rFonts w:ascii="Calibri" w:eastAsia="Calibri" w:hAnsi="Calibri" w:cs="Arial"/>
                <w:color w:val="000000"/>
                <w:kern w:val="24"/>
              </w:rPr>
              <w:t>_LP KI_5' Junction</w:t>
            </w:r>
          </w:p>
        </w:tc>
        <w:tc>
          <w:tcPr>
            <w:tcW w:w="3770" w:type="dxa"/>
            <w:vAlign w:val="bottom"/>
          </w:tcPr>
          <w:p w14:paraId="746A2B7F"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 CCTGTAGACTCCACTTCC</w:t>
            </w:r>
          </w:p>
        </w:tc>
        <w:tc>
          <w:tcPr>
            <w:tcW w:w="3925" w:type="dxa"/>
            <w:vAlign w:val="bottom"/>
          </w:tcPr>
          <w:p w14:paraId="2813AADD" w14:textId="77777777" w:rsidR="00982466" w:rsidRPr="00982466" w:rsidRDefault="00982466" w:rsidP="00982466">
            <w:pPr>
              <w:rPr>
                <w:rFonts w:ascii="Calibri" w:eastAsia="Calibri" w:hAnsi="Calibri" w:cs="Arial"/>
              </w:rPr>
            </w:pPr>
            <w:r w:rsidRPr="00982466">
              <w:rPr>
                <w:rFonts w:ascii="Calibri" w:eastAsia="Calibri" w:hAnsi="Calibri" w:cs="Arial"/>
              </w:rPr>
              <w:t>GATAACTTCGTATAATGTATGC</w:t>
            </w:r>
          </w:p>
        </w:tc>
        <w:tc>
          <w:tcPr>
            <w:tcW w:w="1105" w:type="dxa"/>
            <w:vAlign w:val="bottom"/>
          </w:tcPr>
          <w:p w14:paraId="158EA05A" w14:textId="77777777" w:rsidR="00982466" w:rsidRPr="00982466" w:rsidRDefault="00982466" w:rsidP="00982466">
            <w:pPr>
              <w:jc w:val="center"/>
              <w:rPr>
                <w:rFonts w:ascii="Calibri" w:eastAsia="Calibri" w:hAnsi="Calibri" w:cs="Arial"/>
              </w:rPr>
            </w:pPr>
            <w:r w:rsidRPr="00982466">
              <w:rPr>
                <w:rFonts w:ascii="Calibri" w:eastAsia="Calibri" w:hAnsi="Calibri" w:cs="Arial"/>
              </w:rPr>
              <w:t>1602</w:t>
            </w:r>
          </w:p>
        </w:tc>
      </w:tr>
      <w:tr w:rsidR="00982466" w:rsidRPr="00982466" w14:paraId="7D04F48E" w14:textId="77777777" w:rsidTr="008177A2">
        <w:trPr>
          <w:trHeight w:val="300"/>
        </w:trPr>
        <w:tc>
          <w:tcPr>
            <w:tcW w:w="1530" w:type="dxa"/>
            <w:vMerge/>
          </w:tcPr>
          <w:p w14:paraId="7190059C" w14:textId="77777777" w:rsidR="00982466" w:rsidRPr="00982466" w:rsidRDefault="00982466" w:rsidP="00982466">
            <w:pPr>
              <w:jc w:val="center"/>
              <w:rPr>
                <w:rFonts w:ascii="Calibri" w:eastAsia="Calibri" w:hAnsi="Calibri" w:cs="Arial"/>
                <w:b/>
              </w:rPr>
            </w:pPr>
          </w:p>
        </w:tc>
        <w:tc>
          <w:tcPr>
            <w:tcW w:w="2620" w:type="dxa"/>
            <w:vAlign w:val="bottom"/>
          </w:tcPr>
          <w:p w14:paraId="3D341879"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AAVS1</w:t>
            </w:r>
            <w:r w:rsidRPr="00982466">
              <w:rPr>
                <w:rFonts w:ascii="Calibri" w:eastAsia="Calibri" w:hAnsi="Calibri" w:cs="Arial"/>
                <w:color w:val="000000"/>
                <w:kern w:val="24"/>
              </w:rPr>
              <w:t>_LP KI_3' Junction</w:t>
            </w:r>
          </w:p>
        </w:tc>
        <w:tc>
          <w:tcPr>
            <w:tcW w:w="3770" w:type="dxa"/>
            <w:vAlign w:val="bottom"/>
          </w:tcPr>
          <w:p w14:paraId="129BBBE4" w14:textId="77777777" w:rsidR="00982466" w:rsidRPr="00982466" w:rsidRDefault="00982466" w:rsidP="00982466">
            <w:pPr>
              <w:rPr>
                <w:rFonts w:ascii="Calibri" w:eastAsia="Calibri" w:hAnsi="Calibri" w:cs="Arial"/>
              </w:rPr>
            </w:pPr>
            <w:r w:rsidRPr="00982466">
              <w:rPr>
                <w:rFonts w:ascii="Calibri" w:eastAsia="Calibri" w:hAnsi="Calibri" w:cs="Arial"/>
              </w:rPr>
              <w:t>GTAGTATATTCCAGAGTGAAGG</w:t>
            </w:r>
          </w:p>
        </w:tc>
        <w:tc>
          <w:tcPr>
            <w:tcW w:w="3925" w:type="dxa"/>
            <w:vAlign w:val="bottom"/>
          </w:tcPr>
          <w:p w14:paraId="7B83DCD0" w14:textId="77777777" w:rsidR="00982466" w:rsidRPr="00982466" w:rsidRDefault="00982466" w:rsidP="00982466">
            <w:pPr>
              <w:rPr>
                <w:rFonts w:ascii="Calibri" w:eastAsia="Calibri" w:hAnsi="Calibri" w:cs="Arial"/>
              </w:rPr>
            </w:pPr>
            <w:r w:rsidRPr="00982466">
              <w:rPr>
                <w:rFonts w:ascii="Calibri" w:eastAsia="Calibri" w:hAnsi="Calibri" w:cs="Arial"/>
              </w:rPr>
              <w:t>CCCAACTGAATGCCTATG</w:t>
            </w:r>
          </w:p>
        </w:tc>
        <w:tc>
          <w:tcPr>
            <w:tcW w:w="1105" w:type="dxa"/>
            <w:vAlign w:val="bottom"/>
          </w:tcPr>
          <w:p w14:paraId="0CBB003E" w14:textId="77777777" w:rsidR="00982466" w:rsidRPr="00982466" w:rsidRDefault="00982466" w:rsidP="00982466">
            <w:pPr>
              <w:jc w:val="center"/>
              <w:rPr>
                <w:rFonts w:ascii="Calibri" w:eastAsia="Calibri" w:hAnsi="Calibri" w:cs="Arial"/>
              </w:rPr>
            </w:pPr>
            <w:r w:rsidRPr="00982466">
              <w:rPr>
                <w:rFonts w:ascii="Calibri" w:eastAsia="Calibri" w:hAnsi="Calibri" w:cs="Arial"/>
              </w:rPr>
              <w:t>1347</w:t>
            </w:r>
          </w:p>
        </w:tc>
      </w:tr>
      <w:tr w:rsidR="00982466" w:rsidRPr="00982466" w14:paraId="517942C9" w14:textId="77777777" w:rsidTr="008177A2">
        <w:tc>
          <w:tcPr>
            <w:tcW w:w="1530" w:type="dxa"/>
            <w:vMerge w:val="restart"/>
            <w:vAlign w:val="center"/>
          </w:tcPr>
          <w:p w14:paraId="4226E7F8" w14:textId="77777777" w:rsidR="00982466" w:rsidRPr="00982466" w:rsidRDefault="00982466" w:rsidP="00982466">
            <w:pPr>
              <w:jc w:val="center"/>
              <w:rPr>
                <w:rFonts w:ascii="Calibri" w:eastAsia="Calibri" w:hAnsi="Calibri" w:cs="Arial"/>
                <w:b/>
              </w:rPr>
            </w:pPr>
            <w:r w:rsidRPr="00982466">
              <w:rPr>
                <w:rFonts w:ascii="Calibri" w:eastAsia="Calibri" w:hAnsi="Calibri" w:cs="Arial"/>
                <w:b/>
              </w:rPr>
              <w:t>Amplicon Sequencing</w:t>
            </w:r>
          </w:p>
        </w:tc>
        <w:tc>
          <w:tcPr>
            <w:tcW w:w="2620" w:type="dxa"/>
            <w:vAlign w:val="bottom"/>
          </w:tcPr>
          <w:p w14:paraId="699DDCA6"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B4GALNT2</w:t>
            </w:r>
            <w:r w:rsidRPr="00982466">
              <w:rPr>
                <w:rFonts w:ascii="Calibri" w:eastAsia="Calibri" w:hAnsi="Calibri" w:cs="Arial"/>
                <w:color w:val="000000"/>
                <w:kern w:val="24"/>
              </w:rPr>
              <w:t>_AmpSeq</w:t>
            </w:r>
          </w:p>
        </w:tc>
        <w:tc>
          <w:tcPr>
            <w:tcW w:w="3770" w:type="dxa"/>
            <w:vAlign w:val="bottom"/>
          </w:tcPr>
          <w:p w14:paraId="6826B80D" w14:textId="77777777" w:rsidR="00982466" w:rsidRPr="00982466" w:rsidRDefault="00982466" w:rsidP="00982466">
            <w:pPr>
              <w:rPr>
                <w:rFonts w:ascii="Calibri" w:eastAsia="Calibri" w:hAnsi="Calibri" w:cs="Arial"/>
              </w:rPr>
            </w:pPr>
            <w:r w:rsidRPr="00982466">
              <w:rPr>
                <w:rFonts w:ascii="Calibri" w:eastAsia="Calibri" w:hAnsi="Calibri" w:cs="Arial"/>
              </w:rPr>
              <w:t>TTCCCAATCTGTGATCTTTGA</w:t>
            </w:r>
          </w:p>
        </w:tc>
        <w:tc>
          <w:tcPr>
            <w:tcW w:w="3925" w:type="dxa"/>
            <w:vAlign w:val="bottom"/>
          </w:tcPr>
          <w:p w14:paraId="306FAC35" w14:textId="77777777" w:rsidR="00982466" w:rsidRPr="00982466" w:rsidRDefault="00982466" w:rsidP="00982466">
            <w:pPr>
              <w:rPr>
                <w:rFonts w:ascii="Calibri" w:eastAsia="Calibri" w:hAnsi="Calibri" w:cs="Arial"/>
              </w:rPr>
            </w:pPr>
            <w:r w:rsidRPr="00982466">
              <w:rPr>
                <w:rFonts w:ascii="Calibri" w:eastAsia="Calibri" w:hAnsi="Calibri" w:cs="Arial"/>
              </w:rPr>
              <w:t>CACCCTCGGGAATGAGTA</w:t>
            </w:r>
          </w:p>
        </w:tc>
        <w:tc>
          <w:tcPr>
            <w:tcW w:w="1105" w:type="dxa"/>
            <w:vAlign w:val="bottom"/>
          </w:tcPr>
          <w:p w14:paraId="472E2CCB" w14:textId="77777777" w:rsidR="00982466" w:rsidRPr="00982466" w:rsidRDefault="00982466" w:rsidP="00982466">
            <w:pPr>
              <w:jc w:val="center"/>
              <w:rPr>
                <w:rFonts w:ascii="Calibri" w:eastAsia="Calibri" w:hAnsi="Calibri" w:cs="Arial"/>
              </w:rPr>
            </w:pPr>
            <w:r w:rsidRPr="00982466">
              <w:rPr>
                <w:rFonts w:ascii="Calibri" w:eastAsia="Calibri" w:hAnsi="Calibri" w:cs="Arial"/>
              </w:rPr>
              <w:t>244</w:t>
            </w:r>
          </w:p>
        </w:tc>
      </w:tr>
      <w:tr w:rsidR="00982466" w:rsidRPr="00982466" w14:paraId="7231323C" w14:textId="77777777" w:rsidTr="008177A2">
        <w:tc>
          <w:tcPr>
            <w:tcW w:w="1530" w:type="dxa"/>
            <w:vMerge/>
          </w:tcPr>
          <w:p w14:paraId="3403E719" w14:textId="77777777" w:rsidR="00982466" w:rsidRPr="00982466" w:rsidRDefault="00982466" w:rsidP="00982466">
            <w:pPr>
              <w:rPr>
                <w:rFonts w:ascii="Calibri" w:eastAsia="Calibri" w:hAnsi="Calibri" w:cs="Arial"/>
              </w:rPr>
            </w:pPr>
          </w:p>
        </w:tc>
        <w:tc>
          <w:tcPr>
            <w:tcW w:w="2620" w:type="dxa"/>
            <w:vAlign w:val="bottom"/>
          </w:tcPr>
          <w:p w14:paraId="14C567E7"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CMAH</w:t>
            </w:r>
            <w:r w:rsidRPr="00982466">
              <w:rPr>
                <w:rFonts w:ascii="Calibri" w:eastAsia="Calibri" w:hAnsi="Calibri" w:cs="Arial"/>
                <w:color w:val="000000"/>
                <w:kern w:val="24"/>
              </w:rPr>
              <w:t>_AmpSeq</w:t>
            </w:r>
          </w:p>
        </w:tc>
        <w:tc>
          <w:tcPr>
            <w:tcW w:w="3770" w:type="dxa"/>
            <w:vAlign w:val="bottom"/>
          </w:tcPr>
          <w:p w14:paraId="742FB6C5" w14:textId="77777777" w:rsidR="00982466" w:rsidRPr="00982466" w:rsidRDefault="00982466" w:rsidP="00982466">
            <w:pPr>
              <w:rPr>
                <w:rFonts w:ascii="Calibri" w:eastAsia="Calibri" w:hAnsi="Calibri" w:cs="Arial"/>
              </w:rPr>
            </w:pPr>
            <w:r w:rsidRPr="00982466">
              <w:rPr>
                <w:rFonts w:ascii="Calibri" w:eastAsia="Calibri" w:hAnsi="Calibri" w:cs="Arial"/>
              </w:rPr>
              <w:t>GAGGGAGGGCTTTCAAAC</w:t>
            </w:r>
          </w:p>
        </w:tc>
        <w:tc>
          <w:tcPr>
            <w:tcW w:w="3925" w:type="dxa"/>
            <w:vAlign w:val="bottom"/>
          </w:tcPr>
          <w:p w14:paraId="6583AA10" w14:textId="77777777" w:rsidR="00982466" w:rsidRPr="00982466" w:rsidRDefault="00982466" w:rsidP="00982466">
            <w:pPr>
              <w:rPr>
                <w:rFonts w:ascii="Calibri" w:eastAsia="Calibri" w:hAnsi="Calibri" w:cs="Arial"/>
              </w:rPr>
            </w:pPr>
            <w:r w:rsidRPr="00982466">
              <w:rPr>
                <w:rFonts w:ascii="Calibri" w:eastAsia="Calibri" w:hAnsi="Calibri" w:cs="Arial"/>
              </w:rPr>
              <w:t>TCAGGCGGCTCTTATTCT</w:t>
            </w:r>
          </w:p>
        </w:tc>
        <w:tc>
          <w:tcPr>
            <w:tcW w:w="1105" w:type="dxa"/>
            <w:vAlign w:val="bottom"/>
          </w:tcPr>
          <w:p w14:paraId="07200374" w14:textId="77777777" w:rsidR="00982466" w:rsidRPr="00982466" w:rsidRDefault="00982466" w:rsidP="00982466">
            <w:pPr>
              <w:jc w:val="center"/>
              <w:rPr>
                <w:rFonts w:ascii="Calibri" w:eastAsia="Calibri" w:hAnsi="Calibri" w:cs="Arial"/>
              </w:rPr>
            </w:pPr>
            <w:r w:rsidRPr="00982466">
              <w:rPr>
                <w:rFonts w:ascii="Calibri" w:eastAsia="Calibri" w:hAnsi="Calibri" w:cs="Arial"/>
              </w:rPr>
              <w:t>250</w:t>
            </w:r>
          </w:p>
        </w:tc>
      </w:tr>
      <w:tr w:rsidR="00982466" w:rsidRPr="00982466" w14:paraId="72ABE6A0" w14:textId="77777777" w:rsidTr="008177A2">
        <w:tc>
          <w:tcPr>
            <w:tcW w:w="1530" w:type="dxa"/>
            <w:vMerge/>
          </w:tcPr>
          <w:p w14:paraId="6461115E" w14:textId="77777777" w:rsidR="00982466" w:rsidRPr="00982466" w:rsidRDefault="00982466" w:rsidP="00982466">
            <w:pPr>
              <w:rPr>
                <w:rFonts w:ascii="Calibri" w:eastAsia="Calibri" w:hAnsi="Calibri" w:cs="Arial"/>
              </w:rPr>
            </w:pPr>
          </w:p>
        </w:tc>
        <w:tc>
          <w:tcPr>
            <w:tcW w:w="2620" w:type="dxa"/>
            <w:vAlign w:val="bottom"/>
          </w:tcPr>
          <w:p w14:paraId="7AE440CD" w14:textId="77777777" w:rsidR="00982466" w:rsidRPr="00982466" w:rsidRDefault="00982466" w:rsidP="00982466">
            <w:pPr>
              <w:jc w:val="center"/>
              <w:rPr>
                <w:rFonts w:ascii="Calibri" w:eastAsia="Calibri" w:hAnsi="Calibri" w:cs="Arial"/>
              </w:rPr>
            </w:pPr>
            <w:r w:rsidRPr="00982466">
              <w:rPr>
                <w:rFonts w:ascii="Calibri" w:eastAsia="Calibri" w:hAnsi="Calibri" w:cs="Arial"/>
                <w:i/>
                <w:iCs/>
                <w:color w:val="000000"/>
                <w:kern w:val="24"/>
              </w:rPr>
              <w:t>GGTA1</w:t>
            </w:r>
            <w:r w:rsidRPr="00982466">
              <w:rPr>
                <w:rFonts w:ascii="Calibri" w:eastAsia="Calibri" w:hAnsi="Calibri" w:cs="Arial"/>
                <w:color w:val="000000"/>
                <w:kern w:val="24"/>
              </w:rPr>
              <w:t>_AmpSeq</w:t>
            </w:r>
          </w:p>
        </w:tc>
        <w:tc>
          <w:tcPr>
            <w:tcW w:w="3770" w:type="dxa"/>
            <w:vAlign w:val="bottom"/>
          </w:tcPr>
          <w:p w14:paraId="2196E9C4" w14:textId="77777777" w:rsidR="00982466" w:rsidRPr="00982466" w:rsidRDefault="00982466" w:rsidP="00982466">
            <w:pPr>
              <w:rPr>
                <w:rFonts w:ascii="Calibri" w:eastAsia="Calibri" w:hAnsi="Calibri" w:cs="Arial"/>
              </w:rPr>
            </w:pPr>
            <w:r w:rsidRPr="00982466">
              <w:rPr>
                <w:rFonts w:ascii="Calibri" w:eastAsia="Calibri" w:hAnsi="Calibri" w:cs="Arial"/>
              </w:rPr>
              <w:t>CGCTCGTTGACTATTCATC</w:t>
            </w:r>
          </w:p>
        </w:tc>
        <w:tc>
          <w:tcPr>
            <w:tcW w:w="3925" w:type="dxa"/>
            <w:vAlign w:val="bottom"/>
          </w:tcPr>
          <w:p w14:paraId="3592D042" w14:textId="77777777" w:rsidR="00982466" w:rsidRPr="00982466" w:rsidRDefault="00982466" w:rsidP="00982466">
            <w:pPr>
              <w:rPr>
                <w:rFonts w:ascii="Calibri" w:eastAsia="Calibri" w:hAnsi="Calibri" w:cs="Arial"/>
              </w:rPr>
            </w:pPr>
            <w:r w:rsidRPr="00982466">
              <w:rPr>
                <w:rFonts w:ascii="Calibri" w:eastAsia="Calibri" w:hAnsi="Calibri" w:cs="Arial"/>
              </w:rPr>
              <w:t>ACTAGGAGATTAGAGGAGACT</w:t>
            </w:r>
          </w:p>
        </w:tc>
        <w:tc>
          <w:tcPr>
            <w:tcW w:w="1105" w:type="dxa"/>
            <w:vAlign w:val="bottom"/>
          </w:tcPr>
          <w:p w14:paraId="5C4C3576" w14:textId="77777777" w:rsidR="00982466" w:rsidRPr="00982466" w:rsidRDefault="00982466" w:rsidP="00982466">
            <w:pPr>
              <w:jc w:val="center"/>
              <w:rPr>
                <w:rFonts w:ascii="Calibri" w:eastAsia="Calibri" w:hAnsi="Calibri" w:cs="Arial"/>
              </w:rPr>
            </w:pPr>
            <w:r w:rsidRPr="00982466">
              <w:rPr>
                <w:rFonts w:ascii="Calibri" w:eastAsia="Calibri" w:hAnsi="Calibri" w:cs="Arial"/>
              </w:rPr>
              <w:t>269</w:t>
            </w:r>
          </w:p>
        </w:tc>
      </w:tr>
      <w:tr w:rsidR="00982466" w:rsidRPr="00982466" w14:paraId="6B5F3A31" w14:textId="77777777" w:rsidTr="008177A2">
        <w:tc>
          <w:tcPr>
            <w:tcW w:w="1530" w:type="dxa"/>
            <w:vMerge/>
          </w:tcPr>
          <w:p w14:paraId="47BB8481" w14:textId="77777777" w:rsidR="00982466" w:rsidRPr="00982466" w:rsidRDefault="00982466" w:rsidP="00982466">
            <w:pPr>
              <w:rPr>
                <w:rFonts w:ascii="Calibri" w:eastAsia="Calibri" w:hAnsi="Calibri" w:cs="Arial"/>
              </w:rPr>
            </w:pPr>
          </w:p>
        </w:tc>
        <w:tc>
          <w:tcPr>
            <w:tcW w:w="2620" w:type="dxa"/>
            <w:vAlign w:val="bottom"/>
          </w:tcPr>
          <w:p w14:paraId="7FD736C8"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PERV_AmpSeq_Long</w:t>
            </w:r>
          </w:p>
        </w:tc>
        <w:tc>
          <w:tcPr>
            <w:tcW w:w="3770" w:type="dxa"/>
            <w:vAlign w:val="bottom"/>
          </w:tcPr>
          <w:p w14:paraId="7E5D8266"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GCCTGAGATTACACCCCACTAGC</w:t>
            </w:r>
          </w:p>
        </w:tc>
        <w:tc>
          <w:tcPr>
            <w:tcW w:w="3925" w:type="dxa"/>
            <w:vAlign w:val="bottom"/>
          </w:tcPr>
          <w:p w14:paraId="64608B0C" w14:textId="77777777" w:rsidR="00982466" w:rsidRPr="00982466" w:rsidRDefault="00982466" w:rsidP="00982466">
            <w:pPr>
              <w:rPr>
                <w:rFonts w:ascii="Calibri" w:eastAsia="Calibri" w:hAnsi="Calibri" w:cs="Arial"/>
              </w:rPr>
            </w:pPr>
            <w:r w:rsidRPr="00982466">
              <w:rPr>
                <w:rFonts w:ascii="Calibri" w:eastAsia="Calibri" w:hAnsi="Calibri" w:cs="Arial"/>
                <w:color w:val="000000"/>
                <w:kern w:val="24"/>
              </w:rPr>
              <w:t>CCGCAAACTGTACCCCAAGTATG</w:t>
            </w:r>
          </w:p>
        </w:tc>
        <w:tc>
          <w:tcPr>
            <w:tcW w:w="1105" w:type="dxa"/>
            <w:vAlign w:val="bottom"/>
          </w:tcPr>
          <w:p w14:paraId="66C33F45" w14:textId="77777777" w:rsidR="00982466" w:rsidRPr="00982466" w:rsidRDefault="00982466" w:rsidP="00982466">
            <w:pPr>
              <w:jc w:val="center"/>
              <w:rPr>
                <w:rFonts w:ascii="Calibri" w:eastAsia="Calibri" w:hAnsi="Calibri" w:cs="Arial"/>
              </w:rPr>
            </w:pPr>
            <w:r w:rsidRPr="00982466">
              <w:rPr>
                <w:rFonts w:ascii="Calibri" w:eastAsia="Calibri" w:hAnsi="Calibri" w:cs="Arial"/>
              </w:rPr>
              <w:t>353</w:t>
            </w:r>
          </w:p>
        </w:tc>
      </w:tr>
      <w:tr w:rsidR="00982466" w:rsidRPr="00982466" w14:paraId="54DCE033" w14:textId="77777777" w:rsidTr="008177A2">
        <w:tc>
          <w:tcPr>
            <w:tcW w:w="1530" w:type="dxa"/>
            <w:vMerge/>
          </w:tcPr>
          <w:p w14:paraId="3F485ADE" w14:textId="77777777" w:rsidR="00982466" w:rsidRPr="00982466" w:rsidRDefault="00982466" w:rsidP="00982466">
            <w:pPr>
              <w:rPr>
                <w:rFonts w:ascii="Calibri" w:eastAsia="Calibri" w:hAnsi="Calibri" w:cs="Arial"/>
              </w:rPr>
            </w:pPr>
          </w:p>
        </w:tc>
        <w:tc>
          <w:tcPr>
            <w:tcW w:w="2620" w:type="dxa"/>
            <w:vAlign w:val="bottom"/>
          </w:tcPr>
          <w:p w14:paraId="55D2D43C" w14:textId="77777777" w:rsidR="00982466" w:rsidRPr="00982466" w:rsidRDefault="00982466" w:rsidP="00982466">
            <w:pPr>
              <w:jc w:val="center"/>
              <w:rPr>
                <w:rFonts w:ascii="Calibri" w:eastAsia="Calibri" w:hAnsi="Calibri" w:cs="Arial"/>
              </w:rPr>
            </w:pPr>
            <w:r w:rsidRPr="00982466">
              <w:rPr>
                <w:rFonts w:ascii="Calibri" w:eastAsia="Calibri" w:hAnsi="Calibri" w:cs="Arial"/>
                <w:color w:val="000000"/>
                <w:kern w:val="24"/>
              </w:rPr>
              <w:t>PERV_AmpSeq_Short</w:t>
            </w:r>
          </w:p>
        </w:tc>
        <w:tc>
          <w:tcPr>
            <w:tcW w:w="3770" w:type="dxa"/>
            <w:vAlign w:val="bottom"/>
          </w:tcPr>
          <w:p w14:paraId="1424D69E" w14:textId="77777777" w:rsidR="00982466" w:rsidRPr="00982466" w:rsidRDefault="00982466" w:rsidP="00982466">
            <w:pPr>
              <w:rPr>
                <w:rFonts w:ascii="Calibri" w:eastAsia="Calibri" w:hAnsi="Calibri" w:cs="Arial"/>
              </w:rPr>
            </w:pPr>
            <w:r w:rsidRPr="00982466">
              <w:rPr>
                <w:rFonts w:ascii="Calibri" w:eastAsia="Calibri" w:hAnsi="Calibri" w:cs="Arial"/>
              </w:rPr>
              <w:t>CGACTGCCCCAAGGGTTCAA</w:t>
            </w:r>
          </w:p>
        </w:tc>
        <w:tc>
          <w:tcPr>
            <w:tcW w:w="3925" w:type="dxa"/>
            <w:vAlign w:val="bottom"/>
          </w:tcPr>
          <w:p w14:paraId="644A368D" w14:textId="77777777" w:rsidR="00982466" w:rsidRPr="00982466" w:rsidRDefault="00982466" w:rsidP="00982466">
            <w:pPr>
              <w:rPr>
                <w:rFonts w:ascii="Calibri" w:eastAsia="Calibri" w:hAnsi="Calibri" w:cs="Arial"/>
              </w:rPr>
            </w:pPr>
            <w:r w:rsidRPr="00982466">
              <w:rPr>
                <w:rFonts w:ascii="Calibri" w:eastAsia="Calibri" w:hAnsi="Calibri" w:cs="Arial"/>
              </w:rPr>
              <w:t>AGCCTAGGTCAGACAATTCCAGCA</w:t>
            </w:r>
          </w:p>
        </w:tc>
        <w:tc>
          <w:tcPr>
            <w:tcW w:w="1105" w:type="dxa"/>
            <w:vAlign w:val="bottom"/>
          </w:tcPr>
          <w:p w14:paraId="0E1BA02F" w14:textId="77777777" w:rsidR="00982466" w:rsidRPr="00982466" w:rsidRDefault="00982466" w:rsidP="00982466">
            <w:pPr>
              <w:jc w:val="center"/>
              <w:rPr>
                <w:rFonts w:ascii="Calibri" w:eastAsia="Calibri" w:hAnsi="Calibri" w:cs="Arial"/>
              </w:rPr>
            </w:pPr>
            <w:r w:rsidRPr="00982466">
              <w:rPr>
                <w:rFonts w:ascii="Calibri" w:eastAsia="Calibri" w:hAnsi="Calibri" w:cs="Arial"/>
              </w:rPr>
              <w:t>196</w:t>
            </w:r>
          </w:p>
        </w:tc>
      </w:tr>
    </w:tbl>
    <w:p w14:paraId="3891D60D" w14:textId="77777777" w:rsidR="00982466" w:rsidRPr="00982466" w:rsidRDefault="00982466" w:rsidP="00982466">
      <w:pPr>
        <w:keepNext/>
        <w:spacing w:before="240" w:after="60"/>
        <w:outlineLvl w:val="0"/>
        <w:rPr>
          <w:b/>
          <w:bCs/>
          <w:kern w:val="32"/>
          <w:sz w:val="22"/>
          <w:szCs w:val="22"/>
        </w:rPr>
      </w:pPr>
    </w:p>
    <w:p w14:paraId="4DCD7C2D" w14:textId="77777777" w:rsidR="00982466" w:rsidRPr="00982466" w:rsidRDefault="00982466" w:rsidP="00982466">
      <w:pPr>
        <w:rPr>
          <w:b/>
          <w:bCs/>
          <w:kern w:val="32"/>
          <w:sz w:val="22"/>
          <w:szCs w:val="22"/>
        </w:rPr>
      </w:pPr>
      <w:r w:rsidRPr="00982466">
        <w:rPr>
          <w:sz w:val="22"/>
          <w:szCs w:val="22"/>
        </w:rPr>
        <w:br w:type="page"/>
      </w:r>
    </w:p>
    <w:p w14:paraId="5F21A0D0" w14:textId="77777777" w:rsidR="00982466" w:rsidRPr="00982466" w:rsidRDefault="00982466" w:rsidP="00982466">
      <w:pPr>
        <w:keepNext/>
        <w:spacing w:before="240" w:after="60"/>
        <w:outlineLvl w:val="0"/>
        <w:rPr>
          <w:b/>
          <w:bCs/>
          <w:kern w:val="32"/>
          <w:szCs w:val="24"/>
        </w:rPr>
        <w:sectPr w:rsidR="00982466" w:rsidRPr="00982466" w:rsidSect="00F760EA">
          <w:pgSz w:w="15840" w:h="12240" w:orient="landscape"/>
          <w:pgMar w:top="1440" w:right="1440" w:bottom="1440" w:left="1440" w:header="720" w:footer="720" w:gutter="0"/>
          <w:cols w:space="720"/>
          <w:docGrid w:linePitch="360"/>
        </w:sectPr>
      </w:pPr>
    </w:p>
    <w:p w14:paraId="28233CEE" w14:textId="77777777" w:rsidR="00982466" w:rsidRPr="00982466" w:rsidRDefault="00982466" w:rsidP="00982466">
      <w:pPr>
        <w:keepNext/>
        <w:spacing w:before="240" w:after="60"/>
        <w:outlineLvl w:val="0"/>
        <w:rPr>
          <w:kern w:val="32"/>
          <w:szCs w:val="24"/>
        </w:rPr>
      </w:pPr>
      <w:r w:rsidRPr="00982466">
        <w:rPr>
          <w:b/>
          <w:bCs/>
          <w:kern w:val="32"/>
          <w:szCs w:val="24"/>
        </w:rPr>
        <w:lastRenderedPageBreak/>
        <w:t xml:space="preserve">Supplementary Table 5. </w:t>
      </w:r>
      <w:r w:rsidRPr="00982466">
        <w:rPr>
          <w:kern w:val="32"/>
          <w:szCs w:val="24"/>
        </w:rPr>
        <w:t>Antibodies and reagents were used in immunochemistry analysis</w:t>
      </w:r>
    </w:p>
    <w:tbl>
      <w:tblPr>
        <w:tblW w:w="7555" w:type="dxa"/>
        <w:tblCellMar>
          <w:left w:w="0" w:type="dxa"/>
          <w:right w:w="0" w:type="dxa"/>
        </w:tblCellMar>
        <w:tblLook w:val="0600" w:firstRow="0" w:lastRow="0" w:firstColumn="0" w:lastColumn="0" w:noHBand="1" w:noVBand="1"/>
      </w:tblPr>
      <w:tblGrid>
        <w:gridCol w:w="3145"/>
        <w:gridCol w:w="2160"/>
        <w:gridCol w:w="2250"/>
      </w:tblGrid>
      <w:tr w:rsidR="00982466" w:rsidRPr="00982466" w14:paraId="32BD5299" w14:textId="77777777" w:rsidTr="008177A2">
        <w:trPr>
          <w:trHeight w:val="271"/>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AE5497B" w14:textId="77777777" w:rsidR="00982466" w:rsidRPr="00982466" w:rsidRDefault="00982466" w:rsidP="00982466">
            <w:pPr>
              <w:jc w:val="center"/>
              <w:rPr>
                <w:b/>
                <w:sz w:val="20"/>
              </w:rPr>
            </w:pPr>
            <w:r w:rsidRPr="00982466">
              <w:rPr>
                <w:b/>
                <w:sz w:val="20"/>
              </w:rPr>
              <w:t>Antibody/Reagent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bottom"/>
            <w:hideMark/>
          </w:tcPr>
          <w:p w14:paraId="7940D769" w14:textId="77777777" w:rsidR="00982466" w:rsidRPr="00982466" w:rsidRDefault="00982466" w:rsidP="00982466">
            <w:pPr>
              <w:jc w:val="center"/>
              <w:rPr>
                <w:b/>
                <w:sz w:val="20"/>
              </w:rPr>
            </w:pPr>
            <w:r w:rsidRPr="00982466">
              <w:rPr>
                <w:b/>
                <w:sz w:val="20"/>
              </w:rPr>
              <w:t>Vendor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794CE5B" w14:textId="77777777" w:rsidR="00982466" w:rsidRPr="00982466" w:rsidRDefault="00982466" w:rsidP="00982466">
            <w:pPr>
              <w:jc w:val="center"/>
              <w:rPr>
                <w:b/>
                <w:sz w:val="20"/>
              </w:rPr>
            </w:pPr>
            <w:r w:rsidRPr="00982466">
              <w:rPr>
                <w:b/>
                <w:sz w:val="20"/>
              </w:rPr>
              <w:t>Catalogue Number</w:t>
            </w:r>
          </w:p>
        </w:tc>
      </w:tr>
      <w:tr w:rsidR="00982466" w:rsidRPr="00982466" w14:paraId="7E7C28FE" w14:textId="77777777" w:rsidTr="008177A2">
        <w:trPr>
          <w:trHeight w:val="289"/>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41693BF" w14:textId="77777777" w:rsidR="00982466" w:rsidRPr="00982466" w:rsidRDefault="00982466" w:rsidP="00982466">
            <w:pPr>
              <w:jc w:val="center"/>
              <w:rPr>
                <w:sz w:val="20"/>
              </w:rPr>
            </w:pPr>
            <w:r w:rsidRPr="00982466">
              <w:rPr>
                <w:sz w:val="20"/>
              </w:rPr>
              <w:t>EPCR, Ms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12EC9E6"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B044948" w14:textId="77777777" w:rsidR="00982466" w:rsidRPr="00982466" w:rsidRDefault="00982466" w:rsidP="00982466">
            <w:pPr>
              <w:jc w:val="center"/>
              <w:rPr>
                <w:sz w:val="20"/>
              </w:rPr>
            </w:pPr>
            <w:r w:rsidRPr="00982466">
              <w:rPr>
                <w:sz w:val="20"/>
              </w:rPr>
              <w:t>ab236517</w:t>
            </w:r>
          </w:p>
        </w:tc>
      </w:tr>
      <w:tr w:rsidR="00982466" w:rsidRPr="00982466" w14:paraId="3C201389" w14:textId="77777777" w:rsidTr="008177A2">
        <w:trPr>
          <w:trHeight w:val="23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C3D904E" w14:textId="77777777" w:rsidR="00982466" w:rsidRPr="00982466" w:rsidRDefault="00982466" w:rsidP="00982466">
            <w:pPr>
              <w:jc w:val="center"/>
              <w:rPr>
                <w:sz w:val="20"/>
              </w:rPr>
            </w:pPr>
            <w:r w:rsidRPr="00982466">
              <w:rPr>
                <w:sz w:val="20"/>
              </w:rPr>
              <w:t>THBD, Ms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0D6003D"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CD40066" w14:textId="77777777" w:rsidR="00982466" w:rsidRPr="00982466" w:rsidRDefault="00982466" w:rsidP="00982466">
            <w:pPr>
              <w:jc w:val="center"/>
              <w:rPr>
                <w:sz w:val="20"/>
              </w:rPr>
            </w:pPr>
            <w:r w:rsidRPr="00982466">
              <w:rPr>
                <w:sz w:val="20"/>
              </w:rPr>
              <w:t>ab6980</w:t>
            </w:r>
          </w:p>
        </w:tc>
      </w:tr>
      <w:tr w:rsidR="00982466" w:rsidRPr="00982466" w14:paraId="1CEE7817"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59A3760" w14:textId="13702C0C" w:rsidR="00982466" w:rsidRPr="00982466" w:rsidRDefault="007F0183" w:rsidP="00982466">
            <w:pPr>
              <w:jc w:val="center"/>
              <w:rPr>
                <w:sz w:val="20"/>
              </w:rPr>
            </w:pPr>
            <w:r>
              <w:rPr>
                <w:sz w:val="20"/>
              </w:rPr>
              <w:t>TNFAIP3</w:t>
            </w:r>
            <w:r w:rsidR="00982466" w:rsidRPr="00982466">
              <w:rPr>
                <w:sz w:val="20"/>
              </w:rPr>
              <w:t>, Ms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84B3816" w14:textId="77777777" w:rsidR="00982466" w:rsidRPr="00982466" w:rsidRDefault="00982466" w:rsidP="00982466">
            <w:pPr>
              <w:jc w:val="center"/>
              <w:rPr>
                <w:sz w:val="20"/>
              </w:rPr>
            </w:pPr>
            <w:r w:rsidRPr="00982466">
              <w:rPr>
                <w:sz w:val="20"/>
              </w:rPr>
              <w:t>ThermoFisher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8B39881" w14:textId="77777777" w:rsidR="00982466" w:rsidRPr="00982466" w:rsidRDefault="00982466" w:rsidP="00982466">
            <w:pPr>
              <w:jc w:val="center"/>
              <w:rPr>
                <w:sz w:val="20"/>
              </w:rPr>
            </w:pPr>
            <w:r w:rsidRPr="00982466">
              <w:rPr>
                <w:sz w:val="20"/>
              </w:rPr>
              <w:t>MA5-16164</w:t>
            </w:r>
          </w:p>
        </w:tc>
      </w:tr>
      <w:tr w:rsidR="00982466" w:rsidRPr="00982466" w14:paraId="3FD81176"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381BB23" w14:textId="35CD975F" w:rsidR="00982466" w:rsidRPr="00982466" w:rsidRDefault="007F0183" w:rsidP="00982466">
            <w:pPr>
              <w:jc w:val="center"/>
              <w:rPr>
                <w:sz w:val="20"/>
              </w:rPr>
            </w:pPr>
            <w:r>
              <w:rPr>
                <w:sz w:val="20"/>
              </w:rPr>
              <w:t>HMOX1</w:t>
            </w:r>
            <w:r w:rsidR="00982466" w:rsidRPr="00982466">
              <w:rPr>
                <w:sz w:val="20"/>
              </w:rPr>
              <w:t>, Rb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2F4EAB5"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8DCF60D" w14:textId="77777777" w:rsidR="00982466" w:rsidRPr="00982466" w:rsidRDefault="00982466" w:rsidP="00982466">
            <w:pPr>
              <w:jc w:val="center"/>
              <w:rPr>
                <w:sz w:val="20"/>
              </w:rPr>
            </w:pPr>
            <w:r w:rsidRPr="00982466">
              <w:rPr>
                <w:sz w:val="20"/>
              </w:rPr>
              <w:t>ab52947</w:t>
            </w:r>
          </w:p>
        </w:tc>
      </w:tr>
      <w:tr w:rsidR="00982466" w:rsidRPr="00982466" w14:paraId="267529A6"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F22B34F" w14:textId="77777777" w:rsidR="00982466" w:rsidRPr="00982466" w:rsidRDefault="00982466" w:rsidP="00982466">
            <w:pPr>
              <w:jc w:val="center"/>
              <w:rPr>
                <w:sz w:val="20"/>
              </w:rPr>
            </w:pPr>
            <w:r w:rsidRPr="00982466">
              <w:rPr>
                <w:sz w:val="20"/>
              </w:rPr>
              <w:t>CD46, Rb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145B690"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A799C7C" w14:textId="77777777" w:rsidR="00982466" w:rsidRPr="00982466" w:rsidRDefault="00982466" w:rsidP="00982466">
            <w:pPr>
              <w:jc w:val="center"/>
              <w:rPr>
                <w:sz w:val="20"/>
              </w:rPr>
            </w:pPr>
            <w:r w:rsidRPr="00982466">
              <w:rPr>
                <w:sz w:val="20"/>
              </w:rPr>
              <w:t>ab108307</w:t>
            </w:r>
          </w:p>
        </w:tc>
      </w:tr>
      <w:tr w:rsidR="00982466" w:rsidRPr="00982466" w14:paraId="536C1274"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7CB8EA8" w14:textId="77777777" w:rsidR="00982466" w:rsidRPr="00982466" w:rsidRDefault="00982466" w:rsidP="00982466">
            <w:pPr>
              <w:jc w:val="center"/>
              <w:rPr>
                <w:sz w:val="20"/>
              </w:rPr>
            </w:pPr>
            <w:r w:rsidRPr="00982466">
              <w:rPr>
                <w:sz w:val="20"/>
              </w:rPr>
              <w:t>CD55, Rb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72CBC90"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A4AD220" w14:textId="77777777" w:rsidR="00982466" w:rsidRPr="00982466" w:rsidRDefault="00982466" w:rsidP="00982466">
            <w:pPr>
              <w:jc w:val="center"/>
              <w:rPr>
                <w:sz w:val="20"/>
              </w:rPr>
            </w:pPr>
            <w:r w:rsidRPr="00982466">
              <w:rPr>
                <w:sz w:val="20"/>
              </w:rPr>
              <w:t>ab133684</w:t>
            </w:r>
          </w:p>
        </w:tc>
      </w:tr>
      <w:tr w:rsidR="00982466" w:rsidRPr="00982466" w14:paraId="1294912D"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40CDD81" w14:textId="77777777" w:rsidR="00982466" w:rsidRPr="00982466" w:rsidRDefault="00982466" w:rsidP="00982466">
            <w:pPr>
              <w:jc w:val="center"/>
              <w:rPr>
                <w:sz w:val="20"/>
              </w:rPr>
            </w:pPr>
            <w:r w:rsidRPr="00982466">
              <w:rPr>
                <w:sz w:val="20"/>
              </w:rPr>
              <w:t>CD47, Rb Ab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C9A9740"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1A92F9E" w14:textId="77777777" w:rsidR="00982466" w:rsidRPr="00982466" w:rsidRDefault="00982466" w:rsidP="00982466">
            <w:pPr>
              <w:jc w:val="center"/>
              <w:rPr>
                <w:sz w:val="20"/>
              </w:rPr>
            </w:pPr>
            <w:r w:rsidRPr="00982466">
              <w:rPr>
                <w:sz w:val="20"/>
              </w:rPr>
              <w:t>ab226837</w:t>
            </w:r>
          </w:p>
        </w:tc>
      </w:tr>
      <w:tr w:rsidR="00982466" w:rsidRPr="00982466" w14:paraId="11CEF9DA"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892177A" w14:textId="77777777" w:rsidR="00982466" w:rsidRPr="00982466" w:rsidRDefault="00982466" w:rsidP="00982466">
            <w:pPr>
              <w:jc w:val="center"/>
              <w:rPr>
                <w:sz w:val="20"/>
              </w:rPr>
            </w:pPr>
            <w:r w:rsidRPr="00982466">
              <w:rPr>
                <w:sz w:val="20"/>
              </w:rPr>
              <w:t>C5b9</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79BA2FF" w14:textId="77777777" w:rsidR="00982466" w:rsidRPr="00982466" w:rsidRDefault="00982466" w:rsidP="00982466">
            <w:pPr>
              <w:jc w:val="center"/>
              <w:rPr>
                <w:sz w:val="20"/>
              </w:rPr>
            </w:pPr>
            <w:r w:rsidRPr="00982466">
              <w:rPr>
                <w:sz w:val="20"/>
              </w:rPr>
              <w:t>abcam</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8C8FE42" w14:textId="77777777" w:rsidR="00982466" w:rsidRPr="00982466" w:rsidRDefault="00982466" w:rsidP="00982466">
            <w:pPr>
              <w:jc w:val="center"/>
              <w:rPr>
                <w:sz w:val="20"/>
              </w:rPr>
            </w:pPr>
            <w:r w:rsidRPr="00982466">
              <w:rPr>
                <w:sz w:val="20"/>
              </w:rPr>
              <w:t>ab55811</w:t>
            </w:r>
          </w:p>
        </w:tc>
      </w:tr>
      <w:tr w:rsidR="00982466" w:rsidRPr="00982466" w14:paraId="7DEF9F3F"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C53EBCC" w14:textId="77777777" w:rsidR="00982466" w:rsidRPr="00982466" w:rsidRDefault="00982466" w:rsidP="00982466">
            <w:pPr>
              <w:jc w:val="center"/>
              <w:rPr>
                <w:sz w:val="20"/>
              </w:rPr>
            </w:pPr>
            <w:r w:rsidRPr="00982466">
              <w:rPr>
                <w:sz w:val="20"/>
              </w:rPr>
              <w:t>Goat-anti-mouse-HRP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A89D583" w14:textId="77777777" w:rsidR="00982466" w:rsidRPr="00982466" w:rsidRDefault="00982466" w:rsidP="00982466">
            <w:pPr>
              <w:jc w:val="center"/>
              <w:rPr>
                <w:sz w:val="20"/>
              </w:rPr>
            </w:pPr>
            <w:r w:rsidRPr="00982466">
              <w:rPr>
                <w:sz w:val="20"/>
              </w:rPr>
              <w:t>DAKO</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4D0EBB7" w14:textId="77777777" w:rsidR="00982466" w:rsidRPr="00982466" w:rsidRDefault="00982466" w:rsidP="00982466">
            <w:pPr>
              <w:jc w:val="center"/>
              <w:rPr>
                <w:sz w:val="20"/>
              </w:rPr>
            </w:pPr>
            <w:r w:rsidRPr="00982466">
              <w:rPr>
                <w:sz w:val="20"/>
              </w:rPr>
              <w:t>K4001</w:t>
            </w:r>
          </w:p>
        </w:tc>
      </w:tr>
      <w:tr w:rsidR="00982466" w:rsidRPr="00982466" w14:paraId="35236984"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CBD36EF" w14:textId="77777777" w:rsidR="00982466" w:rsidRPr="00982466" w:rsidRDefault="00982466" w:rsidP="00982466">
            <w:pPr>
              <w:jc w:val="center"/>
              <w:rPr>
                <w:sz w:val="20"/>
              </w:rPr>
            </w:pPr>
            <w:r w:rsidRPr="00982466">
              <w:rPr>
                <w:sz w:val="20"/>
              </w:rPr>
              <w:t>Goat-anti-rabbit-HRP</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1F16330" w14:textId="77777777" w:rsidR="00982466" w:rsidRPr="00982466" w:rsidRDefault="00982466" w:rsidP="00982466">
            <w:pPr>
              <w:jc w:val="center"/>
              <w:rPr>
                <w:sz w:val="20"/>
              </w:rPr>
            </w:pPr>
            <w:r w:rsidRPr="00982466">
              <w:rPr>
                <w:sz w:val="20"/>
              </w:rPr>
              <w:t>DAKO</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47705BA" w14:textId="77777777" w:rsidR="00982466" w:rsidRPr="00982466" w:rsidRDefault="00982466" w:rsidP="00982466">
            <w:pPr>
              <w:jc w:val="center"/>
              <w:rPr>
                <w:sz w:val="20"/>
              </w:rPr>
            </w:pPr>
            <w:r w:rsidRPr="00982466">
              <w:rPr>
                <w:sz w:val="20"/>
              </w:rPr>
              <w:t>K4003</w:t>
            </w:r>
          </w:p>
        </w:tc>
      </w:tr>
      <w:tr w:rsidR="00982466" w:rsidRPr="00982466" w14:paraId="4AD73A6F"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A93C898" w14:textId="77777777" w:rsidR="00982466" w:rsidRPr="00982466" w:rsidRDefault="00982466" w:rsidP="00982466">
            <w:pPr>
              <w:jc w:val="center"/>
              <w:rPr>
                <w:sz w:val="20"/>
              </w:rPr>
            </w:pPr>
            <w:r w:rsidRPr="00982466">
              <w:rPr>
                <w:sz w:val="20"/>
              </w:rPr>
              <w:t>Xylene</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2832851" w14:textId="77777777" w:rsidR="00982466" w:rsidRPr="00982466" w:rsidRDefault="00982466" w:rsidP="00982466">
            <w:pPr>
              <w:jc w:val="center"/>
              <w:rPr>
                <w:sz w:val="20"/>
              </w:rPr>
            </w:pPr>
            <w:r w:rsidRPr="00982466">
              <w:rPr>
                <w:sz w:val="20"/>
              </w:rPr>
              <w:t>EMD Millipore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CAE6EA2" w14:textId="77777777" w:rsidR="00982466" w:rsidRPr="00982466" w:rsidRDefault="00982466" w:rsidP="00982466">
            <w:pPr>
              <w:jc w:val="center"/>
              <w:rPr>
                <w:sz w:val="20"/>
              </w:rPr>
            </w:pPr>
            <w:r w:rsidRPr="00982466">
              <w:rPr>
                <w:sz w:val="20"/>
              </w:rPr>
              <w:t>1330-20-7</w:t>
            </w:r>
          </w:p>
        </w:tc>
      </w:tr>
      <w:tr w:rsidR="00982466" w:rsidRPr="00982466" w14:paraId="5C30D5AA"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DE98F5D" w14:textId="77777777" w:rsidR="00982466" w:rsidRPr="00982466" w:rsidRDefault="00982466" w:rsidP="00982466">
            <w:pPr>
              <w:jc w:val="center"/>
              <w:rPr>
                <w:sz w:val="20"/>
              </w:rPr>
            </w:pPr>
            <w:r w:rsidRPr="00982466">
              <w:rPr>
                <w:sz w:val="20"/>
              </w:rPr>
              <w:t>FLEX80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42DB0DC" w14:textId="77777777" w:rsidR="00982466" w:rsidRPr="00982466" w:rsidRDefault="00982466" w:rsidP="00982466">
            <w:pPr>
              <w:jc w:val="center"/>
              <w:rPr>
                <w:sz w:val="20"/>
              </w:rPr>
            </w:pPr>
            <w:r w:rsidRPr="00982466">
              <w:rPr>
                <w:sz w:val="20"/>
              </w:rPr>
              <w:t>Fisher Scientific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7E6CC1A" w14:textId="77777777" w:rsidR="00982466" w:rsidRPr="00982466" w:rsidRDefault="00982466" w:rsidP="00982466">
            <w:pPr>
              <w:jc w:val="center"/>
              <w:rPr>
                <w:sz w:val="20"/>
              </w:rPr>
            </w:pPr>
            <w:r w:rsidRPr="00982466">
              <w:rPr>
                <w:sz w:val="20"/>
              </w:rPr>
              <w:t>8315</w:t>
            </w:r>
          </w:p>
        </w:tc>
      </w:tr>
      <w:tr w:rsidR="00982466" w:rsidRPr="00982466" w14:paraId="00F29BA0"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881BAE4" w14:textId="77777777" w:rsidR="00982466" w:rsidRPr="00982466" w:rsidRDefault="00982466" w:rsidP="00982466">
            <w:pPr>
              <w:jc w:val="center"/>
              <w:rPr>
                <w:sz w:val="20"/>
              </w:rPr>
            </w:pPr>
            <w:r w:rsidRPr="00982466">
              <w:rPr>
                <w:sz w:val="20"/>
              </w:rPr>
              <w:t>FLEX95</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3EB9865" w14:textId="77777777" w:rsidR="00982466" w:rsidRPr="00982466" w:rsidRDefault="00982466" w:rsidP="00982466">
            <w:pPr>
              <w:jc w:val="center"/>
              <w:rPr>
                <w:sz w:val="20"/>
              </w:rPr>
            </w:pPr>
            <w:r w:rsidRPr="00982466">
              <w:rPr>
                <w:sz w:val="20"/>
              </w:rPr>
              <w:t>Fisher Scientific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0420CD3" w14:textId="77777777" w:rsidR="00982466" w:rsidRPr="00982466" w:rsidRDefault="00982466" w:rsidP="00982466">
            <w:pPr>
              <w:jc w:val="center"/>
              <w:rPr>
                <w:sz w:val="20"/>
              </w:rPr>
            </w:pPr>
            <w:r w:rsidRPr="00982466">
              <w:rPr>
                <w:sz w:val="20"/>
              </w:rPr>
              <w:t>8215</w:t>
            </w:r>
          </w:p>
        </w:tc>
      </w:tr>
      <w:tr w:rsidR="00982466" w:rsidRPr="00982466" w14:paraId="33D4F78D"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648F99A" w14:textId="77777777" w:rsidR="00982466" w:rsidRPr="00982466" w:rsidRDefault="00982466" w:rsidP="00982466">
            <w:pPr>
              <w:jc w:val="center"/>
              <w:rPr>
                <w:sz w:val="20"/>
              </w:rPr>
            </w:pPr>
            <w:r w:rsidRPr="00982466">
              <w:rPr>
                <w:sz w:val="20"/>
              </w:rPr>
              <w:t>FLEX100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89C8529" w14:textId="77777777" w:rsidR="00982466" w:rsidRPr="00982466" w:rsidRDefault="00982466" w:rsidP="00982466">
            <w:pPr>
              <w:jc w:val="center"/>
              <w:rPr>
                <w:sz w:val="20"/>
              </w:rPr>
            </w:pPr>
            <w:r w:rsidRPr="00982466">
              <w:rPr>
                <w:sz w:val="20"/>
              </w:rPr>
              <w:t>Fisher Scientific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7AD7100" w14:textId="77777777" w:rsidR="00982466" w:rsidRPr="00982466" w:rsidRDefault="00982466" w:rsidP="00982466">
            <w:pPr>
              <w:jc w:val="center"/>
              <w:rPr>
                <w:sz w:val="20"/>
              </w:rPr>
            </w:pPr>
            <w:r w:rsidRPr="00982466">
              <w:rPr>
                <w:sz w:val="20"/>
              </w:rPr>
              <w:t>8115</w:t>
            </w:r>
          </w:p>
        </w:tc>
      </w:tr>
      <w:tr w:rsidR="00982466" w:rsidRPr="00982466" w14:paraId="4E80E083"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C299AF1" w14:textId="77777777" w:rsidR="00982466" w:rsidRPr="00982466" w:rsidRDefault="00982466" w:rsidP="00982466">
            <w:pPr>
              <w:jc w:val="center"/>
              <w:rPr>
                <w:sz w:val="20"/>
              </w:rPr>
            </w:pPr>
            <w:r w:rsidRPr="00982466">
              <w:rPr>
                <w:sz w:val="20"/>
              </w:rPr>
              <w:t>TBS</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329C44D" w14:textId="77777777" w:rsidR="00982466" w:rsidRPr="00982466" w:rsidRDefault="00982466" w:rsidP="00982466">
            <w:pPr>
              <w:jc w:val="center"/>
              <w:rPr>
                <w:sz w:val="20"/>
              </w:rPr>
            </w:pPr>
            <w:r w:rsidRPr="00982466">
              <w:rPr>
                <w:sz w:val="20"/>
              </w:rPr>
              <w:t>Sigma</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45C9304" w14:textId="77777777" w:rsidR="00982466" w:rsidRPr="00982466" w:rsidRDefault="00982466" w:rsidP="00982466">
            <w:pPr>
              <w:jc w:val="center"/>
              <w:rPr>
                <w:sz w:val="20"/>
              </w:rPr>
            </w:pPr>
            <w:r w:rsidRPr="00982466">
              <w:rPr>
                <w:sz w:val="20"/>
              </w:rPr>
              <w:t>T5912-1L</w:t>
            </w:r>
          </w:p>
        </w:tc>
      </w:tr>
      <w:tr w:rsidR="00982466" w:rsidRPr="00982466" w14:paraId="2C60868E"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131D62F" w14:textId="77777777" w:rsidR="00982466" w:rsidRPr="00982466" w:rsidRDefault="00982466" w:rsidP="00982466">
            <w:pPr>
              <w:jc w:val="center"/>
              <w:rPr>
                <w:sz w:val="20"/>
              </w:rPr>
            </w:pPr>
            <w:r w:rsidRPr="00982466">
              <w:rPr>
                <w:sz w:val="20"/>
              </w:rPr>
              <w:t>TBS-T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FF2A5B0" w14:textId="77777777" w:rsidR="00982466" w:rsidRPr="00982466" w:rsidRDefault="00982466" w:rsidP="00982466">
            <w:pPr>
              <w:jc w:val="center"/>
              <w:rPr>
                <w:sz w:val="20"/>
              </w:rPr>
            </w:pPr>
            <w:r w:rsidRPr="00982466">
              <w:rPr>
                <w:sz w:val="20"/>
              </w:rPr>
              <w:t>ThermoFisher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ACB17E6" w14:textId="77777777" w:rsidR="00982466" w:rsidRPr="00982466" w:rsidRDefault="00982466" w:rsidP="00982466">
            <w:pPr>
              <w:jc w:val="center"/>
              <w:rPr>
                <w:sz w:val="20"/>
              </w:rPr>
            </w:pPr>
            <w:r w:rsidRPr="00982466">
              <w:rPr>
                <w:sz w:val="20"/>
              </w:rPr>
              <w:t>TA-999-TT</w:t>
            </w:r>
          </w:p>
        </w:tc>
      </w:tr>
      <w:tr w:rsidR="00982466" w:rsidRPr="00982466" w14:paraId="6474D6CF"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E16D1AD" w14:textId="77777777" w:rsidR="00982466" w:rsidRPr="00982466" w:rsidRDefault="00982466" w:rsidP="00982466">
            <w:pPr>
              <w:jc w:val="center"/>
              <w:rPr>
                <w:sz w:val="20"/>
              </w:rPr>
            </w:pPr>
            <w:r w:rsidRPr="00982466">
              <w:rPr>
                <w:sz w:val="20"/>
              </w:rPr>
              <w:t>Goat serum</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C769664" w14:textId="77777777" w:rsidR="00982466" w:rsidRPr="00982466" w:rsidRDefault="00982466" w:rsidP="00982466">
            <w:pPr>
              <w:jc w:val="center"/>
              <w:rPr>
                <w:sz w:val="20"/>
              </w:rPr>
            </w:pPr>
            <w:r w:rsidRPr="00982466">
              <w:rPr>
                <w:sz w:val="20"/>
              </w:rPr>
              <w:t>EMD Millipore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C744B2E" w14:textId="77777777" w:rsidR="00982466" w:rsidRPr="00982466" w:rsidRDefault="00982466" w:rsidP="00982466">
            <w:pPr>
              <w:jc w:val="center"/>
              <w:rPr>
                <w:sz w:val="20"/>
              </w:rPr>
            </w:pPr>
            <w:r w:rsidRPr="00982466">
              <w:rPr>
                <w:sz w:val="20"/>
              </w:rPr>
              <w:t>566380-10ML</w:t>
            </w:r>
          </w:p>
        </w:tc>
      </w:tr>
      <w:tr w:rsidR="00982466" w:rsidRPr="00982466" w14:paraId="0328180B"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161BEC1" w14:textId="77777777" w:rsidR="00982466" w:rsidRPr="00982466" w:rsidRDefault="00982466" w:rsidP="00982466">
            <w:pPr>
              <w:jc w:val="center"/>
              <w:rPr>
                <w:sz w:val="20"/>
              </w:rPr>
            </w:pPr>
            <w:r w:rsidRPr="00982466">
              <w:rPr>
                <w:sz w:val="20"/>
              </w:rPr>
              <w:t>Peroxidazed 1</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DDFE01C" w14:textId="77777777" w:rsidR="00982466" w:rsidRPr="00982466" w:rsidRDefault="00982466" w:rsidP="00982466">
            <w:pPr>
              <w:jc w:val="center"/>
              <w:rPr>
                <w:sz w:val="20"/>
              </w:rPr>
            </w:pPr>
            <w:r w:rsidRPr="00982466">
              <w:rPr>
                <w:sz w:val="20"/>
              </w:rPr>
              <w:t>Biocare Medical</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0A55E87" w14:textId="77777777" w:rsidR="00982466" w:rsidRPr="00982466" w:rsidRDefault="00982466" w:rsidP="00982466">
            <w:pPr>
              <w:jc w:val="center"/>
              <w:rPr>
                <w:sz w:val="20"/>
              </w:rPr>
            </w:pPr>
            <w:r w:rsidRPr="00982466">
              <w:rPr>
                <w:sz w:val="20"/>
              </w:rPr>
              <w:t>PX968MM</w:t>
            </w:r>
          </w:p>
        </w:tc>
      </w:tr>
      <w:tr w:rsidR="00982466" w:rsidRPr="00982466" w14:paraId="5A6894EB"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42F1DE9" w14:textId="77777777" w:rsidR="00982466" w:rsidRPr="00982466" w:rsidRDefault="00982466" w:rsidP="00982466">
            <w:pPr>
              <w:jc w:val="center"/>
              <w:rPr>
                <w:sz w:val="20"/>
              </w:rPr>
            </w:pPr>
            <w:r w:rsidRPr="00982466">
              <w:rPr>
                <w:sz w:val="20"/>
              </w:rPr>
              <w:t>Hoechst 33258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E9B4B2B" w14:textId="77777777" w:rsidR="00982466" w:rsidRPr="00982466" w:rsidRDefault="00982466" w:rsidP="00982466">
            <w:pPr>
              <w:jc w:val="center"/>
              <w:rPr>
                <w:sz w:val="20"/>
              </w:rPr>
            </w:pPr>
            <w:r w:rsidRPr="00982466">
              <w:rPr>
                <w:sz w:val="20"/>
              </w:rPr>
              <w:t>PromoKine</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69F5ABA" w14:textId="77777777" w:rsidR="00982466" w:rsidRPr="00982466" w:rsidRDefault="00982466" w:rsidP="00982466">
            <w:pPr>
              <w:jc w:val="center"/>
              <w:rPr>
                <w:sz w:val="20"/>
              </w:rPr>
            </w:pPr>
            <w:r w:rsidRPr="00982466">
              <w:rPr>
                <w:sz w:val="20"/>
              </w:rPr>
              <w:t>PK-CA707Go-40044</w:t>
            </w:r>
          </w:p>
        </w:tc>
      </w:tr>
      <w:tr w:rsidR="00982466" w:rsidRPr="00982466" w14:paraId="47C9A10C"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925E53E" w14:textId="77777777" w:rsidR="00982466" w:rsidRPr="00982466" w:rsidRDefault="00982466" w:rsidP="00982466">
            <w:pPr>
              <w:jc w:val="center"/>
              <w:rPr>
                <w:sz w:val="20"/>
              </w:rPr>
            </w:pPr>
            <w:r w:rsidRPr="00982466">
              <w:rPr>
                <w:sz w:val="20"/>
              </w:rPr>
              <w:t>Isolectin B4-FITC</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DD86E9D" w14:textId="77777777" w:rsidR="00982466" w:rsidRPr="00982466" w:rsidRDefault="00982466" w:rsidP="00982466">
            <w:pPr>
              <w:jc w:val="center"/>
              <w:rPr>
                <w:sz w:val="20"/>
              </w:rPr>
            </w:pPr>
            <w:r w:rsidRPr="00982466">
              <w:rPr>
                <w:sz w:val="20"/>
              </w:rPr>
              <w:t>Enzo</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31856E0" w14:textId="77777777" w:rsidR="00982466" w:rsidRPr="00982466" w:rsidRDefault="00982466" w:rsidP="00982466">
            <w:pPr>
              <w:jc w:val="center"/>
              <w:rPr>
                <w:sz w:val="20"/>
              </w:rPr>
            </w:pPr>
            <w:r w:rsidRPr="00982466">
              <w:rPr>
                <w:sz w:val="20"/>
              </w:rPr>
              <w:t>ALX-650-001F-MC05</w:t>
            </w:r>
          </w:p>
        </w:tc>
      </w:tr>
      <w:tr w:rsidR="00982466" w:rsidRPr="00982466" w14:paraId="76F0E274"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D3422C0" w14:textId="77777777" w:rsidR="00982466" w:rsidRPr="00982466" w:rsidRDefault="00982466" w:rsidP="00982466">
            <w:pPr>
              <w:jc w:val="center"/>
              <w:rPr>
                <w:sz w:val="20"/>
              </w:rPr>
            </w:pPr>
            <w:r w:rsidRPr="00982466">
              <w:rPr>
                <w:sz w:val="20"/>
              </w:rPr>
              <w:t>DBA-biotin</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425EDF9" w14:textId="77777777" w:rsidR="00982466" w:rsidRPr="00982466" w:rsidRDefault="00982466" w:rsidP="00982466">
            <w:pPr>
              <w:jc w:val="center"/>
              <w:rPr>
                <w:sz w:val="20"/>
              </w:rPr>
            </w:pPr>
            <w:r w:rsidRPr="00982466">
              <w:rPr>
                <w:sz w:val="20"/>
              </w:rPr>
              <w:t>Vector Labs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E275B92" w14:textId="77777777" w:rsidR="00982466" w:rsidRPr="00982466" w:rsidRDefault="00982466" w:rsidP="00982466">
            <w:pPr>
              <w:jc w:val="center"/>
              <w:rPr>
                <w:sz w:val="20"/>
              </w:rPr>
            </w:pPr>
            <w:r w:rsidRPr="00982466">
              <w:rPr>
                <w:sz w:val="20"/>
              </w:rPr>
              <w:t>B-1035</w:t>
            </w:r>
          </w:p>
        </w:tc>
      </w:tr>
      <w:tr w:rsidR="00982466" w:rsidRPr="00982466" w14:paraId="50695183"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22C6412" w14:textId="77777777" w:rsidR="00982466" w:rsidRPr="00982466" w:rsidRDefault="00982466" w:rsidP="00982466">
            <w:pPr>
              <w:jc w:val="center"/>
              <w:rPr>
                <w:sz w:val="20"/>
              </w:rPr>
            </w:pPr>
            <w:r w:rsidRPr="00982466">
              <w:rPr>
                <w:sz w:val="20"/>
              </w:rPr>
              <w:t>Chicken anti-Neu5GC</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C07B79E" w14:textId="77777777" w:rsidR="00982466" w:rsidRPr="00982466" w:rsidRDefault="00982466" w:rsidP="00982466">
            <w:pPr>
              <w:jc w:val="center"/>
              <w:rPr>
                <w:sz w:val="20"/>
              </w:rPr>
            </w:pPr>
            <w:r w:rsidRPr="00982466">
              <w:rPr>
                <w:sz w:val="20"/>
              </w:rPr>
              <w:t>BioLegend</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F1C0143" w14:textId="77777777" w:rsidR="00982466" w:rsidRPr="00982466" w:rsidRDefault="00982466" w:rsidP="00982466">
            <w:pPr>
              <w:jc w:val="center"/>
              <w:rPr>
                <w:sz w:val="20"/>
              </w:rPr>
            </w:pPr>
            <w:r w:rsidRPr="00982466">
              <w:rPr>
                <w:sz w:val="20"/>
              </w:rPr>
              <w:t>146903</w:t>
            </w:r>
          </w:p>
        </w:tc>
      </w:tr>
      <w:tr w:rsidR="00982466" w:rsidRPr="00982466" w14:paraId="51364D90"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368F730" w14:textId="77777777" w:rsidR="00982466" w:rsidRPr="00982466" w:rsidRDefault="00982466" w:rsidP="00982466">
            <w:pPr>
              <w:jc w:val="center"/>
              <w:rPr>
                <w:sz w:val="20"/>
              </w:rPr>
            </w:pPr>
            <w:r w:rsidRPr="00982466">
              <w:rPr>
                <w:sz w:val="20"/>
              </w:rPr>
              <w:t>Goat anti-Chicken Alexa Fluor 647</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CDFDC28" w14:textId="77777777" w:rsidR="00982466" w:rsidRPr="00982466" w:rsidRDefault="00982466" w:rsidP="00982466">
            <w:pPr>
              <w:jc w:val="center"/>
              <w:rPr>
                <w:sz w:val="20"/>
              </w:rPr>
            </w:pPr>
            <w:r w:rsidRPr="00982466">
              <w:rPr>
                <w:sz w:val="20"/>
              </w:rPr>
              <w:t>ThermoFisher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30DBDC7" w14:textId="77777777" w:rsidR="00982466" w:rsidRPr="00982466" w:rsidRDefault="00982466" w:rsidP="00982466">
            <w:pPr>
              <w:jc w:val="center"/>
              <w:rPr>
                <w:sz w:val="20"/>
              </w:rPr>
            </w:pPr>
            <w:r w:rsidRPr="00982466">
              <w:rPr>
                <w:sz w:val="20"/>
              </w:rPr>
              <w:t>A21449</w:t>
            </w:r>
          </w:p>
        </w:tc>
      </w:tr>
      <w:tr w:rsidR="00982466" w:rsidRPr="00982466" w14:paraId="11BB8531"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B4A7816" w14:textId="77777777" w:rsidR="00982466" w:rsidRPr="00982466" w:rsidRDefault="00982466" w:rsidP="00982466">
            <w:pPr>
              <w:jc w:val="center"/>
              <w:rPr>
                <w:sz w:val="20"/>
              </w:rPr>
            </w:pPr>
            <w:r w:rsidRPr="00982466">
              <w:rPr>
                <w:sz w:val="20"/>
              </w:rPr>
              <w:t>Streptavidin, Alexa Fluor568</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2EDB79C" w14:textId="77777777" w:rsidR="00982466" w:rsidRPr="00982466" w:rsidRDefault="00982466" w:rsidP="00982466">
            <w:pPr>
              <w:jc w:val="center"/>
              <w:rPr>
                <w:sz w:val="20"/>
              </w:rPr>
            </w:pPr>
            <w:r w:rsidRPr="00982466">
              <w:rPr>
                <w:sz w:val="20"/>
              </w:rPr>
              <w:t>ThermoFisher</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54A9D0C9" w14:textId="77777777" w:rsidR="00982466" w:rsidRPr="00982466" w:rsidRDefault="00982466" w:rsidP="00982466">
            <w:pPr>
              <w:jc w:val="center"/>
              <w:rPr>
                <w:sz w:val="20"/>
              </w:rPr>
            </w:pPr>
            <w:r w:rsidRPr="00982466">
              <w:rPr>
                <w:sz w:val="20"/>
              </w:rPr>
              <w:t>S11226</w:t>
            </w:r>
          </w:p>
        </w:tc>
      </w:tr>
      <w:tr w:rsidR="00982466" w:rsidRPr="00982466" w14:paraId="7336553A"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1F157EE" w14:textId="77777777" w:rsidR="00982466" w:rsidRPr="00982466" w:rsidRDefault="00982466" w:rsidP="00982466">
            <w:pPr>
              <w:jc w:val="center"/>
              <w:rPr>
                <w:sz w:val="20"/>
              </w:rPr>
            </w:pPr>
            <w:r w:rsidRPr="00982466">
              <w:rPr>
                <w:sz w:val="20"/>
              </w:rPr>
              <w:t>EDTA buffer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2C728F8" w14:textId="77777777" w:rsidR="00982466" w:rsidRPr="00982466" w:rsidRDefault="00982466" w:rsidP="00982466">
            <w:pPr>
              <w:jc w:val="center"/>
              <w:rPr>
                <w:sz w:val="20"/>
              </w:rPr>
            </w:pPr>
            <w:r w:rsidRPr="00982466">
              <w:rPr>
                <w:sz w:val="20"/>
              </w:rPr>
              <w:t>Thermo Scientific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D7B6DF7" w14:textId="77777777" w:rsidR="00982466" w:rsidRPr="00982466" w:rsidRDefault="00982466" w:rsidP="00982466">
            <w:pPr>
              <w:jc w:val="center"/>
              <w:rPr>
                <w:sz w:val="20"/>
              </w:rPr>
            </w:pPr>
            <w:r w:rsidRPr="00982466">
              <w:rPr>
                <w:sz w:val="20"/>
              </w:rPr>
              <w:t>AP-9004-500</w:t>
            </w:r>
          </w:p>
        </w:tc>
      </w:tr>
      <w:tr w:rsidR="00982466" w:rsidRPr="00982466" w14:paraId="53ADA8F0"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6708145" w14:textId="77777777" w:rsidR="00982466" w:rsidRPr="00982466" w:rsidRDefault="00982466" w:rsidP="00982466">
            <w:pPr>
              <w:jc w:val="center"/>
              <w:rPr>
                <w:sz w:val="20"/>
              </w:rPr>
            </w:pPr>
            <w:r w:rsidRPr="00982466">
              <w:rPr>
                <w:sz w:val="20"/>
              </w:rPr>
              <w:t>Citrate buffer</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51BD676" w14:textId="77777777" w:rsidR="00982466" w:rsidRPr="00982466" w:rsidRDefault="00982466" w:rsidP="00982466">
            <w:pPr>
              <w:jc w:val="center"/>
              <w:rPr>
                <w:sz w:val="20"/>
              </w:rPr>
            </w:pPr>
            <w:r w:rsidRPr="00982466">
              <w:rPr>
                <w:sz w:val="20"/>
              </w:rPr>
              <w:t>Thermo Scientific</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7FF2EA8" w14:textId="77777777" w:rsidR="00982466" w:rsidRPr="00982466" w:rsidRDefault="00982466" w:rsidP="00982466">
            <w:pPr>
              <w:jc w:val="center"/>
              <w:rPr>
                <w:sz w:val="20"/>
              </w:rPr>
            </w:pPr>
            <w:r w:rsidRPr="00982466">
              <w:rPr>
                <w:sz w:val="20"/>
              </w:rPr>
              <w:t>AP-9003-500</w:t>
            </w:r>
          </w:p>
        </w:tc>
      </w:tr>
      <w:tr w:rsidR="00982466" w:rsidRPr="00982466" w14:paraId="686971C0" w14:textId="77777777" w:rsidTr="008177A2">
        <w:trPr>
          <w:trHeight w:val="245"/>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836EB16" w14:textId="77777777" w:rsidR="00982466" w:rsidRPr="00982466" w:rsidRDefault="00982466" w:rsidP="00982466">
            <w:pPr>
              <w:jc w:val="center"/>
              <w:rPr>
                <w:sz w:val="20"/>
              </w:rPr>
            </w:pPr>
            <w:r w:rsidRPr="00982466">
              <w:rPr>
                <w:sz w:val="20"/>
              </w:rPr>
              <w:t>ProLong Glass Antifade Mountant</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DE5740B" w14:textId="77777777" w:rsidR="00982466" w:rsidRPr="00982466" w:rsidRDefault="00982466" w:rsidP="00982466">
            <w:pPr>
              <w:jc w:val="center"/>
              <w:rPr>
                <w:sz w:val="20"/>
              </w:rPr>
            </w:pPr>
            <w:r w:rsidRPr="00982466">
              <w:rPr>
                <w:sz w:val="20"/>
              </w:rPr>
              <w:t>Invitrogen</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6A1CE05" w14:textId="77777777" w:rsidR="00982466" w:rsidRPr="00982466" w:rsidRDefault="00982466" w:rsidP="00982466">
            <w:pPr>
              <w:jc w:val="center"/>
              <w:rPr>
                <w:sz w:val="20"/>
              </w:rPr>
            </w:pPr>
            <w:r w:rsidRPr="00982466">
              <w:rPr>
                <w:sz w:val="20"/>
              </w:rPr>
              <w:t>P36984</w:t>
            </w:r>
          </w:p>
        </w:tc>
      </w:tr>
      <w:tr w:rsidR="00982466" w:rsidRPr="00982466" w14:paraId="0CEC9D30" w14:textId="77777777" w:rsidTr="008177A2">
        <w:trPr>
          <w:trHeight w:val="64"/>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03DCE15" w14:textId="77777777" w:rsidR="00982466" w:rsidRPr="00982466" w:rsidRDefault="00982466" w:rsidP="00982466">
            <w:pPr>
              <w:jc w:val="center"/>
              <w:rPr>
                <w:sz w:val="20"/>
              </w:rPr>
            </w:pPr>
            <w:r w:rsidRPr="00982466">
              <w:rPr>
                <w:sz w:val="20"/>
              </w:rPr>
              <w:t>Cy-5 Reagent pack</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4E17D4B8" w14:textId="77777777" w:rsidR="00982466" w:rsidRPr="00982466" w:rsidRDefault="00982466" w:rsidP="00982466">
            <w:pPr>
              <w:jc w:val="center"/>
              <w:rPr>
                <w:sz w:val="20"/>
              </w:rPr>
            </w:pPr>
            <w:r w:rsidRPr="00982466">
              <w:rPr>
                <w:sz w:val="20"/>
              </w:rPr>
              <w:t>Akoya Biosciences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03486F90" w14:textId="77777777" w:rsidR="00982466" w:rsidRPr="00982466" w:rsidRDefault="00982466" w:rsidP="00982466">
            <w:pPr>
              <w:jc w:val="center"/>
              <w:rPr>
                <w:sz w:val="20"/>
              </w:rPr>
            </w:pPr>
            <w:r w:rsidRPr="00982466">
              <w:rPr>
                <w:sz w:val="20"/>
              </w:rPr>
              <w:t>TF-00103</w:t>
            </w:r>
            <w:r w:rsidRPr="00982466">
              <w:rPr>
                <w:rFonts w:ascii="Montserrat" w:eastAsia="Montserrat" w:hAnsi="Montserrat" w:cs="Montserrat"/>
                <w:color w:val="676767"/>
                <w:sz w:val="20"/>
              </w:rPr>
              <w:t xml:space="preserve"> </w:t>
            </w:r>
          </w:p>
        </w:tc>
      </w:tr>
      <w:tr w:rsidR="00982466" w:rsidRPr="00982466" w14:paraId="12CDBA69" w14:textId="77777777" w:rsidTr="008177A2">
        <w:trPr>
          <w:trHeight w:val="64"/>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C5704EB" w14:textId="77777777" w:rsidR="00982466" w:rsidRPr="00982466" w:rsidRDefault="00982466" w:rsidP="00982466">
            <w:pPr>
              <w:jc w:val="center"/>
              <w:rPr>
                <w:sz w:val="20"/>
              </w:rPr>
            </w:pPr>
            <w:r w:rsidRPr="00982466">
              <w:rPr>
                <w:sz w:val="20"/>
              </w:rPr>
              <w:t>OPAL Polymer HRP Ms+ Rb</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1648AF8" w14:textId="77777777" w:rsidR="00982466" w:rsidRPr="00982466" w:rsidRDefault="00982466" w:rsidP="00982466">
            <w:pPr>
              <w:jc w:val="center"/>
              <w:rPr>
                <w:sz w:val="20"/>
              </w:rPr>
            </w:pPr>
            <w:r w:rsidRPr="00982466">
              <w:rPr>
                <w:sz w:val="20"/>
              </w:rPr>
              <w:t>Akoya Biosciences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69343477" w14:textId="77777777" w:rsidR="00982466" w:rsidRPr="00982466" w:rsidRDefault="00982466" w:rsidP="00982466">
            <w:pPr>
              <w:jc w:val="center"/>
              <w:rPr>
                <w:sz w:val="20"/>
              </w:rPr>
            </w:pPr>
            <w:r w:rsidRPr="00982466">
              <w:rPr>
                <w:sz w:val="20"/>
              </w:rPr>
              <w:t>ARH1001EA</w:t>
            </w:r>
          </w:p>
        </w:tc>
      </w:tr>
      <w:tr w:rsidR="00982466" w:rsidRPr="00982466" w14:paraId="63750ADB" w14:textId="77777777" w:rsidTr="008177A2">
        <w:trPr>
          <w:trHeight w:val="64"/>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79750750" w14:textId="77777777" w:rsidR="00982466" w:rsidRPr="00982466" w:rsidRDefault="00982466" w:rsidP="00982466">
            <w:pPr>
              <w:jc w:val="center"/>
              <w:rPr>
                <w:sz w:val="20"/>
              </w:rPr>
            </w:pPr>
            <w:r w:rsidRPr="00982466">
              <w:rPr>
                <w:sz w:val="20"/>
              </w:rPr>
              <w:t>OPAL 520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9A6789C" w14:textId="77777777" w:rsidR="00982466" w:rsidRPr="00982466" w:rsidRDefault="00982466" w:rsidP="00982466">
            <w:pPr>
              <w:jc w:val="center"/>
              <w:rPr>
                <w:sz w:val="20"/>
              </w:rPr>
            </w:pPr>
            <w:r w:rsidRPr="00982466">
              <w:rPr>
                <w:sz w:val="20"/>
              </w:rPr>
              <w:t>Akoya Biosciences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226DA58E" w14:textId="77777777" w:rsidR="00982466" w:rsidRPr="00982466" w:rsidRDefault="00982466" w:rsidP="00982466">
            <w:pPr>
              <w:jc w:val="center"/>
              <w:rPr>
                <w:sz w:val="20"/>
              </w:rPr>
            </w:pPr>
            <w:r w:rsidRPr="00982466">
              <w:rPr>
                <w:sz w:val="20"/>
              </w:rPr>
              <w:t>FP1487001KT</w:t>
            </w:r>
          </w:p>
        </w:tc>
      </w:tr>
      <w:tr w:rsidR="00982466" w:rsidRPr="00982466" w14:paraId="0BFD3C6C" w14:textId="77777777" w:rsidTr="008177A2">
        <w:trPr>
          <w:trHeight w:val="64"/>
        </w:trPr>
        <w:tc>
          <w:tcPr>
            <w:tcW w:w="3145"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1C2E5E55" w14:textId="77777777" w:rsidR="00982466" w:rsidRPr="00982466" w:rsidRDefault="00982466" w:rsidP="00982466">
            <w:pPr>
              <w:jc w:val="center"/>
              <w:rPr>
                <w:sz w:val="20"/>
              </w:rPr>
            </w:pPr>
            <w:r w:rsidRPr="00982466">
              <w:rPr>
                <w:sz w:val="20"/>
              </w:rPr>
              <w:t>OPAL 690</w:t>
            </w:r>
          </w:p>
        </w:tc>
        <w:tc>
          <w:tcPr>
            <w:tcW w:w="216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9E5B680" w14:textId="77777777" w:rsidR="00982466" w:rsidRPr="00982466" w:rsidRDefault="00982466" w:rsidP="00982466">
            <w:pPr>
              <w:jc w:val="center"/>
              <w:rPr>
                <w:sz w:val="20"/>
              </w:rPr>
            </w:pPr>
            <w:r w:rsidRPr="00982466">
              <w:rPr>
                <w:sz w:val="20"/>
              </w:rPr>
              <w:t>Akoya Biosciences</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7" w:type="dxa"/>
              <w:left w:w="7" w:type="dxa"/>
              <w:bottom w:w="0" w:type="dxa"/>
              <w:right w:w="7" w:type="dxa"/>
            </w:tcMar>
            <w:vAlign w:val="center"/>
            <w:hideMark/>
          </w:tcPr>
          <w:p w14:paraId="3C971B40" w14:textId="77777777" w:rsidR="00982466" w:rsidRPr="00982466" w:rsidRDefault="00982466" w:rsidP="00982466">
            <w:pPr>
              <w:jc w:val="center"/>
              <w:rPr>
                <w:sz w:val="20"/>
              </w:rPr>
            </w:pPr>
            <w:r w:rsidRPr="00982466">
              <w:rPr>
                <w:sz w:val="20"/>
              </w:rPr>
              <w:t>FP1497001KT</w:t>
            </w:r>
          </w:p>
        </w:tc>
      </w:tr>
    </w:tbl>
    <w:p w14:paraId="0D03AA5E" w14:textId="77777777" w:rsidR="00982466" w:rsidRPr="00982466" w:rsidRDefault="00982466" w:rsidP="00982466">
      <w:pPr>
        <w:rPr>
          <w:sz w:val="20"/>
        </w:rPr>
      </w:pPr>
    </w:p>
    <w:p w14:paraId="60AB954A" w14:textId="77777777" w:rsidR="00982466" w:rsidRPr="00982466" w:rsidRDefault="00982466" w:rsidP="00982466">
      <w:pPr>
        <w:rPr>
          <w:rFonts w:eastAsia="MS Mincho"/>
        </w:rPr>
      </w:pPr>
      <w:r w:rsidRPr="00982466">
        <w:rPr>
          <w:rFonts w:eastAsia="MS Mincho"/>
        </w:rPr>
        <w:br w:type="page"/>
      </w:r>
    </w:p>
    <w:p w14:paraId="318B1A1D" w14:textId="77777777" w:rsidR="00982466" w:rsidRPr="00982466" w:rsidRDefault="00982466" w:rsidP="00982466">
      <w:pPr>
        <w:rPr>
          <w:rFonts w:ascii="Helvetica" w:eastAsia="Calibri" w:hAnsi="Helvetica"/>
          <w:kern w:val="2"/>
          <w:sz w:val="22"/>
          <w:szCs w:val="22"/>
          <w14:ligatures w14:val="standardContextual"/>
        </w:rPr>
      </w:pPr>
      <w:r w:rsidRPr="00982466">
        <w:rPr>
          <w:rFonts w:ascii="Helvetica" w:eastAsia="Calibri" w:hAnsi="Helvetica"/>
          <w:b/>
          <w:bCs/>
          <w:kern w:val="2"/>
          <w:sz w:val="22"/>
          <w:szCs w:val="22"/>
          <w14:ligatures w14:val="standardContextual"/>
        </w:rPr>
        <w:lastRenderedPageBreak/>
        <w:t>Supplementary Table 6:</w:t>
      </w:r>
      <w:r w:rsidRPr="00982466">
        <w:rPr>
          <w:rFonts w:ascii="Helvetica" w:eastAsia="Calibri" w:hAnsi="Helvetica"/>
          <w:kern w:val="2"/>
          <w:sz w:val="22"/>
          <w:szCs w:val="22"/>
          <w14:ligatures w14:val="standardContextual"/>
        </w:rPr>
        <w:t xml:space="preserve"> Rejection Phenotyping in Xenotransplantation Context</w:t>
      </w: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8"/>
        <w:gridCol w:w="1039"/>
        <w:gridCol w:w="1039"/>
        <w:gridCol w:w="1039"/>
        <w:gridCol w:w="1039"/>
        <w:gridCol w:w="1039"/>
        <w:gridCol w:w="1039"/>
        <w:gridCol w:w="1039"/>
        <w:gridCol w:w="1039"/>
      </w:tblGrid>
      <w:tr w:rsidR="00982466" w:rsidRPr="00982466" w14:paraId="1BCF1B68" w14:textId="77777777" w:rsidTr="008177A2">
        <w:tc>
          <w:tcPr>
            <w:tcW w:w="1038" w:type="dxa"/>
            <w:tcBorders>
              <w:top w:val="single" w:sz="4" w:space="0" w:color="auto"/>
              <w:bottom w:val="single" w:sz="4" w:space="0" w:color="auto"/>
            </w:tcBorders>
          </w:tcPr>
          <w:p w14:paraId="4075A965" w14:textId="77777777" w:rsidR="00982466" w:rsidRPr="00982466" w:rsidRDefault="00982466" w:rsidP="00982466">
            <w:pPr>
              <w:rPr>
                <w:rFonts w:ascii="Helvetica" w:eastAsia="Calibri" w:hAnsi="Helvetica"/>
                <w:sz w:val="20"/>
              </w:rPr>
            </w:pPr>
          </w:p>
        </w:tc>
        <w:tc>
          <w:tcPr>
            <w:tcW w:w="1039" w:type="dxa"/>
            <w:tcBorders>
              <w:top w:val="single" w:sz="4" w:space="0" w:color="auto"/>
              <w:bottom w:val="single" w:sz="4" w:space="0" w:color="auto"/>
            </w:tcBorders>
          </w:tcPr>
          <w:p w14:paraId="7CF05FE1" w14:textId="77777777" w:rsidR="00982466" w:rsidRPr="00982466" w:rsidRDefault="00982466" w:rsidP="00982466">
            <w:pPr>
              <w:rPr>
                <w:rFonts w:ascii="Helvetica" w:eastAsia="Calibri" w:hAnsi="Helvetica"/>
                <w:sz w:val="20"/>
              </w:rPr>
            </w:pPr>
            <w:r w:rsidRPr="00982466">
              <w:rPr>
                <w:rFonts w:ascii="Helvetica" w:eastAsia="Calibri" w:hAnsi="Helvetica"/>
                <w:sz w:val="20"/>
              </w:rPr>
              <w:t>aAMR</w:t>
            </w:r>
          </w:p>
        </w:tc>
        <w:tc>
          <w:tcPr>
            <w:tcW w:w="1039" w:type="dxa"/>
            <w:tcBorders>
              <w:top w:val="single" w:sz="4" w:space="0" w:color="auto"/>
              <w:bottom w:val="single" w:sz="4" w:space="0" w:color="auto"/>
            </w:tcBorders>
          </w:tcPr>
          <w:p w14:paraId="2C9B32ED" w14:textId="77777777" w:rsidR="00982466" w:rsidRPr="00982466" w:rsidRDefault="00982466" w:rsidP="00982466">
            <w:pPr>
              <w:rPr>
                <w:rFonts w:ascii="Helvetica" w:eastAsia="Calibri" w:hAnsi="Helvetica"/>
                <w:sz w:val="20"/>
              </w:rPr>
            </w:pPr>
            <w:r w:rsidRPr="00982466">
              <w:rPr>
                <w:rFonts w:ascii="Helvetica" w:eastAsia="Calibri" w:hAnsi="Helvetica"/>
                <w:sz w:val="20"/>
              </w:rPr>
              <w:t>aAMR*</w:t>
            </w:r>
          </w:p>
        </w:tc>
        <w:tc>
          <w:tcPr>
            <w:tcW w:w="1039" w:type="dxa"/>
            <w:tcBorders>
              <w:top w:val="single" w:sz="4" w:space="0" w:color="auto"/>
              <w:bottom w:val="single" w:sz="4" w:space="0" w:color="auto"/>
            </w:tcBorders>
          </w:tcPr>
          <w:p w14:paraId="58FD6F0F" w14:textId="77777777" w:rsidR="00982466" w:rsidRPr="00982466" w:rsidRDefault="00982466" w:rsidP="00982466">
            <w:pPr>
              <w:rPr>
                <w:rFonts w:ascii="Helvetica" w:eastAsia="Calibri" w:hAnsi="Helvetica"/>
                <w:sz w:val="20"/>
              </w:rPr>
            </w:pPr>
            <w:r w:rsidRPr="00982466">
              <w:rPr>
                <w:rFonts w:ascii="Helvetica" w:eastAsia="Calibri" w:hAnsi="Helvetica"/>
                <w:sz w:val="20"/>
              </w:rPr>
              <w:t>cAMR</w:t>
            </w:r>
          </w:p>
        </w:tc>
        <w:tc>
          <w:tcPr>
            <w:tcW w:w="1039" w:type="dxa"/>
            <w:tcBorders>
              <w:top w:val="single" w:sz="4" w:space="0" w:color="auto"/>
              <w:bottom w:val="single" w:sz="4" w:space="0" w:color="auto"/>
            </w:tcBorders>
          </w:tcPr>
          <w:p w14:paraId="0D9A7ECD" w14:textId="77777777" w:rsidR="00982466" w:rsidRPr="00982466" w:rsidRDefault="00982466" w:rsidP="00982466">
            <w:pPr>
              <w:rPr>
                <w:rFonts w:ascii="Helvetica" w:eastAsia="Calibri" w:hAnsi="Helvetica"/>
                <w:sz w:val="20"/>
              </w:rPr>
            </w:pPr>
            <w:r w:rsidRPr="00982466">
              <w:rPr>
                <w:rFonts w:ascii="Helvetica" w:eastAsia="Calibri" w:hAnsi="Helvetica"/>
                <w:sz w:val="20"/>
              </w:rPr>
              <w:t>cAMR*</w:t>
            </w:r>
          </w:p>
        </w:tc>
        <w:tc>
          <w:tcPr>
            <w:tcW w:w="1039" w:type="dxa"/>
            <w:tcBorders>
              <w:top w:val="single" w:sz="4" w:space="0" w:color="auto"/>
              <w:bottom w:val="single" w:sz="4" w:space="0" w:color="auto"/>
            </w:tcBorders>
          </w:tcPr>
          <w:p w14:paraId="7AFF249C" w14:textId="77777777" w:rsidR="00982466" w:rsidRPr="00982466" w:rsidRDefault="00982466" w:rsidP="00982466">
            <w:pPr>
              <w:rPr>
                <w:rFonts w:ascii="Helvetica" w:eastAsia="Calibri" w:hAnsi="Helvetica"/>
                <w:sz w:val="20"/>
              </w:rPr>
            </w:pPr>
            <w:r w:rsidRPr="00982466">
              <w:rPr>
                <w:rFonts w:ascii="Helvetica" w:eastAsia="Calibri" w:hAnsi="Helvetica"/>
                <w:sz w:val="20"/>
              </w:rPr>
              <w:t>ACC</w:t>
            </w:r>
          </w:p>
        </w:tc>
        <w:tc>
          <w:tcPr>
            <w:tcW w:w="1039" w:type="dxa"/>
            <w:tcBorders>
              <w:top w:val="single" w:sz="4" w:space="0" w:color="auto"/>
              <w:bottom w:val="single" w:sz="4" w:space="0" w:color="auto"/>
            </w:tcBorders>
          </w:tcPr>
          <w:p w14:paraId="292C5FF9" w14:textId="77777777" w:rsidR="00982466" w:rsidRPr="00982466" w:rsidRDefault="00982466" w:rsidP="00982466">
            <w:pPr>
              <w:rPr>
                <w:rFonts w:ascii="Helvetica" w:eastAsia="Calibri" w:hAnsi="Helvetica"/>
                <w:sz w:val="20"/>
              </w:rPr>
            </w:pPr>
            <w:r w:rsidRPr="00982466">
              <w:rPr>
                <w:rFonts w:ascii="Helvetica" w:eastAsia="Calibri" w:hAnsi="Helvetica"/>
                <w:sz w:val="20"/>
              </w:rPr>
              <w:t>NoR</w:t>
            </w:r>
          </w:p>
        </w:tc>
        <w:tc>
          <w:tcPr>
            <w:tcW w:w="1039" w:type="dxa"/>
            <w:tcBorders>
              <w:top w:val="single" w:sz="4" w:space="0" w:color="auto"/>
              <w:bottom w:val="single" w:sz="4" w:space="0" w:color="auto"/>
            </w:tcBorders>
          </w:tcPr>
          <w:p w14:paraId="266A8B21" w14:textId="77777777" w:rsidR="00982466" w:rsidRPr="00982466" w:rsidRDefault="00982466" w:rsidP="00982466">
            <w:pPr>
              <w:rPr>
                <w:rFonts w:ascii="Helvetica" w:eastAsia="Calibri" w:hAnsi="Helvetica"/>
                <w:sz w:val="20"/>
              </w:rPr>
            </w:pPr>
            <w:r w:rsidRPr="00982466">
              <w:rPr>
                <w:rFonts w:ascii="Helvetica" w:eastAsia="Calibri" w:hAnsi="Helvetica"/>
                <w:sz w:val="20"/>
              </w:rPr>
              <w:t>aTMA</w:t>
            </w:r>
          </w:p>
        </w:tc>
        <w:tc>
          <w:tcPr>
            <w:tcW w:w="1039" w:type="dxa"/>
            <w:tcBorders>
              <w:top w:val="single" w:sz="4" w:space="0" w:color="auto"/>
              <w:bottom w:val="single" w:sz="4" w:space="0" w:color="auto"/>
            </w:tcBorders>
          </w:tcPr>
          <w:p w14:paraId="60684941" w14:textId="77777777" w:rsidR="00982466" w:rsidRPr="00982466" w:rsidRDefault="00982466" w:rsidP="00982466">
            <w:pPr>
              <w:rPr>
                <w:rFonts w:ascii="Helvetica" w:eastAsia="Calibri" w:hAnsi="Helvetica"/>
                <w:sz w:val="20"/>
              </w:rPr>
            </w:pPr>
            <w:r w:rsidRPr="00982466">
              <w:rPr>
                <w:rFonts w:ascii="Helvetica" w:eastAsia="Calibri" w:hAnsi="Helvetica"/>
                <w:sz w:val="20"/>
              </w:rPr>
              <w:t>cTMA</w:t>
            </w:r>
          </w:p>
        </w:tc>
      </w:tr>
      <w:tr w:rsidR="00982466" w:rsidRPr="00982466" w14:paraId="5DA608E6" w14:textId="77777777" w:rsidTr="008177A2">
        <w:tc>
          <w:tcPr>
            <w:tcW w:w="1038" w:type="dxa"/>
            <w:tcBorders>
              <w:top w:val="single" w:sz="4" w:space="0" w:color="auto"/>
            </w:tcBorders>
          </w:tcPr>
          <w:p w14:paraId="735B219F" w14:textId="77777777" w:rsidR="00982466" w:rsidRPr="00982466" w:rsidRDefault="00982466" w:rsidP="00982466">
            <w:pPr>
              <w:rPr>
                <w:rFonts w:ascii="Helvetica" w:eastAsia="Calibri" w:hAnsi="Helvetica"/>
                <w:sz w:val="20"/>
              </w:rPr>
            </w:pPr>
            <w:r w:rsidRPr="00982466">
              <w:rPr>
                <w:rFonts w:ascii="Helvetica" w:eastAsia="Calibri" w:hAnsi="Helvetica"/>
                <w:sz w:val="20"/>
              </w:rPr>
              <w:t>mvi (g+ptc)</w:t>
            </w:r>
          </w:p>
        </w:tc>
        <w:tc>
          <w:tcPr>
            <w:tcW w:w="1039" w:type="dxa"/>
            <w:tcBorders>
              <w:top w:val="single" w:sz="4" w:space="0" w:color="auto"/>
            </w:tcBorders>
          </w:tcPr>
          <w:p w14:paraId="0A25BD7C" w14:textId="77777777" w:rsidR="00982466" w:rsidRPr="00982466" w:rsidRDefault="00982466" w:rsidP="00982466">
            <w:pPr>
              <w:rPr>
                <w:rFonts w:ascii="Helvetica" w:eastAsia="Calibri" w:hAnsi="Helvetica"/>
                <w:sz w:val="20"/>
              </w:rPr>
            </w:pPr>
            <w:r w:rsidRPr="00982466">
              <w:rPr>
                <w:rFonts w:ascii="Helvetica" w:eastAsia="Calibri" w:hAnsi="Helvetica"/>
                <w:sz w:val="20"/>
              </w:rPr>
              <w:t>&gt;2</w:t>
            </w:r>
          </w:p>
        </w:tc>
        <w:tc>
          <w:tcPr>
            <w:tcW w:w="1039" w:type="dxa"/>
            <w:tcBorders>
              <w:top w:val="single" w:sz="4" w:space="0" w:color="auto"/>
            </w:tcBorders>
          </w:tcPr>
          <w:p w14:paraId="64E3071A" w14:textId="77777777" w:rsidR="00982466" w:rsidRPr="00982466" w:rsidRDefault="00982466" w:rsidP="00982466">
            <w:pPr>
              <w:rPr>
                <w:rFonts w:ascii="Helvetica" w:eastAsia="Calibri" w:hAnsi="Helvetica"/>
                <w:sz w:val="20"/>
              </w:rPr>
            </w:pPr>
            <w:r w:rsidRPr="00982466">
              <w:rPr>
                <w:rFonts w:ascii="Helvetica" w:eastAsia="Calibri" w:hAnsi="Helvetica"/>
                <w:sz w:val="20"/>
              </w:rPr>
              <w:t>&gt;2</w:t>
            </w:r>
          </w:p>
        </w:tc>
        <w:tc>
          <w:tcPr>
            <w:tcW w:w="1039" w:type="dxa"/>
            <w:tcBorders>
              <w:top w:val="single" w:sz="4" w:space="0" w:color="auto"/>
            </w:tcBorders>
          </w:tcPr>
          <w:p w14:paraId="74944E1A" w14:textId="77777777" w:rsidR="00982466" w:rsidRPr="00982466" w:rsidRDefault="00982466" w:rsidP="00982466">
            <w:pPr>
              <w:rPr>
                <w:rFonts w:ascii="Helvetica" w:eastAsia="Calibri" w:hAnsi="Helvetica"/>
                <w:sz w:val="20"/>
              </w:rPr>
            </w:pPr>
            <w:r w:rsidRPr="00982466">
              <w:rPr>
                <w:rFonts w:ascii="Helvetica" w:eastAsia="Calibri" w:hAnsi="Helvetica"/>
                <w:sz w:val="20"/>
              </w:rPr>
              <w:t>&gt;2</w:t>
            </w:r>
          </w:p>
        </w:tc>
        <w:tc>
          <w:tcPr>
            <w:tcW w:w="1039" w:type="dxa"/>
            <w:tcBorders>
              <w:top w:val="single" w:sz="4" w:space="0" w:color="auto"/>
            </w:tcBorders>
          </w:tcPr>
          <w:p w14:paraId="78853D98" w14:textId="77777777" w:rsidR="00982466" w:rsidRPr="00982466" w:rsidRDefault="00982466" w:rsidP="00982466">
            <w:pPr>
              <w:rPr>
                <w:rFonts w:ascii="Helvetica" w:eastAsia="Calibri" w:hAnsi="Helvetica"/>
                <w:sz w:val="20"/>
              </w:rPr>
            </w:pPr>
            <w:r w:rsidRPr="00982466">
              <w:rPr>
                <w:rFonts w:ascii="Helvetica" w:eastAsia="Calibri" w:hAnsi="Helvetica"/>
                <w:sz w:val="20"/>
              </w:rPr>
              <w:t>&gt;2</w:t>
            </w:r>
          </w:p>
        </w:tc>
        <w:tc>
          <w:tcPr>
            <w:tcW w:w="1039" w:type="dxa"/>
            <w:tcBorders>
              <w:top w:val="single" w:sz="4" w:space="0" w:color="auto"/>
            </w:tcBorders>
          </w:tcPr>
          <w:p w14:paraId="2A98DDB1" w14:textId="77777777" w:rsidR="00982466" w:rsidRPr="00982466" w:rsidRDefault="00982466" w:rsidP="00982466">
            <w:pPr>
              <w:rPr>
                <w:rFonts w:ascii="Helvetica" w:eastAsia="Calibri" w:hAnsi="Helvetica"/>
                <w:sz w:val="20"/>
              </w:rPr>
            </w:pPr>
            <m:oMath>
              <m:r>
                <w:rPr>
                  <w:rFonts w:ascii="Cambria Math" w:eastAsia="Calibri" w:hAnsi="Cambria Math"/>
                  <w:sz w:val="20"/>
                </w:rPr>
                <m:t>≤</m:t>
              </m:r>
            </m:oMath>
            <w:r w:rsidRPr="00982466">
              <w:rPr>
                <w:rFonts w:ascii="Helvetica" w:eastAsia="Calibri" w:hAnsi="Helvetica"/>
                <w:sz w:val="20"/>
              </w:rPr>
              <w:t>2</w:t>
            </w:r>
          </w:p>
        </w:tc>
        <w:tc>
          <w:tcPr>
            <w:tcW w:w="1039" w:type="dxa"/>
            <w:tcBorders>
              <w:top w:val="single" w:sz="4" w:space="0" w:color="auto"/>
            </w:tcBorders>
          </w:tcPr>
          <w:p w14:paraId="457D9150" w14:textId="77777777" w:rsidR="00982466" w:rsidRPr="00982466" w:rsidRDefault="00982466" w:rsidP="00982466">
            <w:pPr>
              <w:rPr>
                <w:rFonts w:ascii="Helvetica" w:eastAsia="Calibri" w:hAnsi="Helvetica"/>
                <w:sz w:val="20"/>
              </w:rPr>
            </w:pPr>
            <m:oMath>
              <m:r>
                <w:rPr>
                  <w:rFonts w:ascii="Cambria Math" w:eastAsia="Calibri" w:hAnsi="Cambria Math"/>
                  <w:sz w:val="20"/>
                </w:rPr>
                <m:t>≤</m:t>
              </m:r>
            </m:oMath>
            <w:r w:rsidRPr="00982466">
              <w:rPr>
                <w:rFonts w:ascii="Helvetica" w:eastAsia="Calibri" w:hAnsi="Helvetica"/>
                <w:sz w:val="20"/>
              </w:rPr>
              <w:t>2</w:t>
            </w:r>
          </w:p>
        </w:tc>
        <w:tc>
          <w:tcPr>
            <w:tcW w:w="1039" w:type="dxa"/>
            <w:tcBorders>
              <w:top w:val="single" w:sz="4" w:space="0" w:color="auto"/>
            </w:tcBorders>
          </w:tcPr>
          <w:p w14:paraId="7D3C84DF" w14:textId="77777777" w:rsidR="00982466" w:rsidRPr="00982466" w:rsidRDefault="00982466" w:rsidP="00982466">
            <w:pPr>
              <w:rPr>
                <w:rFonts w:ascii="Helvetica" w:eastAsia="Calibri" w:hAnsi="Helvetica"/>
                <w:sz w:val="20"/>
              </w:rPr>
            </w:pPr>
            <m:oMath>
              <m:r>
                <w:rPr>
                  <w:rFonts w:ascii="Cambria Math" w:eastAsia="Calibri" w:hAnsi="Cambria Math"/>
                  <w:sz w:val="20"/>
                </w:rPr>
                <m:t>≤</m:t>
              </m:r>
            </m:oMath>
            <w:r w:rsidRPr="00982466">
              <w:rPr>
                <w:rFonts w:ascii="Helvetica" w:eastAsia="Calibri" w:hAnsi="Helvetica"/>
                <w:sz w:val="20"/>
              </w:rPr>
              <w:t>2</w:t>
            </w:r>
          </w:p>
        </w:tc>
        <w:tc>
          <w:tcPr>
            <w:tcW w:w="1039" w:type="dxa"/>
            <w:tcBorders>
              <w:top w:val="single" w:sz="4" w:space="0" w:color="auto"/>
            </w:tcBorders>
          </w:tcPr>
          <w:p w14:paraId="15C264E9" w14:textId="77777777" w:rsidR="00982466" w:rsidRPr="00982466" w:rsidRDefault="00982466" w:rsidP="00982466">
            <w:pPr>
              <w:rPr>
                <w:rFonts w:ascii="Helvetica" w:eastAsia="Calibri" w:hAnsi="Helvetica"/>
                <w:sz w:val="20"/>
              </w:rPr>
            </w:pPr>
            <m:oMath>
              <m:r>
                <w:rPr>
                  <w:rFonts w:ascii="Cambria Math" w:eastAsia="Calibri" w:hAnsi="Cambria Math"/>
                  <w:sz w:val="20"/>
                </w:rPr>
                <m:t>≤</m:t>
              </m:r>
            </m:oMath>
            <w:r w:rsidRPr="00982466">
              <w:rPr>
                <w:rFonts w:ascii="Helvetica" w:eastAsia="Calibri" w:hAnsi="Helvetica"/>
                <w:sz w:val="20"/>
              </w:rPr>
              <w:t>2</w:t>
            </w:r>
          </w:p>
        </w:tc>
      </w:tr>
      <w:tr w:rsidR="00982466" w:rsidRPr="00982466" w14:paraId="502A6728" w14:textId="77777777" w:rsidTr="008177A2">
        <w:tc>
          <w:tcPr>
            <w:tcW w:w="1038" w:type="dxa"/>
          </w:tcPr>
          <w:p w14:paraId="45B0399E" w14:textId="77777777" w:rsidR="00982466" w:rsidRPr="00982466" w:rsidRDefault="00982466" w:rsidP="00982466">
            <w:pPr>
              <w:rPr>
                <w:rFonts w:ascii="Helvetica" w:eastAsia="Calibri" w:hAnsi="Helvetica"/>
                <w:sz w:val="20"/>
              </w:rPr>
            </w:pPr>
            <w:r w:rsidRPr="00982466">
              <w:rPr>
                <w:rFonts w:ascii="Helvetica" w:eastAsia="Calibri" w:hAnsi="Helvetica"/>
                <w:sz w:val="20"/>
              </w:rPr>
              <w:t>C4d</w:t>
            </w:r>
          </w:p>
        </w:tc>
        <w:tc>
          <w:tcPr>
            <w:tcW w:w="1039" w:type="dxa"/>
          </w:tcPr>
          <w:p w14:paraId="149F48FA"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3DBF6BD9"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7399332E"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574D5343"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4C800C61"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6767B350"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1056E83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711866BD"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r>
      <w:tr w:rsidR="00982466" w:rsidRPr="00982466" w14:paraId="7D822D9E" w14:textId="77777777" w:rsidTr="008177A2">
        <w:tc>
          <w:tcPr>
            <w:tcW w:w="1038" w:type="dxa"/>
          </w:tcPr>
          <w:p w14:paraId="05C4452C" w14:textId="77777777" w:rsidR="00982466" w:rsidRPr="00982466" w:rsidRDefault="00982466" w:rsidP="00982466">
            <w:pPr>
              <w:rPr>
                <w:rFonts w:ascii="Helvetica" w:eastAsia="Calibri" w:hAnsi="Helvetica"/>
                <w:sz w:val="20"/>
              </w:rPr>
            </w:pPr>
            <w:r w:rsidRPr="00982466">
              <w:rPr>
                <w:rFonts w:ascii="Helvetica" w:eastAsia="Calibri" w:hAnsi="Helvetica"/>
                <w:sz w:val="20"/>
              </w:rPr>
              <w:t>cg</w:t>
            </w:r>
          </w:p>
        </w:tc>
        <w:tc>
          <w:tcPr>
            <w:tcW w:w="1039" w:type="dxa"/>
          </w:tcPr>
          <w:p w14:paraId="559E6214" w14:textId="77777777" w:rsidR="00982466" w:rsidRPr="00982466" w:rsidRDefault="00982466" w:rsidP="00982466">
            <w:pPr>
              <w:rPr>
                <w:rFonts w:ascii="Helvetica" w:eastAsia="Calibri" w:hAnsi="Helvetica"/>
                <w:sz w:val="20"/>
              </w:rPr>
            </w:pPr>
            <w:r w:rsidRPr="00982466">
              <w:rPr>
                <w:rFonts w:ascii="Helvetica" w:eastAsia="Calibri" w:hAnsi="Helvetica"/>
                <w:sz w:val="20"/>
              </w:rPr>
              <w:t>0</w:t>
            </w:r>
          </w:p>
        </w:tc>
        <w:tc>
          <w:tcPr>
            <w:tcW w:w="1039" w:type="dxa"/>
          </w:tcPr>
          <w:p w14:paraId="382582D7" w14:textId="77777777" w:rsidR="00982466" w:rsidRPr="00982466" w:rsidRDefault="00982466" w:rsidP="00982466">
            <w:pPr>
              <w:rPr>
                <w:rFonts w:ascii="Helvetica" w:eastAsia="Calibri" w:hAnsi="Helvetica"/>
                <w:sz w:val="20"/>
              </w:rPr>
            </w:pPr>
            <w:r w:rsidRPr="00982466">
              <w:rPr>
                <w:rFonts w:ascii="Helvetica" w:eastAsia="Calibri" w:hAnsi="Helvetica"/>
                <w:sz w:val="20"/>
              </w:rPr>
              <w:t>0</w:t>
            </w:r>
          </w:p>
        </w:tc>
        <w:tc>
          <w:tcPr>
            <w:tcW w:w="1039" w:type="dxa"/>
          </w:tcPr>
          <w:p w14:paraId="12194953" w14:textId="77777777" w:rsidR="00982466" w:rsidRPr="00982466" w:rsidRDefault="00982466" w:rsidP="00982466">
            <w:pPr>
              <w:rPr>
                <w:rFonts w:ascii="Helvetica" w:eastAsia="Calibri" w:hAnsi="Helvetica"/>
                <w:sz w:val="20"/>
              </w:rPr>
            </w:pPr>
            <w:r w:rsidRPr="00982466">
              <w:rPr>
                <w:rFonts w:ascii="Helvetica" w:eastAsia="Calibri" w:hAnsi="Helvetica"/>
                <w:sz w:val="20"/>
              </w:rPr>
              <w:t>&gt;0</w:t>
            </w:r>
          </w:p>
        </w:tc>
        <w:tc>
          <w:tcPr>
            <w:tcW w:w="1039" w:type="dxa"/>
          </w:tcPr>
          <w:p w14:paraId="6F1EB91C" w14:textId="77777777" w:rsidR="00982466" w:rsidRPr="00982466" w:rsidRDefault="00982466" w:rsidP="00982466">
            <w:pPr>
              <w:rPr>
                <w:rFonts w:ascii="Helvetica" w:eastAsia="Calibri" w:hAnsi="Helvetica"/>
                <w:sz w:val="20"/>
              </w:rPr>
            </w:pPr>
            <w:r w:rsidRPr="00982466">
              <w:rPr>
                <w:rFonts w:ascii="Helvetica" w:eastAsia="Calibri" w:hAnsi="Helvetica"/>
                <w:sz w:val="20"/>
              </w:rPr>
              <w:t>&gt;0</w:t>
            </w:r>
          </w:p>
        </w:tc>
        <w:tc>
          <w:tcPr>
            <w:tcW w:w="1039" w:type="dxa"/>
          </w:tcPr>
          <w:p w14:paraId="08B05DB6" w14:textId="77777777" w:rsidR="00982466" w:rsidRPr="00982466" w:rsidRDefault="00982466" w:rsidP="00982466">
            <w:pPr>
              <w:rPr>
                <w:rFonts w:ascii="Helvetica" w:eastAsia="Calibri" w:hAnsi="Helvetica"/>
                <w:sz w:val="20"/>
              </w:rPr>
            </w:pPr>
            <w:r w:rsidRPr="00982466">
              <w:rPr>
                <w:rFonts w:ascii="Helvetica" w:eastAsia="Calibri" w:hAnsi="Helvetica"/>
                <w:sz w:val="20"/>
              </w:rPr>
              <w:t>0</w:t>
            </w:r>
          </w:p>
        </w:tc>
        <w:tc>
          <w:tcPr>
            <w:tcW w:w="1039" w:type="dxa"/>
          </w:tcPr>
          <w:p w14:paraId="7107D061" w14:textId="77777777" w:rsidR="00982466" w:rsidRPr="00982466" w:rsidRDefault="00982466" w:rsidP="00982466">
            <w:pPr>
              <w:rPr>
                <w:rFonts w:ascii="Helvetica" w:eastAsia="Calibri" w:hAnsi="Helvetica"/>
                <w:sz w:val="20"/>
              </w:rPr>
            </w:pPr>
            <w:r w:rsidRPr="00982466">
              <w:rPr>
                <w:rFonts w:ascii="Helvetica" w:eastAsia="Calibri" w:hAnsi="Helvetica"/>
                <w:sz w:val="20"/>
              </w:rPr>
              <w:t>0</w:t>
            </w:r>
          </w:p>
        </w:tc>
        <w:tc>
          <w:tcPr>
            <w:tcW w:w="1039" w:type="dxa"/>
          </w:tcPr>
          <w:p w14:paraId="53D1FB18" w14:textId="77777777" w:rsidR="00982466" w:rsidRPr="00982466" w:rsidRDefault="00982466" w:rsidP="00982466">
            <w:pPr>
              <w:rPr>
                <w:rFonts w:ascii="Helvetica" w:eastAsia="Calibri" w:hAnsi="Helvetica"/>
                <w:sz w:val="20"/>
              </w:rPr>
            </w:pPr>
            <w:r w:rsidRPr="00982466">
              <w:rPr>
                <w:rFonts w:ascii="Helvetica" w:eastAsia="Calibri" w:hAnsi="Helvetica"/>
                <w:sz w:val="20"/>
              </w:rPr>
              <w:t>0</w:t>
            </w:r>
          </w:p>
        </w:tc>
        <w:tc>
          <w:tcPr>
            <w:tcW w:w="1039" w:type="dxa"/>
          </w:tcPr>
          <w:p w14:paraId="399AAA40" w14:textId="77777777" w:rsidR="00982466" w:rsidRPr="00982466" w:rsidRDefault="00982466" w:rsidP="00982466">
            <w:pPr>
              <w:rPr>
                <w:rFonts w:ascii="Helvetica" w:eastAsia="Calibri" w:hAnsi="Helvetica"/>
                <w:sz w:val="20"/>
              </w:rPr>
            </w:pPr>
            <w:r w:rsidRPr="00982466">
              <w:rPr>
                <w:rFonts w:ascii="Helvetica" w:eastAsia="Calibri" w:hAnsi="Helvetica"/>
                <w:sz w:val="20"/>
              </w:rPr>
              <w:t>&gt;0</w:t>
            </w:r>
          </w:p>
        </w:tc>
      </w:tr>
      <w:tr w:rsidR="00982466" w:rsidRPr="00982466" w14:paraId="1EEC787E" w14:textId="77777777" w:rsidTr="008177A2">
        <w:tc>
          <w:tcPr>
            <w:tcW w:w="1038" w:type="dxa"/>
          </w:tcPr>
          <w:p w14:paraId="061CF479" w14:textId="77777777" w:rsidR="00982466" w:rsidRPr="00982466" w:rsidRDefault="00982466" w:rsidP="00982466">
            <w:pPr>
              <w:rPr>
                <w:rFonts w:ascii="Helvetica" w:eastAsia="Calibri" w:hAnsi="Helvetica"/>
                <w:sz w:val="20"/>
              </w:rPr>
            </w:pPr>
            <w:r w:rsidRPr="00982466">
              <w:rPr>
                <w:rFonts w:ascii="Helvetica" w:eastAsia="Calibri" w:hAnsi="Helvetica"/>
                <w:sz w:val="20"/>
              </w:rPr>
              <w:t>dnDSA</w:t>
            </w:r>
          </w:p>
        </w:tc>
        <w:tc>
          <w:tcPr>
            <w:tcW w:w="1039" w:type="dxa"/>
          </w:tcPr>
          <w:p w14:paraId="1FDB72FE"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40D7341E"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1AF7456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1B2F6155"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03B5C197"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6ED06AC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4C9E86CD"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78A64D32"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r>
      <w:tr w:rsidR="00982466" w:rsidRPr="00982466" w14:paraId="3C97BB49" w14:textId="77777777" w:rsidTr="008177A2">
        <w:tc>
          <w:tcPr>
            <w:tcW w:w="1038" w:type="dxa"/>
          </w:tcPr>
          <w:p w14:paraId="70D74107" w14:textId="77777777" w:rsidR="00982466" w:rsidRPr="00982466" w:rsidRDefault="00982466" w:rsidP="00982466">
            <w:pPr>
              <w:rPr>
                <w:rFonts w:ascii="Helvetica" w:eastAsia="Calibri" w:hAnsi="Helvetica"/>
                <w:sz w:val="20"/>
              </w:rPr>
            </w:pPr>
            <w:r w:rsidRPr="00982466">
              <w:rPr>
                <w:rFonts w:ascii="Helvetica" w:eastAsia="Calibri" w:hAnsi="Helvetica"/>
                <w:sz w:val="20"/>
              </w:rPr>
              <w:t>thrombi</w:t>
            </w:r>
          </w:p>
        </w:tc>
        <w:tc>
          <w:tcPr>
            <w:tcW w:w="1039" w:type="dxa"/>
          </w:tcPr>
          <w:p w14:paraId="0CE69FC9"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068C876A"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5833931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4D9FED25"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0B5978F7"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02824B04"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5B847D2B"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Pr>
          <w:p w14:paraId="04C2B49E"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r>
      <w:tr w:rsidR="00982466" w:rsidRPr="00982466" w14:paraId="321A09DF" w14:textId="77777777" w:rsidTr="008177A2">
        <w:tc>
          <w:tcPr>
            <w:tcW w:w="1038" w:type="dxa"/>
            <w:tcBorders>
              <w:bottom w:val="single" w:sz="4" w:space="0" w:color="auto"/>
            </w:tcBorders>
          </w:tcPr>
          <w:p w14:paraId="23F8A79A" w14:textId="77777777" w:rsidR="00982466" w:rsidRPr="00982466" w:rsidRDefault="00982466" w:rsidP="00982466">
            <w:pPr>
              <w:rPr>
                <w:rFonts w:ascii="Helvetica" w:eastAsia="Calibri" w:hAnsi="Helvetica"/>
                <w:sz w:val="20"/>
              </w:rPr>
            </w:pPr>
            <w:r w:rsidRPr="00982466">
              <w:rPr>
                <w:rFonts w:ascii="Helvetica" w:eastAsia="Calibri" w:hAnsi="Helvetica"/>
                <w:sz w:val="20"/>
              </w:rPr>
              <w:t>v</w:t>
            </w:r>
          </w:p>
        </w:tc>
        <w:tc>
          <w:tcPr>
            <w:tcW w:w="1039" w:type="dxa"/>
            <w:tcBorders>
              <w:bottom w:val="single" w:sz="4" w:space="0" w:color="auto"/>
            </w:tcBorders>
          </w:tcPr>
          <w:p w14:paraId="15428EB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356AFA06"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64067A57"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6790445A"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249B2E5A"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704DFD9F"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7B07AF2D"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c>
          <w:tcPr>
            <w:tcW w:w="1039" w:type="dxa"/>
            <w:tcBorders>
              <w:bottom w:val="single" w:sz="4" w:space="0" w:color="auto"/>
            </w:tcBorders>
          </w:tcPr>
          <w:p w14:paraId="70D83945" w14:textId="77777777" w:rsidR="00982466" w:rsidRPr="00982466" w:rsidRDefault="00982466" w:rsidP="00982466">
            <w:pPr>
              <w:rPr>
                <w:rFonts w:ascii="Helvetica" w:eastAsia="Calibri" w:hAnsi="Helvetica"/>
                <w:sz w:val="20"/>
              </w:rPr>
            </w:pPr>
            <w:r w:rsidRPr="00982466">
              <w:rPr>
                <w:rFonts w:ascii="Helvetica" w:eastAsia="Calibri" w:hAnsi="Helvetica"/>
                <w:sz w:val="20"/>
              </w:rPr>
              <w:t>-</w:t>
            </w:r>
          </w:p>
        </w:tc>
      </w:tr>
      <w:tr w:rsidR="00982466" w:rsidRPr="00982466" w14:paraId="07E0C45B" w14:textId="77777777" w:rsidTr="008177A2">
        <w:tc>
          <w:tcPr>
            <w:tcW w:w="9350" w:type="dxa"/>
            <w:gridSpan w:val="9"/>
            <w:tcBorders>
              <w:top w:val="single" w:sz="4" w:space="0" w:color="auto"/>
            </w:tcBorders>
          </w:tcPr>
          <w:p w14:paraId="2BF988F4" w14:textId="77777777" w:rsidR="00982466" w:rsidRPr="00982466" w:rsidRDefault="00982466" w:rsidP="00982466">
            <w:pPr>
              <w:rPr>
                <w:rFonts w:ascii="Helvetica" w:eastAsia="Calibri" w:hAnsi="Helvetica"/>
                <w:sz w:val="20"/>
              </w:rPr>
            </w:pPr>
            <w:r w:rsidRPr="00982466">
              <w:rPr>
                <w:rFonts w:ascii="Helvetica" w:eastAsia="Calibri" w:hAnsi="Helvetica"/>
                <w:sz w:val="20"/>
              </w:rPr>
              <w:t>Acute AMR (aAMR)</w:t>
            </w:r>
          </w:p>
          <w:p w14:paraId="1F07C36C" w14:textId="77777777" w:rsidR="00982466" w:rsidRPr="00982466" w:rsidRDefault="00982466" w:rsidP="00982466">
            <w:pPr>
              <w:rPr>
                <w:rFonts w:ascii="Helvetica" w:eastAsia="Calibri" w:hAnsi="Helvetica"/>
                <w:sz w:val="20"/>
              </w:rPr>
            </w:pPr>
            <w:r w:rsidRPr="00982466">
              <w:rPr>
                <w:rFonts w:ascii="Helvetica" w:eastAsia="Calibri" w:hAnsi="Helvetica"/>
                <w:sz w:val="20"/>
              </w:rPr>
              <w:t xml:space="preserve">In the context of xenotransplantation, aAMR is defined as the presence of significant microvascular inflammation (mvi&gt;2), C4d deposition, and the presence of de novo DSA. </w:t>
            </w:r>
          </w:p>
        </w:tc>
      </w:tr>
      <w:tr w:rsidR="00982466" w:rsidRPr="00982466" w14:paraId="4936A749" w14:textId="77777777" w:rsidTr="008177A2">
        <w:tc>
          <w:tcPr>
            <w:tcW w:w="1038" w:type="dxa"/>
            <w:tcBorders>
              <w:bottom w:val="single" w:sz="4" w:space="0" w:color="auto"/>
            </w:tcBorders>
          </w:tcPr>
          <w:p w14:paraId="54D97A6C" w14:textId="77777777" w:rsidR="00982466" w:rsidRPr="00982466" w:rsidRDefault="00982466" w:rsidP="00982466">
            <w:pPr>
              <w:rPr>
                <w:rFonts w:ascii="Helvetica" w:eastAsia="Calibri" w:hAnsi="Helvetica"/>
                <w:sz w:val="20"/>
              </w:rPr>
            </w:pPr>
          </w:p>
        </w:tc>
        <w:tc>
          <w:tcPr>
            <w:tcW w:w="8312" w:type="dxa"/>
            <w:gridSpan w:val="8"/>
            <w:tcBorders>
              <w:bottom w:val="single" w:sz="4" w:space="0" w:color="auto"/>
            </w:tcBorders>
          </w:tcPr>
          <w:p w14:paraId="363A773F" w14:textId="77777777" w:rsidR="00982466" w:rsidRPr="00982466" w:rsidRDefault="00982466" w:rsidP="00982466">
            <w:pPr>
              <w:rPr>
                <w:rFonts w:ascii="Helvetica" w:eastAsia="Calibri" w:hAnsi="Helvetica"/>
                <w:sz w:val="20"/>
              </w:rPr>
            </w:pPr>
            <w:r w:rsidRPr="00982466">
              <w:rPr>
                <w:rFonts w:ascii="Helvetica" w:eastAsia="Calibri" w:hAnsi="Helvetica"/>
                <w:sz w:val="20"/>
              </w:rPr>
              <w:t>Because mvi and C4d indicate activity, the following are also presumed to be AMR (aAMR*):</w:t>
            </w:r>
          </w:p>
          <w:p w14:paraId="7BFD88F2" w14:textId="77777777" w:rsidR="00982466" w:rsidRPr="00982466" w:rsidRDefault="00982466" w:rsidP="00982466">
            <w:pPr>
              <w:numPr>
                <w:ilvl w:val="0"/>
                <w:numId w:val="1"/>
              </w:numPr>
              <w:contextualSpacing/>
              <w:rPr>
                <w:rFonts w:ascii="Helvetica" w:eastAsia="Calibri" w:hAnsi="Helvetica"/>
                <w:sz w:val="20"/>
              </w:rPr>
            </w:pPr>
            <w:r w:rsidRPr="00982466">
              <w:rPr>
                <w:rFonts w:ascii="Helvetica" w:eastAsia="Calibri" w:hAnsi="Helvetica"/>
                <w:sz w:val="20"/>
              </w:rPr>
              <w:t>mvi&gt;2 and positive C4d, even if dnDSA is not detected</w:t>
            </w:r>
          </w:p>
          <w:p w14:paraId="487B9CAE" w14:textId="77777777" w:rsidR="00982466" w:rsidRPr="00982466" w:rsidRDefault="00982466" w:rsidP="00982466">
            <w:pPr>
              <w:numPr>
                <w:ilvl w:val="0"/>
                <w:numId w:val="1"/>
              </w:numPr>
              <w:contextualSpacing/>
              <w:rPr>
                <w:rFonts w:ascii="Helvetica" w:eastAsia="Calibri" w:hAnsi="Helvetica"/>
                <w:sz w:val="20"/>
              </w:rPr>
            </w:pPr>
            <w:r w:rsidRPr="00982466">
              <w:rPr>
                <w:rFonts w:ascii="Helvetica" w:eastAsia="Calibri" w:hAnsi="Helvetica"/>
                <w:sz w:val="20"/>
              </w:rPr>
              <w:t>mvi&gt;2 and presence of dnDSA, even if C4d is negative</w:t>
            </w:r>
          </w:p>
        </w:tc>
      </w:tr>
      <w:tr w:rsidR="00982466" w:rsidRPr="00982466" w14:paraId="202AE762" w14:textId="77777777" w:rsidTr="008177A2">
        <w:tc>
          <w:tcPr>
            <w:tcW w:w="9350" w:type="dxa"/>
            <w:gridSpan w:val="9"/>
            <w:tcBorders>
              <w:top w:val="single" w:sz="4" w:space="0" w:color="auto"/>
            </w:tcBorders>
          </w:tcPr>
          <w:p w14:paraId="50BC80D2" w14:textId="77777777" w:rsidR="00982466" w:rsidRPr="00982466" w:rsidRDefault="00982466" w:rsidP="00982466">
            <w:pPr>
              <w:rPr>
                <w:rFonts w:ascii="Helvetica" w:eastAsia="Calibri" w:hAnsi="Helvetica"/>
                <w:sz w:val="20"/>
              </w:rPr>
            </w:pPr>
            <w:r w:rsidRPr="00982466">
              <w:rPr>
                <w:rFonts w:ascii="Helvetica" w:eastAsia="Calibri" w:hAnsi="Helvetica"/>
                <w:sz w:val="20"/>
              </w:rPr>
              <w:t>Chronic active AMR (cAMR)</w:t>
            </w:r>
          </w:p>
          <w:p w14:paraId="6AA6E84E" w14:textId="77777777" w:rsidR="00982466" w:rsidRPr="00982466" w:rsidRDefault="00982466" w:rsidP="00982466">
            <w:pPr>
              <w:rPr>
                <w:rFonts w:ascii="Helvetica" w:eastAsia="Calibri" w:hAnsi="Helvetica"/>
                <w:sz w:val="20"/>
              </w:rPr>
            </w:pPr>
            <w:r w:rsidRPr="00982466">
              <w:rPr>
                <w:rFonts w:ascii="Helvetica" w:eastAsia="Calibri" w:hAnsi="Helvetica"/>
                <w:sz w:val="20"/>
              </w:rPr>
              <w:t xml:space="preserve">In the context of xenotransplantation, cAMR is defined as the presence of significant microvascular inflammation (mvi&gt;2), transplant glomerulopathy (cg&gt;0), C4d deposition, and the presence of de novo DSA. </w:t>
            </w:r>
          </w:p>
        </w:tc>
      </w:tr>
      <w:tr w:rsidR="00982466" w:rsidRPr="00982466" w14:paraId="05C815DE" w14:textId="77777777" w:rsidTr="008177A2">
        <w:tc>
          <w:tcPr>
            <w:tcW w:w="1038" w:type="dxa"/>
            <w:tcBorders>
              <w:bottom w:val="single" w:sz="4" w:space="0" w:color="auto"/>
            </w:tcBorders>
          </w:tcPr>
          <w:p w14:paraId="28FB556C" w14:textId="77777777" w:rsidR="00982466" w:rsidRPr="00982466" w:rsidRDefault="00982466" w:rsidP="00982466">
            <w:pPr>
              <w:rPr>
                <w:rFonts w:ascii="Helvetica" w:eastAsia="Calibri" w:hAnsi="Helvetica"/>
                <w:sz w:val="20"/>
              </w:rPr>
            </w:pPr>
          </w:p>
        </w:tc>
        <w:tc>
          <w:tcPr>
            <w:tcW w:w="8312" w:type="dxa"/>
            <w:gridSpan w:val="8"/>
            <w:tcBorders>
              <w:bottom w:val="single" w:sz="4" w:space="0" w:color="auto"/>
            </w:tcBorders>
          </w:tcPr>
          <w:p w14:paraId="4D08DA43" w14:textId="77777777" w:rsidR="00982466" w:rsidRPr="00982466" w:rsidRDefault="00982466" w:rsidP="00982466">
            <w:pPr>
              <w:rPr>
                <w:rFonts w:ascii="Helvetica" w:eastAsia="Calibri" w:hAnsi="Helvetica"/>
                <w:sz w:val="20"/>
              </w:rPr>
            </w:pPr>
            <w:r w:rsidRPr="00982466">
              <w:rPr>
                <w:rFonts w:ascii="Helvetica" w:eastAsia="Calibri" w:hAnsi="Helvetica"/>
                <w:sz w:val="20"/>
              </w:rPr>
              <w:t>Because mvi and C4d indicate activity, while cg indicates chronicity in cAMR, the following are presumed to be cAMR (cAMR*):</w:t>
            </w:r>
          </w:p>
          <w:p w14:paraId="67AA27DC" w14:textId="77777777" w:rsidR="00982466" w:rsidRPr="00982466" w:rsidRDefault="00982466" w:rsidP="00982466">
            <w:pPr>
              <w:numPr>
                <w:ilvl w:val="0"/>
                <w:numId w:val="1"/>
              </w:numPr>
              <w:contextualSpacing/>
              <w:rPr>
                <w:rFonts w:ascii="Helvetica" w:eastAsia="Calibri" w:hAnsi="Helvetica"/>
                <w:sz w:val="20"/>
              </w:rPr>
            </w:pPr>
            <w:r w:rsidRPr="00982466">
              <w:rPr>
                <w:rFonts w:ascii="Helvetica" w:eastAsia="Calibri" w:hAnsi="Helvetica"/>
                <w:sz w:val="20"/>
              </w:rPr>
              <w:t xml:space="preserve">mvi&gt;2, cg&gt;0, and positive C4d, even if dnDSA is not detected </w:t>
            </w:r>
          </w:p>
        </w:tc>
      </w:tr>
      <w:tr w:rsidR="00982466" w:rsidRPr="00982466" w14:paraId="38178A5A" w14:textId="77777777" w:rsidTr="008177A2">
        <w:tc>
          <w:tcPr>
            <w:tcW w:w="9350" w:type="dxa"/>
            <w:gridSpan w:val="9"/>
            <w:tcBorders>
              <w:top w:val="single" w:sz="4" w:space="0" w:color="auto"/>
              <w:bottom w:val="single" w:sz="4" w:space="0" w:color="auto"/>
            </w:tcBorders>
          </w:tcPr>
          <w:p w14:paraId="67FB8B2F" w14:textId="77777777" w:rsidR="00982466" w:rsidRPr="00982466" w:rsidRDefault="00982466" w:rsidP="00982466">
            <w:pPr>
              <w:rPr>
                <w:rFonts w:ascii="Helvetica" w:eastAsia="Calibri" w:hAnsi="Helvetica"/>
                <w:sz w:val="20"/>
              </w:rPr>
            </w:pPr>
            <w:r w:rsidRPr="00982466">
              <w:rPr>
                <w:rFonts w:ascii="Helvetica" w:eastAsia="Calibri" w:hAnsi="Helvetica"/>
                <w:sz w:val="20"/>
              </w:rPr>
              <w:t xml:space="preserve">Abbreviations: +, detected; -, not detected; +/-, detected or not detected; ACC, accommodation; aAMR, acute antibody mediated rejection; aAMR*, presumed acute antibody mediated rejection; cAMR, chronic active antibody mediated rejection; cAMR*, presumed chronic active antibody mediated rejection; C4d, complement component C4d (split product of C4 activation); cg, glomerular basement membrane double contours also called transplant glomerulopathy Banff lesion; dnDSA, de novo donor specific antibody (IgG or IgM); g, glomerulitis Banff lesion; mvi, microvascular inflammation which is the sum of glomerulitis and peritubular capillaritis lesion scores; NoR, no rejection; ptc, peritubular capillaritis Banff lesion; aTMA, acute thrombotic microangiopathy; cTMA, chronic thrombotic microangiopathy; v, intimal arteritis Banff lesion.  </w:t>
            </w:r>
          </w:p>
        </w:tc>
      </w:tr>
    </w:tbl>
    <w:p w14:paraId="7A237755" w14:textId="77777777" w:rsidR="00982466" w:rsidRPr="00982466" w:rsidRDefault="00982466" w:rsidP="00982466">
      <w:pPr>
        <w:rPr>
          <w:rFonts w:ascii="Helvetica" w:eastAsia="Calibri" w:hAnsi="Helvetica"/>
          <w:kern w:val="2"/>
          <w:szCs w:val="24"/>
          <w14:ligatures w14:val="standardContextual"/>
        </w:rPr>
      </w:pPr>
    </w:p>
    <w:p w14:paraId="3DA5F383" w14:textId="77777777" w:rsidR="00982466" w:rsidRPr="00982466" w:rsidRDefault="00982466" w:rsidP="00982466">
      <w:pPr>
        <w:rPr>
          <w:rFonts w:ascii="Helvetica" w:eastAsia="Calibri" w:hAnsi="Helvetica"/>
          <w:kern w:val="2"/>
          <w:sz w:val="22"/>
          <w:szCs w:val="22"/>
          <w14:ligatures w14:val="standardContextual"/>
        </w:rPr>
      </w:pPr>
      <w:r w:rsidRPr="00982466">
        <w:rPr>
          <w:rFonts w:ascii="Helvetica" w:eastAsia="Calibri" w:hAnsi="Helvetica"/>
          <w:kern w:val="2"/>
          <w:sz w:val="22"/>
          <w:szCs w:val="22"/>
          <w14:ligatures w14:val="standardContextual"/>
        </w:rPr>
        <w:t>Discusssion:</w:t>
      </w:r>
    </w:p>
    <w:p w14:paraId="227BB757" w14:textId="77777777" w:rsidR="00982466" w:rsidRPr="00982466" w:rsidRDefault="00982466" w:rsidP="00982466">
      <w:pPr>
        <w:rPr>
          <w:rFonts w:ascii="Helvetica" w:eastAsia="Calibri" w:hAnsi="Helvetica"/>
          <w:kern w:val="2"/>
          <w:sz w:val="22"/>
          <w:szCs w:val="22"/>
          <w14:ligatures w14:val="standardContextual"/>
        </w:rPr>
      </w:pPr>
    </w:p>
    <w:p w14:paraId="7F355AC5" w14:textId="77777777" w:rsidR="00982466" w:rsidRPr="00982466" w:rsidRDefault="00982466" w:rsidP="00982466">
      <w:pPr>
        <w:rPr>
          <w:rFonts w:ascii="Helvetica" w:eastAsia="Calibri" w:hAnsi="Helvetica"/>
          <w:kern w:val="2"/>
          <w:sz w:val="22"/>
          <w:szCs w:val="22"/>
          <w14:ligatures w14:val="standardContextual"/>
        </w:rPr>
      </w:pPr>
      <w:r w:rsidRPr="00982466">
        <w:rPr>
          <w:rFonts w:ascii="Helvetica" w:eastAsia="Calibri" w:hAnsi="Helvetica"/>
          <w:kern w:val="2"/>
          <w:sz w:val="22"/>
          <w:szCs w:val="22"/>
          <w14:ligatures w14:val="standardContextual"/>
        </w:rPr>
        <w:t>TMA is an accepted, but not necessary, feature of aAMR in Banff classification</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{"citationID":"a1vj0g6dtuu","properties":{"formattedCitation":"\\super 42\\nosupersub{}","plainCitation":"42","noteIndex":0},"citationItems":[{"id":"MypTXvYg/e2oSi1rU","uris":["http://zotero.org/users/6514188/items/DNADEZ3Z"],"itemData":{"id":"STBZvR7z/W9onRNu6","type":"article-journal","abstract":"The Banff Classification of Allograft Pathology is an international consensus classification for the reporting of biopsies from solid organ transplants. Since its initial conception in 1991 for renal transplants, it has undergone review every 2 years, with attendant updated publications. The rapid expansion of knowledge in the field has led to numerous revisions of the classification. The resultant dispersal of relevant content makes it difficult for novices and experienced pathologists to faithfully apply the classification in routine diagnostic work and in clinical trials. This review shall provide a complete and simple illustrated reference guide of the Banff Classification of Kidney Allograft Pathology based on all publications including the 2017 update. It is intended as a concise desktop reference for pathologists and clinicians, providing definitions, Banff Lesion Scores and Banff Diagnostic Categories. An online website reference guide hosted by the Banff Foundation for Allograft Pathology (www.banfffoundation.org) is being developed, which will be updated with future refinement of the Banff Classification from 2019 onward.","container-title":"Transplantation","DOI":"10.1097/TP.0000000000002366","ISSN":"0041-1337","issue":"11","language":"en-US","page":"1795–1814","source":"journals.lww.com","title":"A 2018 Reference Guide to the Banff Classification of Renal Allograft Pathology","volume":"102","author":[{"family":"Roufosse","given":"Candice"},{"family":"Simmonds","given":"Naomi"},{"family":"Clahsen-van Groningen","given":"Marian"},{"family":"Haas","given":"Mark"},{"family":"Henriksen","given":"Kammi J."},{"family":"Horsfield","given":"Catherine"},{"family":"Loupy","given":"Alexandre"},{"family":"Mengel","given":"Michael"},{"family":"Perkowska-Ptasinska","given":"Agnieszka"},{"family":"Rabant","given":"Marion"},{"family":"Racusen","given":"Lorraine C."},{"family":"Solez","given":"Kim"},{"family":"Becker","given":"Jan U."}],"issued":{"date-parts":[["2018",11]]}}}],"schema":"https://github.com/citation-style-language/schema/raw/master/csl-citation.json"}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42</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In the xenografts reported here, TMA was commonly seen at necropsy (15/18). However, TMA occurred in the absence of detectable DSA (8/15) or C4d deposition (6/15), two standard AMR features. Since coagulopathy in this setting could be related to clotting factor incompatibilities between porcine and HP</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{"citationID":"a10qhkkueum","properties":{"formattedCitation":"\\super 72,73\\nosupersub{}","plainCitation":"72,73","noteIndex":0},"citationItems":[{"id":6279,"uris":["http://zotero.org/users/6514188/items/2GGY88DN"],"itemData":{"id":6279,"type":"article-journal","abstract":"There has recently been considerable progress in the results of pig organ transplantation in nonhuman primates, largely associated with the availability of (i) pigs genetically engineered to overcome coagulation dysregulation, and (ii) novel immunosuppressive agents. The barriers of thrombotic microangiopathy and/or consumptive coagulation were believed to be associated with (i) activation of the graft vascular endothelial cells by a low level of antipig antibody binding and/or complement deposition and/or innate immune cell activity, and (ii) molecular incompatibilities between the nonhuman primate and pig coagulation-anticoagulation systems. The introduction of a human coagulation-regulatory transgene, for example, thrombomodulin, endothelial protein C receptor, into the pig vascular endothelial cells has contributed to preventing a procoagulant state from developing, resulting in a considerable increase in graft survival. In the heterotopic (non-life-supporting) heart transplant model, graft survival has increased from a maximum of 179 days in 2005 to 945 days. After life-supporting kidney transplantation, survival has been extended from 90 days in 2004 to 499 days. In view of the more complex coagulation dysfunction seen after pig liver and, particularly, lung transplantation, progress has been less dramatic, but the maximum survival of a pig liver has been increased from 7 days in 2010 to 29 days, and of a pig lung from 4 days in 2007 to 9 days. There is a realistic prospect that the transplantation of a kidney or heart, in combination with a conventional immunosuppressive regimen, will enable long-term recipient survival.","container-title":"Transplantation","DOI":"10.1097/TP.0000000000002171","ISSN":"1534-6080","issue":"7","journalAbbreviation":"Transplantation","language":"eng","note":"PMID: 29538262\nPMCID: PMC7228622","page":"1050-1058","source":"PubMed","title":"Overcoming Coagulation Dysregulation in Pig Solid Organ Transplantation in Nonhuman Primates: Recent Progress","title-short":"Overcoming Coagulation Dysregulation in Pig Solid Organ Transplantation in Nonhuman Primates","volume":"102","author":[{"family":"Wang","given":"Liaoran"},{"family":"Cooper","given":"David K. C."},{"family":"Burdorf","given":"Lars"},{"family":"Wang","given":"Yi"},{"family":"Iwase","given":"Hayato"}],"issued":{"date-parts":[["2018",7]]}}},{"id":6561,"uris":["http://zotero.org/users/6514188/items/AEJB9PAU"],"itemData":{"id":6561,"type":"article-journal","abstract":"Decay-accelerating factor (DAF), extracted from the stroma of human erythrocytes, was purified to homogeneity and incorporated into the membrane of sheep red cell complement intermediates, where its functional properties were analyzed. Incorporation of DAF into the cell membranes was temperature dependent, took place on pronase- or trypsin-treated erythrocytes, and did not depend on prior deposition of antibody, C1 or C4. Serum lipoproteins (high and low density) effectively inhibited DAF incorporation, but had no effect on the activity of DAF after its association with the cell membrane. The incorporated DAF could not be removed from the red cell surface by repeated washings in the presence of high salt concentration but was solubilized when the stroma were extracted with 0.1% Nonidet P-40. The presence of DAF in the membrane of EA did not affect the deposition of C1 and C4, but as few as 10(2) DAF molecules per cell profoundly inhibited the assembly of C3 and C5 convertases of both the classical and alternative pathways. The DAF inhibitory effect on EAC14 or EAC43 was not overcome by supplying an excess of C2 or factor B, but the alternative pathway C3 convertase could be assembled in the presence of Ni++, or nonphysiological concentrations of Mg++, which enhances the binding affinity of factor B for C3b. The DAF effect on EAC14 or EAC143 was entirely reversed by treating the cells with specific anti-DAF antibodies, showing that DAF did not alter the structure of C4b or C3b. Taken together, the experimental evidence suggests that DAF interacts directly with membrane-bound C3b or C4b and prevents subsequent uptake of C2 and factor B. DAF can function only within the cell membrane. Indeed, the decay dissociation of the C4b2a enzyme on DAF-containing sheep intermediates was not changed by varying the cell concentration. DAF-treated EA had no influence on the decay of nontreated EAC142 present in the same mixture. Moreover, the inhibitory activity of intact human erythrocytes on C4b2a was not blocked by antibodies to DAF, but was abolished by antibodies to the C3b/C4b receptor (CR1). When incorporated into the membrane of rabbit erythrocytes, human DAF inhibited their lysis by human complement. In conclusion, on the basis of these and previous results, it appears that DAF plays a central role in preventing the amplification of the complement cascade on host cell surfaces.(ABSTRACT TRUNCATED AT 400 WORDS)","container-title":"The Journal of Experimental Medicine","DOI":"10.1084/jem.160.5.1558","ISSN":"0022-1007","issue":"5","journalAbbreviation":"J Exp Med","language":"eng","note":"PMID: 6238120\nPMCID: PMC2187498","page":"1558-1578","source":"PubMed","title":"Inhibition of complement activation on the surface of cells after incorporation of decay-accelerating factor (DAF) into their membranes","volume":"160","author":[{"family":"Medof","given":"M. E."},{"family":"Kinoshita","given":"T."},{"family":"Nussenzweig","given":"V."}],"issued":{"date-parts":[["1984",11,1]]}}}],"schema":"https://github.com/citation-style-language/schema/raw/master/csl-citation.json"}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72,73</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TMA is not included as an indication of AMR. Since CD46 and CD55 block complement activation at C3, the transgenic proteins will not prevent C4d deposition</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{"citationID":"aqkkep22me","properties":{"formattedCitation":"\\super 74\\nosupersub{}","plainCitation":"74","noteIndex":0},"citationItems":[{"id":6282,"uris":["http://zotero.org/users/6514188/items/YNEWIJF8"],"itemData":{"id":6282,"type":"article-journal","abstract":"Proteolytic inactivation of C4b is a crucial step for regulation of the classical complement pathway. A plasma protease factor I and membrane cofactors, C3b/C4b receptor (CR1) and membrane cofactor protein (MCP), participate in the regulation of cell-bound C4b although the physiological potency of these cofactors remains unknown. We have examined the optimal conditions of the factor I-mediated C4b regulatory system using purified cofactors. CR1 being a cofactor at a cofactor/C4b ratio less than 0.1 (w/w), fluid phase C4b, and methylamine-treated C4 (C4ma) were degraded by factor I into C4bi: minimal Cd4 was generated in the fluid phase. Liposome-bound C4b (LAC4b), on the other hand, was degraded into C4c and C4d. CR1 showed two optimal pHs (6.0 and 7.5) for fluid phase C4b, but one (6.0) for LAC4b, and in both cases low conductivity conditions enhanced the C4bi generation. CR1 cofactor activity was barely influenced by the NP-40 concentration. On the other hand, MCP degraded C4b and C4ma, as a factor I-cofactor, more efficiently into C4c and C4d. Though MCP cofactor activity, like that of CR1, was enhanced under low conductivity conditions, it has only one optimal pH, 6.0, in both fluid and solid phases. Furthermore, as in the case of C3b cleavage, a sufficient NP-40 concentration to solubilize membrane was needed for MCP to express full cofactor activity for C4b, in contrast to CR1. MCP was less potent for C4b inactivation than for C3b inactivation, while CR1 acted as a slightly more effective cofactor for C4b cleavage than for C3b cleavage.(ABSTRACT TRUNCATED AT 250 WORDS)","container-title":"Journal of Biochemistry","DOI":"10.1093/oxfordjournals.jbchem.a123799","ISSN":"0021-924X","issue":"5","journalAbbreviation":"J Biochem","language":"eng","note":"PMID: 1386357","page":"573-578","source":"PubMed","title":"Factor I-dependent inactivation of human complement C4b of the classical pathway by C3b/C4b receptor (CR1, CD35) and membrane cofactor protein (MCP, CD46)","volume":"111","author":[{"family":"Masaki","given":"T."},{"family":"Matsumoto","given":"M."},{"family":"Nakanishi","given":"I."},{"family":"Yasuda","given":"R."},{"family":"Seya","given":"T."}],"issued":{"date-parts":[["1992",5]]}}}],"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74</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Thus, C4d deposition may not indicate full complement activation. It is known that C4d deposition commonly occurs in ABO incompatible (ABOi) human renal allografts without evidence of active AMR</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{"citationID":"aqlj4sb2ml","properties":{"formattedCitation":"\\super 75\\nosupersub{}","plainCitation":"75","noteIndex":0},"citationItems":[{"id":6288,"uris":["http://zotero.org/users/6514188/items/G8Z7JMFM"],"itemData":{"id":6288,"type":"article-journal","abstract":"Biopsies of ABO-incompatible and positive crossmatch (HLA-incompatible) renal allografts were retrospectively examined to compare results of C4d and C3d staining, and the correlation between such staining and histologic findings suggestive of antibody-mediated rejection (AMR). A total of 75 biopsies (55 protocol, 17 for graft dysfunction, 3 for other indications) of 24 ABO-incompatible grafts and 244 biopsies (103 protocol, 129 for graft dysfunction, 12 for other indications) of 66 HLA-incompatible grafts were examined; all were stained for C4d and approximately 40% for C3d. In ABO-incompatible grafts, 80% of protocol biopsies and 59% performed for graft dysfunction showed C4d staining in peritubular capillaries (PTC); this staining was not correlated with neutrophil margination in PTC. In HLA-incompatible grafts, PTC C4d was present in 26% of protocol biopsies and 60% of biopsies for graft dysfunction; 92% of biopsies with &gt;1+ (0-4+ scale), diffuse PTC C4d had &gt; or =1+ margination and/or thrombotic microangiopathy (TMA), compared with 12% of C4d-negative biopsies. C3d was somewhat more predictive of margination than C4d in ABO-incompatible, but not HLA-incompatible, grafts. In summary, while PTC C4d deposition indicates probable AMR in biopsies of HLA-incompatible grafts, including protocol biopsies, there is no histologic evidence that C4d deposition is correlated with injury in most ABO-incompatible grafts.","container-title":"American Journal of Transplantation: Official Journal of the American Society of Transplantation and the American Society of Transplant Surgeons","DOI":"10.1111/j.1600-6143.2006.01356.x","ISSN":"1600-6135","issue":"8","journalAbbreviation":"Am J Transplant","language":"eng","note":"PMID: 16889542","page":"1829-1840","source":"PubMed","title":"C4d and C3d staining in biopsies of ABO- and HLA-incompatible renal allografts: correlation with histologic findings","title-short":"C4d and C3d staining in biopsies of ABO- and HLA-incompatible renal allografts","volume":"6","author":[{"family":"Haas","given":"M."},{"family":"Rahman","given":"M. H."},{"family":"Racusen","given":"L. C."},{"family":"Kraus","given":"E. S."},{"family":"Bagnasco","given":"S. M."},{"family":"Segev","given":"D. L."},{"family":"Simpkins","given":"C. E."},{"family":"Warren","given":"D. S."},{"family":"King","given":"K. E."},{"family":"Zachary","given":"A. A."},{"family":"Montgomery","given":"R. A."}],"issued":{"date-parts":[["2006",8]]}}}],"schema":"https://github.com/citation-style-language/schema/raw/master/csl-citation.json"}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75</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,and that C4d deposition does not trigger endothelial transcript elevation in human renal allografts with CAMR or ABOi grafts</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{"citationID":"a27v50jrmpr","properties":{"formattedCitation":"\\super 76\\nosupersub{}","plainCitation":"76","noteIndex":0},"citationItems":[{"id":6291,"uris":["http://zotero.org/users/6514188/items/6EL5ZFRU"],"itemData":{"id":6291,"type":"article-journal","abstract":"BACKGROUND: To seek insights into the pathogenesis of chronic active antibody-mediated rejection (CAMR), we performed mRNA analysis and correlated transcripts with pathologic component scores and graft outcomes.\nMETHODS: We utilized the NanoString nCounter platform and the Banff Human Organ Transplant gene panel to quantify transcripts on 326 archived renal allograft biopsy samples. This system allowed correlation of transcripts with Banff pathology scores from the same tissue block and correlation with long-term outcomes.\nRESULTS: The only pathology score that correlated with AMR pathways in CAMR was peritubular capillaritis (ptc). C4d, cg, g, v, i, t, or ci scores did not correlate. DSA-negative CAMR had lower AMR pathway scores than DSA-positive CAMR. Transcript analysis in non-CAMR biopsies yielded evidence of increased risk of later CAMR. Among 108 patients without histologic CAMR, 23 developed overt biopsy-documented CAMR within 5 years and as a group had higher AMR pathway scores (P=3.4 × 10-5). Random forest analysis correlated 3-year graft loss with elevated damage, innate immunity, and macrophage pathway scores in CAMR and TCMR. Graft failure in CAMR was associated with TCMR transcripts but not with AMR transcripts, and graft failure in TCMR was associated with AMR transcripts but not with TCMR transcripts.\nCONCLUSIONS: Peritubular capillary inflammation and DSA are the primary drivers of AMR transcript elevation. Transcripts revealed subpathological evidence of AMR, which often preceded histologic CAMR and subpathological evidence of TCMR that predicted graft loss in CAMR.","container-title":"Journal of the American Society of Nephrology: JASN","DOI":"10.1681/ASN.2022040444","ISSN":"1533-3450","issue":"12","journalAbbreviation":"J Am Soc Nephrol","language":"eng","note":"PMID: 36450597\nPMCID: PMC9731628","page":"2306-2319","source":"PubMed","title":"Banff Human Organ Transplant Transcripts Correlate with Renal Allograft Pathology and Outcome: Importance of Capillaritis and Subpathologic Rejection","title-short":"Banff Human Organ Transplant Transcripts Correlate with Renal Allograft Pathology and Outcome","volume":"33","author":[{"family":"Rosales","given":"Ivy A."},{"family":"Mahowald","given":"Grace K."},{"family":"Tomaszewski","given":"Kristen"},{"family":"Hotta","given":"Kiyohiko"},{"family":"Iwahara","given":"Naoya"},{"family":"Otsuka","given":"Takuya"},{"family":"Tsuji","given":"Takahiro"},{"family":"Takada","given":"Yusuke"},{"family":"Acheampong","given":"Ellen"},{"family":"Araujo-Medina","given":"Milagros"},{"family":"Bruce","given":"Amy"},{"family":"Rios","given":"Andrea"},{"family":"Cosimi","given":"Anthony Benedict"},{"family":"Elias","given":"Nahel"},{"family":"Kawai","given":"Tatsuo"},{"family":"Gilligan","given":"Hannah"},{"family":"Safa","given":"Kassem"},{"family":"Riella","given":"Leonardo V."},{"family":"Tolkoff-Rubin","given":"Nina E."},{"family":"Williams","given":"Winfred W."},{"family":"Smith","given":"Rex Neal"},{"family":"Colvin","given":"Robert B."}],"issued":{"date-parts":[["2022",12]]}}}],"schema":"https://github.com/citation-style-language/schema/raw/master/csl-citation.json"}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76</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Therefore, C4d deposition cannot be taken as a reliable indicator of AMR (similar to human ABOi grafts), but as a marker of xenoantibody reacting to the donor endothelium. Of the 11 C4d+ cases, 5 had detectable DSA and 6 did not, suggesting that some anti-endothelial antibodies may be below the limit of detection by the assays used.</w:t>
      </w:r>
    </w:p>
    <w:p w14:paraId="3CE8336C" w14:textId="77777777" w:rsidR="00982466" w:rsidRPr="00982466" w:rsidRDefault="00982466" w:rsidP="00982466">
      <w:pPr>
        <w:rPr>
          <w:rFonts w:ascii="Helvetica" w:eastAsia="Calibri" w:hAnsi="Helvetica"/>
          <w:kern w:val="2"/>
          <w:sz w:val="22"/>
          <w:szCs w:val="22"/>
          <w14:ligatures w14:val="standardContextual"/>
        </w:rPr>
      </w:pPr>
    </w:p>
    <w:p w14:paraId="330999D1" w14:textId="77777777" w:rsidR="00982466" w:rsidRPr="00982466" w:rsidRDefault="00982466" w:rsidP="00982466">
      <w:pPr>
        <w:rPr>
          <w:rFonts w:ascii="Calibri" w:eastAsia="Calibri" w:hAnsi="Calibri"/>
          <w:kern w:val="2"/>
          <w:sz w:val="22"/>
          <w:szCs w:val="22"/>
          <w14:ligatures w14:val="standardContextual"/>
        </w:rPr>
      </w:pPr>
      <w:r w:rsidRPr="00982466">
        <w:rPr>
          <w:rFonts w:ascii="Helvetica" w:eastAsia="Calibri" w:hAnsi="Helvetica"/>
          <w:kern w:val="2"/>
          <w:sz w:val="22"/>
          <w:szCs w:val="22"/>
          <w14:ligatures w14:val="standardContextual"/>
        </w:rPr>
        <w:t>The main pathologic feature used in Banff for activity in AMR is microvascular inflammation (peritubular capillaritis (ptc) and glomerulitis (g))</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{"citationID":"addc26ugkk","properties":{"formattedCitation":"\\super 42\\nosupersub{}","plainCitation":"42","noteIndex":0},"citationItems":[{"id":"MypTXvYg/e2oSi1rU","uris":["http://zotero.org/users/6514188/items/DNADEZ3Z"],"itemData":{"id":"STBZvR7z/W9onRNu6","type":"article-journal","abstract":"The Banff Classification of Allograft Pathology is an international consensus classification for the reporting of biopsies from solid organ transplants. Since its initial conception in 1991 for renal transplants, it has undergone review every 2 years, with attendant updated publications. The rapid expansion of knowledge in the field has led to numerous revisions of the classification. The resultant dispersal of relevant content makes it difficult for novices and experienced pathologists to faithfully apply the classification in routine diagnostic work and in clinical trials. This review shall provide a complete and simple illustrated reference guide of the Banff Classification of Kidney Allograft Pathology based on all publications including the 2017 update. It is intended as a concise desktop reference for pathologists and clinicians, providing definitions, Banff Lesion Scores and Banff Diagnostic Categories. An online website reference guide hosted by the Banff Foundation for Allograft Pathology (www.banfffoundation.org) is being developed, which will be updated with future refinement of the Banff Classification from 2019 onward.","container-title":"Transplantation","DOI":"10.1097/TP.0000000000002366","ISSN":"0041-1337","issue":"11","language":"en-US","page":"1795–1814","source":"journals.lww.com","title":"A 2018 Reference Guide to the Banff Classification of Renal Allograft Pathology","volume":"102","author":[{"family":"Roufosse","given":"Candice"},{"family":"Simmonds","given":"Naomi"},{"family":"Clahsen-van Groningen","given":"Marian"},{"family":"Haas","given":"Mark"},{"family":"Henriksen","given":"Kammi J."},{"family":"Horsfield","given":"Catherine"},{"family":"Loupy","given":"Alexandre"},{"family":"Mengel","given":"Michael"},{"family":"Perkowska-Ptasinska","given":"Agnieszka"},{"family":"Rabant","given":"Marion"},{"family":"Racusen","given":"Lorraine C."},{"family":"Solez","given":"Kim"},{"family":"Becker","given":"Jan U."}],"issued":{"date-parts":[["2018",11]]}}}],"schema":"https://github.com/citation-style-language/schema/raw/master/csl-citation.json"}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42</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xml:space="preserve">. These are commonly added (mi) with a threshold for positivity of 2. Bulk RNA analysis has shown peritubular capillaritis is highly </w:t>
      </w:r>
      <w:r w:rsidRPr="00982466">
        <w:rPr>
          <w:rFonts w:ascii="Helvetica" w:eastAsia="Calibri" w:hAnsi="Helvetica"/>
          <w:kern w:val="2"/>
          <w:sz w:val="22"/>
          <w:szCs w:val="22"/>
          <w14:ligatures w14:val="standardContextual"/>
        </w:rPr>
        <w:lastRenderedPageBreak/>
        <w:t>correlated with endothelial transcript elevation in human renal allografts with CAMR</w:t>
      </w:r>
      <w:r w:rsidRPr="00982466">
        <w:rPr>
          <w:rFonts w:ascii="Helvetica" w:eastAsia="Calibri" w:hAnsi="Helvetica"/>
          <w:kern w:val="2"/>
          <w:sz w:val="22"/>
          <w:szCs w:val="22"/>
          <w14:ligatures w14:val="standardContextual"/>
        </w:rPr>
        <w:fldChar w:fldCharType="begin"/>
      </w:r>
      <w:r w:rsidRPr="00982466">
        <w:rPr>
          <w:rFonts w:ascii="Helvetica" w:eastAsia="Calibri" w:hAnsi="Helvetica"/>
          <w:kern w:val="2"/>
          <w:sz w:val="22"/>
          <w:szCs w:val="22"/>
          <w14:ligatures w14:val="standardContextual"/>
        </w:rPr>
        <w:instrText xml:space="preserve"> ADDIN ZOTERO_ITEM CSL_CITATION {"citationID":"audqd97q5q","properties":{"formattedCitation":"\\super 76\\nosupersub{}","plainCitation":"76","noteIndex":0},"citationItems":[{"id":6291,"uris":["http://zotero.org/users/6514188/items/6EL5ZFRU"],"itemData":{"id":6291,"type":"article-journal","abstract":"BACKGROUND: To seek insights into the pathogenesis of chronic active antibody-mediated rejection (CAMR), we performed mRNA analysis and correlated transcripts with pathologic component scores and graft outcomes.\nMETHODS: We utilized the NanoString nCounter platform and the Banff Human Organ Transplant gene panel to quantify transcripts on 326 archived renal allograft biopsy samples. This system allowed correlation of transcripts with Banff pathology scores from the same tissue block and correlation with long-term outcomes.\nRESULTS: The only pathology score that correlated with AMR pathways in CAMR was peritubular capillaritis (ptc). C4d, cg, g, v, i, t, or ci scores did not correlate. DSA-negative CAMR had lower AMR pathway scores than DSA-positive CAMR. Transcript analysis in non-CAMR biopsies yielded evidence of increased risk of later CAMR. Among 108 patients without histologic CAMR, 23 developed overt biopsy-documented CAMR within 5 years and as a group had higher AMR pathway scores (P=3.4 × 10-5). Random forest analysis correlated 3-year graft loss with elevated damage, innate immunity, and macrophage pathway scores in CAMR and TCMR. Graft failure in CAMR was associated with TCMR transcripts but not with AMR transcripts, and graft failure in TCMR was associated with AMR transcripts but not with TCMR transcripts.\nCONCLUSIONS: Peritubular capillary inflammation and DSA are the primary drivers of AMR transcript elevation. Transcripts revealed subpathological evidence of AMR, which often preceded histologic CAMR and subpathological evidence of TCMR that predicted graft loss in CAMR.","container-title":"Journal of the American Society of Nephrology: JASN","DOI":"10.1681/ASN.2022040444","ISSN":"1533-3450","issue":"12","journalAbbreviation":"J Am Soc Nephrol","language":"eng","note":"PMID: 36450597\nPMCID: PMC9731628","page":"2306-2319","source":"PubMed","title":"Banff Human Organ Transplant Transcripts Correlate with Renal Allograft Pathology and Outcome: Importance of Capillaritis and Subpathologic Rejection","title-short":"Banff Human Organ Transplant Transcripts Correlate with Renal Allograft Pathology and Outcome","volume":"33","author":[{"family":"Rosales","given":"Ivy A."},{"family":"Mahowald","given":"Grace K."},{"family":"Tomaszewski","given":"Kristen"},{"family":"Hotta","given":"Kiyohiko"},{"family":"Iwahara","given":"Naoya"},{"family":"Otsuka","given":"Takuya"},{"family":"Tsuji","given":"Takahiro"},{"family":"Takada","given":"Yusuke"},{"family":"Acheampong","given":"Ellen"},{"family":"Araujo-Medina","given":"Milagros"},{"family":"Bruce","given":"Amy"},{"family":"Rios","given":"Andrea"},{"family":"Cosimi","given":"Anthony Benedict"},{"family":"Elias","given":"Nahel"},{"family":"Kawai","given":"Tatsuo"},{"family":"Gilligan","given":"Hannah"},{"family":"Safa","given":"Kassem"},{"family":"Riella","given":"Leonardo V."},{"family":"Tolkoff-Rubin","given":"Nina E."},{"family":"Williams","given":"Winfred W."},{"family":"Smith","given":"Rex Neal"},{"family":"Colvin","given":"Robert B."}],"issued":{"date-parts":[["2022",12]]}}}],"schema":"https://github.com/citation-style-language/schema/raw/master/csl-citation.json"} </w:instrText>
      </w:r>
      <w:r w:rsidRPr="00982466">
        <w:rPr>
          <w:rFonts w:ascii="Helvetica" w:eastAsia="Calibri" w:hAnsi="Helvetica"/>
          <w:kern w:val="2"/>
          <w:sz w:val="22"/>
          <w:szCs w:val="22"/>
          <w14:ligatures w14:val="standardContextual"/>
        </w:rPr>
        <w:fldChar w:fldCharType="separate"/>
      </w:r>
      <w:r w:rsidRPr="00982466">
        <w:rPr>
          <w:rFonts w:ascii="Helvetica" w:eastAsia="Calibri" w:hAnsi="Helvetica" w:cs="Helvetica"/>
          <w:sz w:val="22"/>
          <w:szCs w:val="24"/>
          <w:vertAlign w:val="superscript"/>
        </w:rPr>
        <w:t>76</w:t>
      </w:r>
      <w:r w:rsidRPr="00982466">
        <w:rPr>
          <w:rFonts w:ascii="Helvetica" w:eastAsia="Calibri" w:hAnsi="Helvetica"/>
          <w:kern w:val="2"/>
          <w:sz w:val="22"/>
          <w:szCs w:val="22"/>
          <w14:ligatures w14:val="standardContextual"/>
        </w:rPr>
        <w:fldChar w:fldCharType="end"/>
      </w:r>
      <w:r w:rsidRPr="00982466">
        <w:rPr>
          <w:rFonts w:ascii="Helvetica" w:eastAsia="Calibri" w:hAnsi="Helvetica"/>
          <w:kern w:val="2"/>
          <w:sz w:val="22"/>
          <w:szCs w:val="22"/>
          <w14:ligatures w14:val="standardContextual"/>
        </w:rPr>
        <w:t>. Furthermore, peritubular capillaritis is not a feature of TMA in native kidneys. We have used Banff mi score&gt;2 as a criterion for active AMR. Of the 7 xenokidneys with mi&gt;2, 4 had both C4d and DSA, 2 had C4d without DSA and one had DSA without C4d. None lacked both DSA and C4d, arguing that this criterion requires the presence of either DSA or C4d. Transplant glomerulopathy (cg), or duplication of the glomerular basement membrane, is a nonspecific feature that indicates chronic endothelial injury and can thus be present in chronic TMA or chronic AMR. In the presence of microvascular inflammation, C4d and DSA, this pathologic feature is attributed to chronic, active antibody mediated rejection.</w:t>
      </w:r>
    </w:p>
    <w:p w14:paraId="125EA9C4" w14:textId="77777777" w:rsidR="00982466" w:rsidRPr="00982466" w:rsidRDefault="00982466" w:rsidP="00982466">
      <w:pPr>
        <w:rPr>
          <w:color w:val="0000FF"/>
          <w:szCs w:val="24"/>
          <w:u w:val="single"/>
        </w:rPr>
      </w:pPr>
    </w:p>
    <w:p w14:paraId="54A37894" w14:textId="77777777" w:rsidR="00982466" w:rsidRPr="00982466" w:rsidRDefault="00982466" w:rsidP="00982466">
      <w:pPr>
        <w:spacing w:line="480" w:lineRule="auto"/>
        <w:rPr>
          <w:rFonts w:eastAsia="MS Mincho"/>
        </w:rPr>
      </w:pPr>
    </w:p>
    <w:p w14:paraId="1E559E55" w14:textId="77777777" w:rsidR="00982466" w:rsidRPr="00982466" w:rsidRDefault="00982466" w:rsidP="00982466">
      <w:pPr>
        <w:rPr>
          <w:rFonts w:eastAsia="MS Mincho"/>
        </w:rPr>
      </w:pPr>
      <w:r w:rsidRPr="00982466">
        <w:rPr>
          <w:rFonts w:eastAsia="MS Mincho"/>
        </w:rPr>
        <w:br w:type="page"/>
      </w:r>
    </w:p>
    <w:p w14:paraId="55A7F12E" w14:textId="77777777" w:rsidR="00982466" w:rsidRPr="00982466" w:rsidRDefault="00982466" w:rsidP="00982466">
      <w:pPr>
        <w:spacing w:line="480" w:lineRule="auto"/>
        <w:rPr>
          <w:rFonts w:eastAsia="MS Mincho"/>
        </w:rPr>
      </w:pPr>
    </w:p>
    <w:p w14:paraId="26DC446F" w14:textId="77777777" w:rsidR="00982466" w:rsidRPr="00982466" w:rsidRDefault="00982466" w:rsidP="00982466"/>
    <w:p w14:paraId="6B3A1E2E" w14:textId="77777777" w:rsidR="00982466" w:rsidRPr="00982466" w:rsidRDefault="00982466" w:rsidP="00982466">
      <w:r w:rsidRPr="00982466">
        <w:rPr>
          <w:noProof/>
        </w:rPr>
        <w:drawing>
          <wp:inline distT="0" distB="0" distL="0" distR="0" wp14:anchorId="3D4BC2EC" wp14:editId="1E81A92F">
            <wp:extent cx="5924550" cy="1647825"/>
            <wp:effectExtent l="0" t="0" r="0" b="9525"/>
            <wp:docPr id="99019544" name="Picture 99019544"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19544" name="Picture 1" descr="A picture containing text, screenshot, font, line&#10;&#10;Description automatically generated"/>
                    <pic:cNvPicPr/>
                  </pic:nvPicPr>
                  <pic:blipFill>
                    <a:blip r:embed="rId19"/>
                    <a:stretch>
                      <a:fillRect/>
                    </a:stretch>
                  </pic:blipFill>
                  <pic:spPr>
                    <a:xfrm>
                      <a:off x="0" y="0"/>
                      <a:ext cx="5924550" cy="1647825"/>
                    </a:xfrm>
                    <a:prstGeom prst="rect">
                      <a:avLst/>
                    </a:prstGeom>
                  </pic:spPr>
                </pic:pic>
              </a:graphicData>
            </a:graphic>
          </wp:inline>
        </w:drawing>
      </w:r>
    </w:p>
    <w:p w14:paraId="2FA4ABF8" w14:textId="77777777" w:rsidR="00982466" w:rsidRPr="00982466" w:rsidRDefault="00982466" w:rsidP="00982466">
      <w:pPr>
        <w:spacing w:line="480" w:lineRule="auto"/>
      </w:pPr>
      <w:r w:rsidRPr="00982466">
        <w:rPr>
          <w:b/>
          <w:bCs/>
        </w:rPr>
        <w:t>Supplementary Fig. 1</w:t>
      </w:r>
      <w:r w:rsidRPr="00982466">
        <w:t xml:space="preserve">. </w:t>
      </w:r>
      <w:r w:rsidRPr="00982466">
        <w:rPr>
          <w:b/>
          <w:bCs/>
        </w:rPr>
        <w:t xml:space="preserve">Induction and maintenance immunosuppression regimen used in the NHP transplantation study. </w:t>
      </w:r>
      <w:r w:rsidRPr="00982466">
        <w:t>Rabbit anti-rhesus thymocyte globulin (rhATG) and anti-CD20 monoclonal antibody (mAb) were used as induction immunosuppression. After transplantation, anti-CD154 mAb (5C8) or Fc-modified anti-CD154 mAb (TNX-1500) on days 0, 2, 5, 7, and 12, and then weekly (25 mg/kg on day 0 then 20 mg/kg) thereafter, corticosteroids (for 1 month), tacrolimus (for 2 months), and daily mycophenolate mofetil  were administered. * indicates that some recipients received additional doses of anti-CD20 at approximately 60-day intervals until POD 180 to ensure B cell depletion.  # indicates administration of anti-CD154 before and after xenograft perfusion.</w:t>
      </w:r>
    </w:p>
    <w:p w14:paraId="5B661A3D" w14:textId="77777777" w:rsidR="00982466" w:rsidRPr="00982466" w:rsidRDefault="00982466" w:rsidP="00982466">
      <w:pPr>
        <w:spacing w:line="480" w:lineRule="auto"/>
      </w:pPr>
    </w:p>
    <w:p w14:paraId="77098B7F" w14:textId="77777777" w:rsidR="00982466" w:rsidRPr="00982466" w:rsidRDefault="00982466" w:rsidP="00982466">
      <w:pPr>
        <w:spacing w:line="480" w:lineRule="auto"/>
      </w:pPr>
    </w:p>
    <w:p w14:paraId="44397236" w14:textId="77777777" w:rsidR="00982466" w:rsidRPr="00982466" w:rsidRDefault="00982466" w:rsidP="00982466">
      <w:pPr>
        <w:spacing w:line="480" w:lineRule="auto"/>
      </w:pPr>
    </w:p>
    <w:p w14:paraId="6ADF4AD2" w14:textId="77777777" w:rsidR="00982466" w:rsidRPr="00982466" w:rsidRDefault="00982466" w:rsidP="00982466">
      <w:pPr>
        <w:spacing w:line="480" w:lineRule="auto"/>
      </w:pPr>
    </w:p>
    <w:p w14:paraId="134645E4" w14:textId="77777777" w:rsidR="00982466" w:rsidRPr="00982466" w:rsidRDefault="00982466" w:rsidP="00982466">
      <w:pPr>
        <w:spacing w:line="480" w:lineRule="auto"/>
      </w:pPr>
    </w:p>
    <w:p w14:paraId="09F3E903" w14:textId="77777777" w:rsidR="00982466" w:rsidRPr="00982466" w:rsidRDefault="00982466" w:rsidP="00982466">
      <w:pPr>
        <w:spacing w:line="480" w:lineRule="auto"/>
      </w:pPr>
    </w:p>
    <w:p w14:paraId="6D3EDFDE" w14:textId="77777777" w:rsidR="00982466" w:rsidRPr="00982466" w:rsidRDefault="00982466" w:rsidP="00982466">
      <w:pPr>
        <w:spacing w:line="480" w:lineRule="auto"/>
        <w:rPr>
          <w:b/>
          <w:bCs/>
          <w:color w:val="000000"/>
          <w:sz w:val="22"/>
          <w:szCs w:val="22"/>
        </w:rPr>
      </w:pPr>
    </w:p>
    <w:p w14:paraId="201F484D" w14:textId="77777777" w:rsidR="00982466" w:rsidRPr="00982466" w:rsidRDefault="00982466" w:rsidP="00982466">
      <w:pPr>
        <w:spacing w:line="480" w:lineRule="auto"/>
        <w:rPr>
          <w:b/>
          <w:bCs/>
          <w:color w:val="000000"/>
          <w:sz w:val="22"/>
          <w:szCs w:val="22"/>
        </w:rPr>
      </w:pPr>
    </w:p>
    <w:p w14:paraId="6B25872A" w14:textId="77777777" w:rsidR="00982466" w:rsidRPr="00982466" w:rsidRDefault="00982466" w:rsidP="00982466">
      <w:pPr>
        <w:spacing w:line="480" w:lineRule="auto"/>
        <w:rPr>
          <w:b/>
          <w:bCs/>
          <w:color w:val="000000"/>
          <w:sz w:val="22"/>
          <w:szCs w:val="22"/>
        </w:rPr>
      </w:pPr>
      <w:r w:rsidRPr="00982466">
        <w:rPr>
          <w:b/>
          <w:bCs/>
          <w:noProof/>
          <w:color w:val="000000"/>
          <w:sz w:val="22"/>
          <w:szCs w:val="22"/>
        </w:rPr>
        <w:lastRenderedPageBreak/>
        <w:drawing>
          <wp:inline distT="0" distB="0" distL="0" distR="0" wp14:anchorId="6F44348E" wp14:editId="26A12C8A">
            <wp:extent cx="5305127" cy="5803900"/>
            <wp:effectExtent l="0" t="0" r="0" b="0"/>
            <wp:docPr id="151944190" name="Picture 151944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944190" name="Picture 151944190"/>
                    <pic:cNvPicPr/>
                  </pic:nvPicPr>
                  <pic:blipFill rotWithShape="1">
                    <a:blip r:embed="rId20">
                      <a:extLst>
                        <a:ext uri="{28A0092B-C50C-407E-A947-70E740481C1C}">
                          <a14:useLocalDpi xmlns:a14="http://schemas.microsoft.com/office/drawing/2010/main" val="0"/>
                        </a:ext>
                      </a:extLst>
                    </a:blip>
                    <a:srcRect b="15462"/>
                    <a:stretch/>
                  </pic:blipFill>
                  <pic:spPr bwMode="auto">
                    <a:xfrm>
                      <a:off x="0" y="0"/>
                      <a:ext cx="5305824" cy="5804663"/>
                    </a:xfrm>
                    <a:prstGeom prst="rect">
                      <a:avLst/>
                    </a:prstGeom>
                    <a:ln>
                      <a:noFill/>
                    </a:ln>
                    <a:extLst>
                      <a:ext uri="{53640926-AAD7-44D8-BBD7-CCE9431645EC}">
                        <a14:shadowObscured xmlns:a14="http://schemas.microsoft.com/office/drawing/2010/main"/>
                      </a:ext>
                    </a:extLst>
                  </pic:spPr>
                </pic:pic>
              </a:graphicData>
            </a:graphic>
          </wp:inline>
        </w:drawing>
      </w:r>
    </w:p>
    <w:p w14:paraId="19BF4441" w14:textId="77777777" w:rsidR="00982466" w:rsidRPr="00982466" w:rsidRDefault="00982466" w:rsidP="00982466">
      <w:pPr>
        <w:spacing w:line="480" w:lineRule="auto"/>
        <w:rPr>
          <w:color w:val="000000"/>
          <w:sz w:val="22"/>
          <w:szCs w:val="22"/>
        </w:rPr>
      </w:pPr>
      <w:r w:rsidRPr="00982466">
        <w:rPr>
          <w:b/>
          <w:bCs/>
          <w:color w:val="000000"/>
          <w:sz w:val="22"/>
          <w:szCs w:val="22"/>
        </w:rPr>
        <w:t>Supplementary Fig. 2</w:t>
      </w:r>
      <w:r w:rsidRPr="00982466">
        <w:rPr>
          <w:color w:val="000000"/>
          <w:sz w:val="22"/>
          <w:szCs w:val="22"/>
        </w:rPr>
        <w:t xml:space="preserve"> </w:t>
      </w:r>
      <w:r w:rsidRPr="00982466">
        <w:rPr>
          <w:b/>
          <w:bCs/>
          <w:color w:val="000000"/>
          <w:sz w:val="22"/>
          <w:szCs w:val="22"/>
        </w:rPr>
        <w:t>Gating strategy for cell sorting and flow cytometry analysis.</w:t>
      </w:r>
      <w:r w:rsidRPr="00982466">
        <w:rPr>
          <w:color w:val="000000"/>
          <w:sz w:val="22"/>
          <w:szCs w:val="22"/>
        </w:rPr>
        <w:t xml:space="preserve"> </w:t>
      </w:r>
      <w:r w:rsidRPr="00982466">
        <w:rPr>
          <w:b/>
          <w:bCs/>
          <w:color w:val="000000"/>
          <w:sz w:val="22"/>
          <w:szCs w:val="22"/>
        </w:rPr>
        <w:t>a,</w:t>
      </w:r>
      <w:r w:rsidRPr="00982466">
        <w:rPr>
          <w:color w:val="000000"/>
          <w:sz w:val="22"/>
          <w:szCs w:val="22"/>
        </w:rPr>
        <w:t xml:space="preserve"> Sorting scheme to enrich for CD31+ endothelial cells. Aortic endothelial cells (AECs) proceeded through just one sort, while kidney endothelial cells (KECs) proceeded through two sorts to establish stable CD31+ purity to be used in assays. </w:t>
      </w:r>
      <w:r w:rsidRPr="00982466">
        <w:rPr>
          <w:b/>
          <w:bCs/>
          <w:color w:val="000000"/>
          <w:sz w:val="22"/>
          <w:szCs w:val="22"/>
        </w:rPr>
        <w:t xml:space="preserve">b, </w:t>
      </w:r>
      <w:r w:rsidRPr="00982466">
        <w:rPr>
          <w:color w:val="000000"/>
          <w:sz w:val="22"/>
          <w:szCs w:val="22"/>
        </w:rPr>
        <w:t xml:space="preserve">Master gating scheme representative of analysis of cell lines in Fig. 1b, 1c, Extended Data Fig. 6 and 8. </w:t>
      </w:r>
      <w:r w:rsidRPr="00982466">
        <w:rPr>
          <w:b/>
          <w:bCs/>
          <w:color w:val="000000"/>
          <w:sz w:val="22"/>
          <w:szCs w:val="22"/>
        </w:rPr>
        <w:t xml:space="preserve">c, </w:t>
      </w:r>
      <w:r w:rsidRPr="00982466">
        <w:rPr>
          <w:color w:val="000000"/>
          <w:sz w:val="22"/>
          <w:szCs w:val="22"/>
        </w:rPr>
        <w:t>Master gating scheme representative of analysis of cell lines in Fig. 1d, 1e, 3a, 3b, 3d, 3e, Extended Data Fig. 3a, 3c, 4a, 4d, 4f, 5a, and 5b.</w:t>
      </w:r>
    </w:p>
    <w:p w14:paraId="59AA3DF7" w14:textId="77777777" w:rsidR="00982466" w:rsidRPr="00982466" w:rsidRDefault="00982466" w:rsidP="00982466">
      <w:pPr>
        <w:rPr>
          <w:color w:val="000000"/>
          <w:sz w:val="22"/>
          <w:szCs w:val="22"/>
        </w:rPr>
      </w:pPr>
      <w:r w:rsidRPr="00982466">
        <w:rPr>
          <w:color w:val="000000"/>
          <w:sz w:val="22"/>
          <w:szCs w:val="22"/>
        </w:rPr>
        <w:br w:type="page"/>
      </w:r>
    </w:p>
    <w:p w14:paraId="73180A17" w14:textId="77777777" w:rsidR="00982466" w:rsidRPr="00982466" w:rsidRDefault="00982466" w:rsidP="00982466">
      <w:pPr>
        <w:spacing w:line="480" w:lineRule="auto"/>
        <w:rPr>
          <w:color w:val="000000"/>
          <w:sz w:val="22"/>
          <w:szCs w:val="22"/>
        </w:rPr>
      </w:pPr>
    </w:p>
    <w:tbl>
      <w:tblPr>
        <w:tblStyle w:val="TableGrid5"/>
        <w:tblW w:w="0" w:type="auto"/>
        <w:tblLook w:val="04A0" w:firstRow="1" w:lastRow="0" w:firstColumn="1" w:lastColumn="0" w:noHBand="0" w:noVBand="1"/>
      </w:tblPr>
      <w:tblGrid>
        <w:gridCol w:w="4675"/>
        <w:gridCol w:w="4675"/>
      </w:tblGrid>
      <w:tr w:rsidR="00982466" w:rsidRPr="00982466" w14:paraId="382305EE" w14:textId="77777777" w:rsidTr="008177A2">
        <w:trPr>
          <w:trHeight w:val="260"/>
        </w:trPr>
        <w:tc>
          <w:tcPr>
            <w:tcW w:w="4675" w:type="dxa"/>
          </w:tcPr>
          <w:p w14:paraId="7C47FAA1" w14:textId="77777777" w:rsidR="00982466" w:rsidRPr="00982466" w:rsidRDefault="00982466" w:rsidP="00982466">
            <w:pPr>
              <w:spacing w:line="480" w:lineRule="auto"/>
              <w:rPr>
                <w:rFonts w:ascii="Calibri" w:hAnsi="Calibri" w:cs="Arial"/>
                <w:noProof/>
                <w:color w:val="000000"/>
                <w:sz w:val="22"/>
                <w:szCs w:val="22"/>
              </w:rPr>
            </w:pPr>
            <w:r w:rsidRPr="00982466">
              <w:rPr>
                <w:rFonts w:ascii="Calibri" w:hAnsi="Calibri" w:cs="Arial"/>
                <w:noProof/>
                <w:color w:val="000000"/>
                <w:sz w:val="22"/>
                <w:szCs w:val="22"/>
              </w:rPr>
              <w:t>a.</w:t>
            </w:r>
          </w:p>
        </w:tc>
        <w:tc>
          <w:tcPr>
            <w:tcW w:w="4675" w:type="dxa"/>
          </w:tcPr>
          <w:p w14:paraId="7066F071" w14:textId="77777777" w:rsidR="00982466" w:rsidRPr="00982466" w:rsidRDefault="00982466" w:rsidP="00982466">
            <w:pPr>
              <w:spacing w:line="480" w:lineRule="auto"/>
              <w:rPr>
                <w:rFonts w:ascii="Calibri" w:hAnsi="Calibri" w:cs="Arial"/>
                <w:noProof/>
                <w:color w:val="000000"/>
                <w:sz w:val="22"/>
                <w:szCs w:val="22"/>
              </w:rPr>
            </w:pPr>
            <w:r w:rsidRPr="00982466">
              <w:rPr>
                <w:rFonts w:ascii="Calibri" w:hAnsi="Calibri" w:cs="Arial"/>
                <w:noProof/>
                <w:color w:val="000000"/>
                <w:sz w:val="22"/>
                <w:szCs w:val="22"/>
              </w:rPr>
              <w:t>b.</w:t>
            </w:r>
          </w:p>
        </w:tc>
      </w:tr>
      <w:tr w:rsidR="00982466" w:rsidRPr="00982466" w14:paraId="415F253A" w14:textId="77777777" w:rsidTr="008177A2">
        <w:tc>
          <w:tcPr>
            <w:tcW w:w="4675" w:type="dxa"/>
          </w:tcPr>
          <w:p w14:paraId="32A73E13" w14:textId="77777777" w:rsidR="00982466" w:rsidRPr="00982466" w:rsidRDefault="00982466" w:rsidP="00982466">
            <w:pPr>
              <w:spacing w:line="480" w:lineRule="auto"/>
              <w:rPr>
                <w:rFonts w:ascii="Calibri" w:hAnsi="Calibri" w:cs="Arial"/>
                <w:color w:val="000000"/>
                <w:sz w:val="22"/>
                <w:szCs w:val="22"/>
              </w:rPr>
            </w:pPr>
            <w:r w:rsidRPr="00982466">
              <w:rPr>
                <w:rFonts w:ascii="Calibri" w:hAnsi="Calibri" w:cs="Arial"/>
                <w:noProof/>
                <w:color w:val="000000"/>
                <w:sz w:val="22"/>
                <w:szCs w:val="22"/>
              </w:rPr>
              <w:drawing>
                <wp:inline distT="0" distB="0" distL="0" distR="0" wp14:anchorId="103674D7" wp14:editId="142D1341">
                  <wp:extent cx="2798445" cy="2212975"/>
                  <wp:effectExtent l="0" t="0" r="1905" b="0"/>
                  <wp:docPr id="1129362442" name="Picture 5" descr="A close-up of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362442" name="Picture 5" descr="A close-up of a test tub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98445" cy="2212975"/>
                          </a:xfrm>
                          <a:prstGeom prst="rect">
                            <a:avLst/>
                          </a:prstGeom>
                          <a:noFill/>
                        </pic:spPr>
                      </pic:pic>
                    </a:graphicData>
                  </a:graphic>
                </wp:inline>
              </w:drawing>
            </w:r>
          </w:p>
        </w:tc>
        <w:tc>
          <w:tcPr>
            <w:tcW w:w="4675" w:type="dxa"/>
          </w:tcPr>
          <w:p w14:paraId="550524BC" w14:textId="77777777" w:rsidR="00982466" w:rsidRPr="00982466" w:rsidRDefault="00982466" w:rsidP="00982466">
            <w:pPr>
              <w:spacing w:line="480" w:lineRule="auto"/>
              <w:rPr>
                <w:rFonts w:ascii="Calibri" w:hAnsi="Calibri" w:cs="Arial"/>
                <w:color w:val="000000"/>
                <w:sz w:val="22"/>
                <w:szCs w:val="22"/>
              </w:rPr>
            </w:pPr>
            <w:r w:rsidRPr="00982466">
              <w:rPr>
                <w:rFonts w:ascii="Calibri" w:hAnsi="Calibri" w:cs="Arial"/>
                <w:noProof/>
                <w:color w:val="000000"/>
                <w:sz w:val="22"/>
                <w:szCs w:val="22"/>
              </w:rPr>
              <w:drawing>
                <wp:inline distT="0" distB="0" distL="0" distR="0" wp14:anchorId="20487277" wp14:editId="165C0E82">
                  <wp:extent cx="2711916" cy="2212975"/>
                  <wp:effectExtent l="0" t="0" r="0" b="0"/>
                  <wp:docPr id="245035263" name="Picture 6"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035263" name="Picture 6" descr="A close-up of a dna tes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25502" cy="2224062"/>
                          </a:xfrm>
                          <a:prstGeom prst="rect">
                            <a:avLst/>
                          </a:prstGeom>
                          <a:noFill/>
                        </pic:spPr>
                      </pic:pic>
                    </a:graphicData>
                  </a:graphic>
                </wp:inline>
              </w:drawing>
            </w:r>
          </w:p>
        </w:tc>
      </w:tr>
    </w:tbl>
    <w:p w14:paraId="7A23EF3E" w14:textId="77777777" w:rsidR="00982466" w:rsidRPr="00982466" w:rsidRDefault="00982466" w:rsidP="00982466">
      <w:pPr>
        <w:spacing w:line="480" w:lineRule="auto"/>
        <w:rPr>
          <w:color w:val="000000"/>
          <w:sz w:val="22"/>
          <w:szCs w:val="22"/>
        </w:rPr>
      </w:pPr>
    </w:p>
    <w:p w14:paraId="4F9E212C" w14:textId="572E70E1" w:rsidR="00982466" w:rsidRPr="00982466" w:rsidRDefault="00982466" w:rsidP="00982466">
      <w:pPr>
        <w:spacing w:line="480" w:lineRule="auto"/>
        <w:rPr>
          <w:color w:val="000000"/>
          <w:sz w:val="22"/>
          <w:szCs w:val="22"/>
        </w:rPr>
      </w:pPr>
      <w:r w:rsidRPr="00982466">
        <w:rPr>
          <w:b/>
          <w:bCs/>
          <w:color w:val="000000"/>
          <w:sz w:val="22"/>
          <w:szCs w:val="22"/>
        </w:rPr>
        <w:t>Supplementary Fig 3.</w:t>
      </w:r>
      <w:r w:rsidRPr="00982466">
        <w:rPr>
          <w:color w:val="000000"/>
          <w:sz w:val="22"/>
          <w:szCs w:val="22"/>
        </w:rPr>
        <w:t xml:space="preserve"> </w:t>
      </w:r>
      <w:r w:rsidRPr="00982466">
        <w:rPr>
          <w:b/>
          <w:bCs/>
          <w:color w:val="000000"/>
          <w:sz w:val="22"/>
          <w:szCs w:val="22"/>
        </w:rPr>
        <w:t>Uncropped gel images supporting Extended Data Figure 5c.</w:t>
      </w:r>
      <w:r w:rsidRPr="00982466">
        <w:rPr>
          <w:color w:val="000000"/>
          <w:sz w:val="22"/>
          <w:szCs w:val="22"/>
        </w:rPr>
        <w:t xml:space="preserve"> a. Blot probed with an antibody detecting </w:t>
      </w:r>
      <w:r w:rsidR="007F0183">
        <w:rPr>
          <w:color w:val="000000"/>
          <w:sz w:val="22"/>
          <w:szCs w:val="22"/>
        </w:rPr>
        <w:t>TNFAIP3</w:t>
      </w:r>
      <w:r w:rsidRPr="00982466">
        <w:rPr>
          <w:color w:val="000000"/>
          <w:sz w:val="22"/>
          <w:szCs w:val="22"/>
        </w:rPr>
        <w:t xml:space="preserve"> (ab92324, abcam). b. Blot probed with an antibody detecting </w:t>
      </w:r>
      <w:r w:rsidR="00722FAA">
        <w:rPr>
          <w:color w:val="000000"/>
          <w:sz w:val="22"/>
          <w:szCs w:val="22"/>
        </w:rPr>
        <w:t>β-</w:t>
      </w:r>
      <w:r w:rsidRPr="00982466">
        <w:rPr>
          <w:color w:val="000000"/>
          <w:sz w:val="22"/>
          <w:szCs w:val="22"/>
        </w:rPr>
        <w:t>actin as a loading control (BDB612656, BD Biosciences).</w:t>
      </w:r>
    </w:p>
    <w:p w14:paraId="006B745F" w14:textId="77777777" w:rsidR="00982466" w:rsidRPr="00982466" w:rsidRDefault="00982466" w:rsidP="00982466">
      <w:pPr>
        <w:spacing w:line="480" w:lineRule="auto"/>
        <w:rPr>
          <w:color w:val="000000"/>
          <w:sz w:val="22"/>
          <w:szCs w:val="22"/>
        </w:rPr>
      </w:pPr>
    </w:p>
    <w:p w14:paraId="355C1CC1" w14:textId="77777777" w:rsidR="00982466" w:rsidRPr="00982466" w:rsidRDefault="00982466" w:rsidP="00982466">
      <w:pPr>
        <w:rPr>
          <w:color w:val="000000"/>
          <w:sz w:val="22"/>
          <w:szCs w:val="22"/>
        </w:rPr>
      </w:pPr>
      <w:r w:rsidRPr="00982466">
        <w:rPr>
          <w:color w:val="000000"/>
          <w:sz w:val="22"/>
          <w:szCs w:val="22"/>
        </w:rPr>
        <w:br w:type="page"/>
      </w:r>
    </w:p>
    <w:p w14:paraId="29C7F374" w14:textId="77777777" w:rsidR="00982466" w:rsidRPr="00982466" w:rsidRDefault="00982466" w:rsidP="00982466">
      <w:pPr>
        <w:spacing w:line="480" w:lineRule="auto"/>
        <w:rPr>
          <w:color w:val="000000"/>
          <w:sz w:val="22"/>
          <w:szCs w:val="22"/>
        </w:rPr>
      </w:pPr>
      <w:r w:rsidRPr="00982466">
        <w:rPr>
          <w:noProof/>
        </w:rPr>
        <w:lastRenderedPageBreak/>
        <w:drawing>
          <wp:inline distT="0" distB="0" distL="0" distR="0" wp14:anchorId="64A54B72" wp14:editId="344C336D">
            <wp:extent cx="5943600" cy="4827270"/>
            <wp:effectExtent l="0" t="0" r="0" b="0"/>
            <wp:docPr id="569419164" name="Picture 569419164" descr="A collage of images of different typ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19164" name="Picture 1" descr="A collage of images of different types of cells&#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827270"/>
                    </a:xfrm>
                    <a:prstGeom prst="rect">
                      <a:avLst/>
                    </a:prstGeom>
                    <a:noFill/>
                    <a:ln>
                      <a:noFill/>
                    </a:ln>
                  </pic:spPr>
                </pic:pic>
              </a:graphicData>
            </a:graphic>
          </wp:inline>
        </w:drawing>
      </w:r>
    </w:p>
    <w:p w14:paraId="6E6C16AF" w14:textId="77777777" w:rsidR="003F2FD2" w:rsidRDefault="00982466" w:rsidP="00982466">
      <w:pPr>
        <w:spacing w:line="480" w:lineRule="auto"/>
        <w:rPr>
          <w:color w:val="000000"/>
          <w:sz w:val="22"/>
          <w:szCs w:val="22"/>
        </w:rPr>
      </w:pPr>
      <w:r w:rsidRPr="00982466">
        <w:rPr>
          <w:b/>
          <w:bCs/>
          <w:color w:val="000000"/>
          <w:sz w:val="22"/>
          <w:szCs w:val="22"/>
        </w:rPr>
        <w:t>Supplementary Figure 4.</w:t>
      </w:r>
      <w:r w:rsidRPr="00982466">
        <w:rPr>
          <w:color w:val="000000"/>
          <w:sz w:val="22"/>
          <w:szCs w:val="22"/>
        </w:rPr>
        <w:t xml:space="preserve"> </w:t>
      </w:r>
      <w:r w:rsidRPr="00982466">
        <w:rPr>
          <w:b/>
          <w:bCs/>
          <w:color w:val="000000"/>
          <w:sz w:val="22"/>
          <w:szCs w:val="22"/>
        </w:rPr>
        <w:t>Gating strategy for lymphocyte analysis.</w:t>
      </w:r>
      <w:r w:rsidRPr="00982466">
        <w:rPr>
          <w:color w:val="000000"/>
          <w:sz w:val="22"/>
          <w:szCs w:val="22"/>
        </w:rPr>
        <w:t xml:space="preserve"> Lymphocyte subsets from peripheral blood were analyzed monitored throughout the experiment. Lymphocytes were first gated based on size and granularity, cells selected for CD3ε positive staining and further for CD4+ and CD8+ T cells. (a) Gating was then applied to select recent thymic emigrants (CD31+, CD45RA+). (b) Naïve (CD95-CD28+), central memory (CD95+CD28+), and effector memory (CD95+CD28-) T cells. (c) Regulatory T cells were gated by selecting CD4+ cells and further gating for CD25+Foxp3+ cells. (d) NK cells were gated as (CD3ε-CD16+CD8α+NKG2A+). (e) B cells were selected by CD20 positive staining and further gating applied to distinguish memory B cells (CD21-CD27+) and naïve B cells (CD21+IgM+).</w:t>
      </w:r>
    </w:p>
    <w:p w14:paraId="2F1097B0" w14:textId="77777777" w:rsidR="003F2FD2" w:rsidRDefault="003F2FD2">
      <w:pPr>
        <w:rPr>
          <w:color w:val="000000"/>
          <w:sz w:val="22"/>
          <w:szCs w:val="22"/>
        </w:rPr>
      </w:pPr>
      <w:r>
        <w:rPr>
          <w:color w:val="000000"/>
          <w:sz w:val="22"/>
          <w:szCs w:val="22"/>
        </w:rPr>
        <w:br w:type="page"/>
      </w:r>
    </w:p>
    <w:p w14:paraId="76D37839" w14:textId="18D6680E" w:rsidR="00982466" w:rsidRPr="00982466" w:rsidRDefault="003F2FD2" w:rsidP="00982466">
      <w:pPr>
        <w:spacing w:line="480" w:lineRule="auto"/>
        <w:rPr>
          <w:color w:val="000000"/>
          <w:sz w:val="22"/>
          <w:szCs w:val="22"/>
        </w:rPr>
      </w:pPr>
      <w:r>
        <w:rPr>
          <w:noProof/>
        </w:rPr>
        <w:lastRenderedPageBreak/>
        <w:drawing>
          <wp:inline distT="0" distB="0" distL="0" distR="0" wp14:anchorId="4A490D91" wp14:editId="2187B92C">
            <wp:extent cx="5536336" cy="3981450"/>
            <wp:effectExtent l="0" t="0" r="7620" b="0"/>
            <wp:docPr id="1130576371" name="Picture 1" descr="A group of graphs showing different types of dat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76371" name="Picture 1" descr="A group of graphs showing different types of data&#10;&#10;Description automatically generated with medium confidence"/>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38191" cy="3982784"/>
                    </a:xfrm>
                    <a:prstGeom prst="rect">
                      <a:avLst/>
                    </a:prstGeom>
                    <a:noFill/>
                    <a:ln>
                      <a:noFill/>
                    </a:ln>
                  </pic:spPr>
                </pic:pic>
              </a:graphicData>
            </a:graphic>
          </wp:inline>
        </w:drawing>
      </w:r>
    </w:p>
    <w:p w14:paraId="5FE8D830" w14:textId="7B43285A" w:rsidR="003F2FD2" w:rsidRDefault="003F2FD2" w:rsidP="003F2FD2">
      <w:pPr>
        <w:spacing w:line="480" w:lineRule="auto"/>
        <w:rPr>
          <w:rFonts w:eastAsia="Calibri"/>
          <w:b/>
          <w:bCs/>
          <w:sz w:val="22"/>
        </w:rPr>
      </w:pPr>
      <w:r w:rsidRPr="003F2FD2">
        <w:rPr>
          <w:rFonts w:eastAsia="Calibri"/>
          <w:b/>
          <w:bCs/>
          <w:sz w:val="22"/>
        </w:rPr>
        <w:t xml:space="preserve">Supplementary Figure </w:t>
      </w:r>
      <w:r>
        <w:rPr>
          <w:rFonts w:eastAsia="Calibri"/>
          <w:b/>
          <w:bCs/>
          <w:sz w:val="22"/>
        </w:rPr>
        <w:t>5</w:t>
      </w:r>
      <w:r w:rsidRPr="003F2FD2">
        <w:rPr>
          <w:rFonts w:eastAsia="Calibri"/>
          <w:szCs w:val="24"/>
        </w:rPr>
        <w:t xml:space="preserve">. </w:t>
      </w:r>
      <w:r w:rsidR="00D55718">
        <w:rPr>
          <w:rFonts w:eastAsia="Calibri"/>
          <w:szCs w:val="24"/>
        </w:rPr>
        <w:t>Additional b</w:t>
      </w:r>
      <w:r>
        <w:rPr>
          <w:rFonts w:eastAsia="Calibri"/>
          <w:szCs w:val="24"/>
        </w:rPr>
        <w:t xml:space="preserve">iomarkers of renal transplantation. </w:t>
      </w:r>
      <w:r w:rsidRPr="003F2FD2">
        <w:rPr>
          <w:rFonts w:eastAsia="Calibri"/>
          <w:b/>
          <w:bCs/>
          <w:szCs w:val="24"/>
        </w:rPr>
        <w:t>a</w:t>
      </w:r>
      <w:r w:rsidRPr="003F2FD2">
        <w:rPr>
          <w:rFonts w:eastAsia="Calibri"/>
          <w:szCs w:val="24"/>
        </w:rPr>
        <w:t xml:space="preserve">. Serum albumin levels generally remained within normal range, except when associated with graft failure, for recipients carrying 3KO.7TG and 3KO.7TG.RI renal grafts. Albumin levels in M11521, a 3KO renal graft recipient, were below normal range throughout transplant (orange line). </w:t>
      </w:r>
      <w:r w:rsidR="005D33AE" w:rsidRPr="005D33AE">
        <w:rPr>
          <w:rFonts w:eastAsia="Calibri"/>
          <w:b/>
          <w:bCs/>
          <w:szCs w:val="24"/>
        </w:rPr>
        <w:t>b</w:t>
      </w:r>
      <w:r w:rsidRPr="003F2FD2">
        <w:rPr>
          <w:rFonts w:eastAsia="Calibri"/>
          <w:szCs w:val="24"/>
        </w:rPr>
        <w:t xml:space="preserve">. Serum potassium levels remained within normal range, except when associated with graft failure, for recipients carrying 3KO.7TG, 3KO.7TG.RI and 3KO ±RI renal grafts. </w:t>
      </w:r>
      <w:r w:rsidR="00051A82" w:rsidRPr="00051A82">
        <w:rPr>
          <w:rFonts w:eastAsia="Calibri"/>
          <w:b/>
          <w:bCs/>
          <w:szCs w:val="24"/>
        </w:rPr>
        <w:t>c</w:t>
      </w:r>
      <w:r w:rsidRPr="003F2FD2">
        <w:rPr>
          <w:rFonts w:eastAsia="Calibri"/>
          <w:szCs w:val="24"/>
        </w:rPr>
        <w:t xml:space="preserve">. Platelet counts generally remained within normal range. </w:t>
      </w:r>
      <w:r w:rsidR="00051A82">
        <w:rPr>
          <w:rFonts w:eastAsia="Calibri"/>
          <w:szCs w:val="24"/>
        </w:rPr>
        <w:t xml:space="preserve">First column: transplants ongoing at time of manuscript preparation; second column: transplants </w:t>
      </w:r>
      <w:r w:rsidR="00046642">
        <w:rPr>
          <w:rFonts w:eastAsia="Calibri"/>
          <w:szCs w:val="24"/>
        </w:rPr>
        <w:t xml:space="preserve">experiencing renal failure; third column: NHPs euthanized at humane endpoint. </w:t>
      </w:r>
      <w:r>
        <w:rPr>
          <w:rFonts w:eastAsia="Calibri"/>
          <w:b/>
          <w:bCs/>
          <w:sz w:val="22"/>
        </w:rPr>
        <w:br w:type="page"/>
      </w:r>
    </w:p>
    <w:p w14:paraId="29B82B6A" w14:textId="6ED797D6" w:rsidR="00982466" w:rsidRPr="00982466" w:rsidRDefault="00982466" w:rsidP="00982466">
      <w:pPr>
        <w:tabs>
          <w:tab w:val="left" w:pos="384"/>
        </w:tabs>
        <w:spacing w:line="480" w:lineRule="auto"/>
        <w:ind w:left="384" w:hanging="384"/>
        <w:rPr>
          <w:rFonts w:eastAsia="Calibri"/>
          <w:b/>
          <w:bCs/>
          <w:sz w:val="22"/>
        </w:rPr>
      </w:pPr>
      <w:r w:rsidRPr="00982466">
        <w:rPr>
          <w:rFonts w:eastAsia="Calibri"/>
          <w:b/>
          <w:bCs/>
          <w:sz w:val="22"/>
        </w:rPr>
        <w:lastRenderedPageBreak/>
        <w:t>References</w:t>
      </w:r>
    </w:p>
    <w:p w14:paraId="196657C1"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51.</w:t>
      </w:r>
      <w:r w:rsidRPr="00982466">
        <w:rPr>
          <w:rFonts w:eastAsia="Calibri"/>
          <w:sz w:val="22"/>
        </w:rPr>
        <w:tab/>
        <w:t xml:space="preserve">Li, H. </w:t>
      </w:r>
      <w:r w:rsidRPr="00982466">
        <w:rPr>
          <w:rFonts w:eastAsia="Calibri"/>
          <w:i/>
          <w:iCs/>
          <w:sz w:val="22"/>
        </w:rPr>
        <w:t>et al.</w:t>
      </w:r>
      <w:r w:rsidRPr="00982466">
        <w:rPr>
          <w:rFonts w:eastAsia="Calibri"/>
          <w:sz w:val="22"/>
        </w:rPr>
        <w:t xml:space="preserve"> The Sequence Alignment/Map format and SAMtools. </w:t>
      </w:r>
      <w:r w:rsidRPr="00982466">
        <w:rPr>
          <w:rFonts w:eastAsia="Calibri"/>
          <w:i/>
          <w:iCs/>
          <w:sz w:val="22"/>
        </w:rPr>
        <w:t>Bioinformatics</w:t>
      </w:r>
      <w:r w:rsidRPr="00982466">
        <w:rPr>
          <w:rFonts w:eastAsia="Calibri"/>
          <w:sz w:val="22"/>
        </w:rPr>
        <w:t xml:space="preserve"> </w:t>
      </w:r>
      <w:r w:rsidRPr="00982466">
        <w:rPr>
          <w:rFonts w:eastAsia="Calibri"/>
          <w:b/>
          <w:bCs/>
          <w:sz w:val="22"/>
        </w:rPr>
        <w:t>25</w:t>
      </w:r>
      <w:r w:rsidRPr="00982466">
        <w:rPr>
          <w:rFonts w:eastAsia="Calibri"/>
          <w:sz w:val="22"/>
        </w:rPr>
        <w:t>, 2078 (2009).</w:t>
      </w:r>
    </w:p>
    <w:p w14:paraId="06413D37"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52.</w:t>
      </w:r>
      <w:r w:rsidRPr="00982466">
        <w:rPr>
          <w:rFonts w:eastAsia="Calibri"/>
          <w:sz w:val="22"/>
        </w:rPr>
        <w:tab/>
        <w:t xml:space="preserve">Jain, C., Rhie, A., Hansen, N. F., Koren, S. &amp; Phillippy, A. M. Long-read mapping to repetitive reference sequences using Winnowmap2. </w:t>
      </w:r>
      <w:r w:rsidRPr="00982466">
        <w:rPr>
          <w:rFonts w:eastAsia="Calibri"/>
          <w:i/>
          <w:iCs/>
          <w:sz w:val="22"/>
        </w:rPr>
        <w:t>Nat Methods</w:t>
      </w:r>
      <w:r w:rsidRPr="00982466">
        <w:rPr>
          <w:rFonts w:eastAsia="Calibri"/>
          <w:sz w:val="22"/>
        </w:rPr>
        <w:t xml:space="preserve"> </w:t>
      </w:r>
      <w:r w:rsidRPr="00982466">
        <w:rPr>
          <w:rFonts w:eastAsia="Calibri"/>
          <w:b/>
          <w:bCs/>
          <w:sz w:val="22"/>
        </w:rPr>
        <w:t>19</w:t>
      </w:r>
      <w:r w:rsidRPr="00982466">
        <w:rPr>
          <w:rFonts w:eastAsia="Calibri"/>
          <w:sz w:val="22"/>
        </w:rPr>
        <w:t>, 705–710 (2022).</w:t>
      </w:r>
    </w:p>
    <w:p w14:paraId="0FD62001"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53.</w:t>
      </w:r>
      <w:r w:rsidRPr="00982466">
        <w:rPr>
          <w:rFonts w:eastAsia="Calibri"/>
          <w:sz w:val="22"/>
        </w:rPr>
        <w:tab/>
        <w:t xml:space="preserve">Robinson, J. T. </w:t>
      </w:r>
      <w:r w:rsidRPr="00982466">
        <w:rPr>
          <w:rFonts w:eastAsia="Calibri"/>
          <w:i/>
          <w:iCs/>
          <w:sz w:val="22"/>
        </w:rPr>
        <w:t>et al.</w:t>
      </w:r>
      <w:r w:rsidRPr="00982466">
        <w:rPr>
          <w:rFonts w:eastAsia="Calibri"/>
          <w:sz w:val="22"/>
        </w:rPr>
        <w:t xml:space="preserve"> Integrative Genomics Viewer. </w:t>
      </w:r>
      <w:r w:rsidRPr="00982466">
        <w:rPr>
          <w:rFonts w:eastAsia="Calibri"/>
          <w:i/>
          <w:iCs/>
          <w:sz w:val="22"/>
        </w:rPr>
        <w:t>Nat Biotechnol</w:t>
      </w:r>
      <w:r w:rsidRPr="00982466">
        <w:rPr>
          <w:rFonts w:eastAsia="Calibri"/>
          <w:sz w:val="22"/>
        </w:rPr>
        <w:t xml:space="preserve"> </w:t>
      </w:r>
      <w:r w:rsidRPr="00982466">
        <w:rPr>
          <w:rFonts w:eastAsia="Calibri"/>
          <w:b/>
          <w:bCs/>
          <w:sz w:val="22"/>
        </w:rPr>
        <w:t>29</w:t>
      </w:r>
      <w:r w:rsidRPr="00982466">
        <w:rPr>
          <w:rFonts w:eastAsia="Calibri"/>
          <w:sz w:val="22"/>
        </w:rPr>
        <w:t>, 24–26 (2011).</w:t>
      </w:r>
    </w:p>
    <w:p w14:paraId="2496829C"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54.</w:t>
      </w:r>
      <w:r w:rsidRPr="00982466">
        <w:rPr>
          <w:rFonts w:eastAsia="Calibri"/>
          <w:sz w:val="22"/>
        </w:rPr>
        <w:tab/>
        <w:t xml:space="preserve">Li, H. Minimap2: pairwise alignment for nucleotide sequences. </w:t>
      </w:r>
      <w:r w:rsidRPr="00982466">
        <w:rPr>
          <w:rFonts w:eastAsia="Calibri"/>
          <w:i/>
          <w:iCs/>
          <w:sz w:val="22"/>
        </w:rPr>
        <w:t>Bioinformatics</w:t>
      </w:r>
      <w:r w:rsidRPr="00982466">
        <w:rPr>
          <w:rFonts w:eastAsia="Calibri"/>
          <w:sz w:val="22"/>
        </w:rPr>
        <w:t xml:space="preserve"> </w:t>
      </w:r>
      <w:r w:rsidRPr="00982466">
        <w:rPr>
          <w:rFonts w:eastAsia="Calibri"/>
          <w:b/>
          <w:bCs/>
          <w:sz w:val="22"/>
        </w:rPr>
        <w:t>34</w:t>
      </w:r>
      <w:r w:rsidRPr="00982466">
        <w:rPr>
          <w:rFonts w:eastAsia="Calibri"/>
          <w:sz w:val="22"/>
        </w:rPr>
        <w:t>, 3094–3100 (2018).</w:t>
      </w:r>
    </w:p>
    <w:p w14:paraId="3D1D4FA6"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55.</w:t>
      </w:r>
      <w:r w:rsidRPr="00982466">
        <w:rPr>
          <w:rFonts w:eastAsia="Calibri"/>
          <w:sz w:val="22"/>
        </w:rPr>
        <w:tab/>
        <w:t xml:space="preserve">Ewels, P. A. </w:t>
      </w:r>
      <w:r w:rsidRPr="00982466">
        <w:rPr>
          <w:rFonts w:eastAsia="Calibri"/>
          <w:i/>
          <w:iCs/>
          <w:sz w:val="22"/>
        </w:rPr>
        <w:t>et al.</w:t>
      </w:r>
      <w:r w:rsidRPr="00982466">
        <w:rPr>
          <w:rFonts w:eastAsia="Calibri"/>
          <w:sz w:val="22"/>
        </w:rPr>
        <w:t xml:space="preserve"> The nf-core framework for community-curated bioinformatics pipelines. </w:t>
      </w:r>
      <w:r w:rsidRPr="00982466">
        <w:rPr>
          <w:rFonts w:eastAsia="Calibri"/>
          <w:i/>
          <w:iCs/>
          <w:sz w:val="22"/>
        </w:rPr>
        <w:t>Nat Biotechnol</w:t>
      </w:r>
      <w:r w:rsidRPr="00982466">
        <w:rPr>
          <w:rFonts w:eastAsia="Calibri"/>
          <w:sz w:val="22"/>
        </w:rPr>
        <w:t xml:space="preserve"> </w:t>
      </w:r>
      <w:r w:rsidRPr="00982466">
        <w:rPr>
          <w:rFonts w:eastAsia="Calibri"/>
          <w:b/>
          <w:bCs/>
          <w:sz w:val="22"/>
        </w:rPr>
        <w:t>38</w:t>
      </w:r>
      <w:r w:rsidRPr="00982466">
        <w:rPr>
          <w:rFonts w:eastAsia="Calibri"/>
          <w:sz w:val="22"/>
        </w:rPr>
        <w:t>, 276–278 (2020).</w:t>
      </w:r>
    </w:p>
    <w:p w14:paraId="288556E4"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56.</w:t>
      </w:r>
      <w:r w:rsidRPr="00982466">
        <w:rPr>
          <w:rFonts w:eastAsia="Calibri"/>
          <w:sz w:val="22"/>
        </w:rPr>
        <w:tab/>
        <w:t xml:space="preserve">Pertea, G. &amp; Pertea, M. GFF Utilities: GffRead and GffCompare. </w:t>
      </w:r>
      <w:r w:rsidRPr="00982466">
        <w:rPr>
          <w:rFonts w:eastAsia="Calibri"/>
          <w:i/>
          <w:iCs/>
          <w:sz w:val="22"/>
        </w:rPr>
        <w:t>F1000Res</w:t>
      </w:r>
      <w:r w:rsidRPr="00982466">
        <w:rPr>
          <w:rFonts w:eastAsia="Calibri"/>
          <w:sz w:val="22"/>
        </w:rPr>
        <w:t xml:space="preserve"> </w:t>
      </w:r>
      <w:r w:rsidRPr="00982466">
        <w:rPr>
          <w:rFonts w:eastAsia="Calibri"/>
          <w:b/>
          <w:bCs/>
          <w:sz w:val="22"/>
        </w:rPr>
        <w:t>9</w:t>
      </w:r>
      <w:r w:rsidRPr="00982466">
        <w:rPr>
          <w:rFonts w:eastAsia="Calibri"/>
          <w:sz w:val="22"/>
        </w:rPr>
        <w:t>, ISCB Comm J-304 (2020).</w:t>
      </w:r>
    </w:p>
    <w:p w14:paraId="1E633C87"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57.</w:t>
      </w:r>
      <w:r w:rsidRPr="00982466">
        <w:rPr>
          <w:rFonts w:eastAsia="Calibri"/>
          <w:sz w:val="22"/>
        </w:rPr>
        <w:tab/>
        <w:t xml:space="preserve">Patro, R., Duggal, G., Love, M. I., Irizarry, R. A. &amp; Kingsford, C. Salmon provides fast and bias-aware quantification of transcript expression. </w:t>
      </w:r>
      <w:r w:rsidRPr="00982466">
        <w:rPr>
          <w:rFonts w:eastAsia="Calibri"/>
          <w:i/>
          <w:iCs/>
          <w:sz w:val="22"/>
        </w:rPr>
        <w:t>Nat Methods</w:t>
      </w:r>
      <w:r w:rsidRPr="00982466">
        <w:rPr>
          <w:rFonts w:eastAsia="Calibri"/>
          <w:sz w:val="22"/>
        </w:rPr>
        <w:t xml:space="preserve"> </w:t>
      </w:r>
      <w:r w:rsidRPr="00982466">
        <w:rPr>
          <w:rFonts w:eastAsia="Calibri"/>
          <w:b/>
          <w:bCs/>
          <w:sz w:val="22"/>
        </w:rPr>
        <w:t>14</w:t>
      </w:r>
      <w:r w:rsidRPr="00982466">
        <w:rPr>
          <w:rFonts w:eastAsia="Calibri"/>
          <w:sz w:val="22"/>
        </w:rPr>
        <w:t>, 417–419 (2017).</w:t>
      </w:r>
    </w:p>
    <w:p w14:paraId="6015B665"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58.</w:t>
      </w:r>
      <w:r w:rsidRPr="00982466">
        <w:rPr>
          <w:rFonts w:eastAsia="Calibri"/>
          <w:sz w:val="22"/>
        </w:rPr>
        <w:tab/>
        <w:t xml:space="preserve">Soneson, C., Love, M. I. &amp; Robinson, M. D. Differential analyses for RNA-seq: transcript-level estimates improve gene-level inferences. </w:t>
      </w:r>
      <w:r w:rsidRPr="00982466">
        <w:rPr>
          <w:rFonts w:eastAsia="Calibri"/>
          <w:i/>
          <w:iCs/>
          <w:sz w:val="22"/>
        </w:rPr>
        <w:t>F1000Res</w:t>
      </w:r>
      <w:r w:rsidRPr="00982466">
        <w:rPr>
          <w:rFonts w:eastAsia="Calibri"/>
          <w:sz w:val="22"/>
        </w:rPr>
        <w:t xml:space="preserve"> </w:t>
      </w:r>
      <w:r w:rsidRPr="00982466">
        <w:rPr>
          <w:rFonts w:eastAsia="Calibri"/>
          <w:b/>
          <w:bCs/>
          <w:sz w:val="22"/>
        </w:rPr>
        <w:t>4</w:t>
      </w:r>
      <w:r w:rsidRPr="00982466">
        <w:rPr>
          <w:rFonts w:eastAsia="Calibri"/>
          <w:sz w:val="22"/>
        </w:rPr>
        <w:t>, 1521 (2015).</w:t>
      </w:r>
    </w:p>
    <w:p w14:paraId="3C03391A"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59.</w:t>
      </w:r>
      <w:r w:rsidRPr="00982466">
        <w:rPr>
          <w:rFonts w:eastAsia="Calibri"/>
          <w:sz w:val="22"/>
        </w:rPr>
        <w:tab/>
        <w:t xml:space="preserve">Love, M. I., Huber, W. &amp; Anders, S. Moderated estimation of fold change and  dispersion for RNA-seq data with DESeq2. </w:t>
      </w:r>
      <w:r w:rsidRPr="00982466">
        <w:rPr>
          <w:rFonts w:eastAsia="Calibri"/>
          <w:i/>
          <w:iCs/>
          <w:sz w:val="22"/>
        </w:rPr>
        <w:t>Genome Biol</w:t>
      </w:r>
      <w:r w:rsidRPr="00982466">
        <w:rPr>
          <w:rFonts w:eastAsia="Calibri"/>
          <w:sz w:val="22"/>
        </w:rPr>
        <w:t xml:space="preserve"> </w:t>
      </w:r>
      <w:r w:rsidRPr="00982466">
        <w:rPr>
          <w:rFonts w:eastAsia="Calibri"/>
          <w:b/>
          <w:bCs/>
          <w:sz w:val="22"/>
        </w:rPr>
        <w:t>15</w:t>
      </w:r>
      <w:r w:rsidRPr="00982466">
        <w:rPr>
          <w:rFonts w:eastAsia="Calibri"/>
          <w:sz w:val="22"/>
        </w:rPr>
        <w:t>, 550 (2014).</w:t>
      </w:r>
    </w:p>
    <w:p w14:paraId="62B27050"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60.</w:t>
      </w:r>
      <w:r w:rsidRPr="00982466">
        <w:rPr>
          <w:rFonts w:eastAsia="Calibri"/>
          <w:sz w:val="22"/>
        </w:rPr>
        <w:tab/>
        <w:t xml:space="preserve">Gu, Z., Eils, R. &amp; Schlesner, M. Complex heatmaps reveal patterns and correlations in multidimensional genomic data. </w:t>
      </w:r>
      <w:r w:rsidRPr="00982466">
        <w:rPr>
          <w:rFonts w:eastAsia="Calibri"/>
          <w:i/>
          <w:iCs/>
          <w:sz w:val="22"/>
        </w:rPr>
        <w:t>Bioinformatics</w:t>
      </w:r>
      <w:r w:rsidRPr="00982466">
        <w:rPr>
          <w:rFonts w:eastAsia="Calibri"/>
          <w:sz w:val="22"/>
        </w:rPr>
        <w:t xml:space="preserve"> </w:t>
      </w:r>
      <w:r w:rsidRPr="00982466">
        <w:rPr>
          <w:rFonts w:eastAsia="Calibri"/>
          <w:b/>
          <w:bCs/>
          <w:sz w:val="22"/>
        </w:rPr>
        <w:t>32</w:t>
      </w:r>
      <w:r w:rsidRPr="00982466">
        <w:rPr>
          <w:rFonts w:eastAsia="Calibri"/>
          <w:sz w:val="22"/>
        </w:rPr>
        <w:t>, 2847–2849 (2016).</w:t>
      </w:r>
    </w:p>
    <w:p w14:paraId="728B8D0B"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61.</w:t>
      </w:r>
      <w:r w:rsidRPr="00982466">
        <w:rPr>
          <w:rFonts w:eastAsia="Calibri"/>
          <w:sz w:val="22"/>
        </w:rPr>
        <w:tab/>
        <w:t xml:space="preserve">Kaminow, B., Yunusov, D. &amp; Dobin, A. </w:t>
      </w:r>
      <w:r w:rsidRPr="00982466">
        <w:rPr>
          <w:rFonts w:eastAsia="Calibri"/>
          <w:i/>
          <w:iCs/>
          <w:sz w:val="22"/>
        </w:rPr>
        <w:t>STARsolo: accurate, fast and versatile mapping/quantification of single-cell and single-nucleus RNA-seq data</w:t>
      </w:r>
      <w:r w:rsidRPr="00982466">
        <w:rPr>
          <w:rFonts w:eastAsia="Calibri"/>
          <w:sz w:val="22"/>
        </w:rPr>
        <w:t>. http://biorxiv.org/lookup/doi/10.1101/2021.05.05.442755 (2021) doi:10.1101/2021.05.05.442755.</w:t>
      </w:r>
    </w:p>
    <w:p w14:paraId="6EAED2FC"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62.</w:t>
      </w:r>
      <w:r w:rsidRPr="00982466">
        <w:rPr>
          <w:rFonts w:eastAsia="Calibri"/>
          <w:sz w:val="22"/>
        </w:rPr>
        <w:tab/>
        <w:t xml:space="preserve">Lun, A. T. L. </w:t>
      </w:r>
      <w:r w:rsidRPr="00982466">
        <w:rPr>
          <w:rFonts w:eastAsia="Calibri"/>
          <w:i/>
          <w:iCs/>
          <w:sz w:val="22"/>
        </w:rPr>
        <w:t>et al.</w:t>
      </w:r>
      <w:r w:rsidRPr="00982466">
        <w:rPr>
          <w:rFonts w:eastAsia="Calibri"/>
          <w:sz w:val="22"/>
        </w:rPr>
        <w:t xml:space="preserve"> EmptyDrops: distinguishing cells from empty droplets in droplet-based single-cell RNA sequencing data. </w:t>
      </w:r>
      <w:r w:rsidRPr="00982466">
        <w:rPr>
          <w:rFonts w:eastAsia="Calibri"/>
          <w:i/>
          <w:iCs/>
          <w:sz w:val="22"/>
        </w:rPr>
        <w:t>Genome Biol</w:t>
      </w:r>
      <w:r w:rsidRPr="00982466">
        <w:rPr>
          <w:rFonts w:eastAsia="Calibri"/>
          <w:sz w:val="22"/>
        </w:rPr>
        <w:t xml:space="preserve"> </w:t>
      </w:r>
      <w:r w:rsidRPr="00982466">
        <w:rPr>
          <w:rFonts w:eastAsia="Calibri"/>
          <w:b/>
          <w:bCs/>
          <w:sz w:val="22"/>
        </w:rPr>
        <w:t>20</w:t>
      </w:r>
      <w:r w:rsidRPr="00982466">
        <w:rPr>
          <w:rFonts w:eastAsia="Calibri"/>
          <w:sz w:val="22"/>
        </w:rPr>
        <w:t>, 63 (2019).</w:t>
      </w:r>
    </w:p>
    <w:p w14:paraId="43E0EE48"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63.</w:t>
      </w:r>
      <w:r w:rsidRPr="00982466">
        <w:rPr>
          <w:rFonts w:eastAsia="Calibri"/>
          <w:sz w:val="22"/>
        </w:rPr>
        <w:tab/>
        <w:t xml:space="preserve">Germain, P.-L., Lun, A., Garcia Meixide, C., Macnair, W. &amp; Robinson, M. D. Doublet identification in single-cell sequencing data using scDblFinder. </w:t>
      </w:r>
      <w:r w:rsidRPr="00982466">
        <w:rPr>
          <w:rFonts w:eastAsia="Calibri"/>
          <w:i/>
          <w:iCs/>
          <w:sz w:val="22"/>
        </w:rPr>
        <w:t>F1000Res</w:t>
      </w:r>
      <w:r w:rsidRPr="00982466">
        <w:rPr>
          <w:rFonts w:eastAsia="Calibri"/>
          <w:sz w:val="22"/>
        </w:rPr>
        <w:t xml:space="preserve"> </w:t>
      </w:r>
      <w:r w:rsidRPr="00982466">
        <w:rPr>
          <w:rFonts w:eastAsia="Calibri"/>
          <w:b/>
          <w:bCs/>
          <w:sz w:val="22"/>
        </w:rPr>
        <w:t>10</w:t>
      </w:r>
      <w:r w:rsidRPr="00982466">
        <w:rPr>
          <w:rFonts w:eastAsia="Calibri"/>
          <w:sz w:val="22"/>
        </w:rPr>
        <w:t>, 979 (2021).</w:t>
      </w:r>
    </w:p>
    <w:p w14:paraId="272206D1"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lastRenderedPageBreak/>
        <w:t>64.</w:t>
      </w:r>
      <w:r w:rsidRPr="00982466">
        <w:rPr>
          <w:rFonts w:eastAsia="Calibri"/>
          <w:sz w:val="22"/>
        </w:rPr>
        <w:tab/>
        <w:t xml:space="preserve">Amezquita, R. A. </w:t>
      </w:r>
      <w:r w:rsidRPr="00982466">
        <w:rPr>
          <w:rFonts w:eastAsia="Calibri"/>
          <w:i/>
          <w:iCs/>
          <w:sz w:val="22"/>
        </w:rPr>
        <w:t>et al.</w:t>
      </w:r>
      <w:r w:rsidRPr="00982466">
        <w:rPr>
          <w:rFonts w:eastAsia="Calibri"/>
          <w:sz w:val="22"/>
        </w:rPr>
        <w:t xml:space="preserve"> Orchestrating single-cell analysis with Bioconductor. </w:t>
      </w:r>
      <w:r w:rsidRPr="00982466">
        <w:rPr>
          <w:rFonts w:eastAsia="Calibri"/>
          <w:i/>
          <w:iCs/>
          <w:sz w:val="22"/>
        </w:rPr>
        <w:t>Nat Methods</w:t>
      </w:r>
      <w:r w:rsidRPr="00982466">
        <w:rPr>
          <w:rFonts w:eastAsia="Calibri"/>
          <w:sz w:val="22"/>
        </w:rPr>
        <w:t xml:space="preserve"> </w:t>
      </w:r>
      <w:r w:rsidRPr="00982466">
        <w:rPr>
          <w:rFonts w:eastAsia="Calibri"/>
          <w:b/>
          <w:bCs/>
          <w:sz w:val="22"/>
        </w:rPr>
        <w:t>17</w:t>
      </w:r>
      <w:r w:rsidRPr="00982466">
        <w:rPr>
          <w:rFonts w:eastAsia="Calibri"/>
          <w:sz w:val="22"/>
        </w:rPr>
        <w:t>, 137–145 (2020).</w:t>
      </w:r>
    </w:p>
    <w:p w14:paraId="5F6C3E6A"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65.</w:t>
      </w:r>
      <w:r w:rsidRPr="00982466">
        <w:rPr>
          <w:rFonts w:eastAsia="Calibri"/>
          <w:sz w:val="22"/>
        </w:rPr>
        <w:tab/>
        <w:t xml:space="preserve">Hao, Y. </w:t>
      </w:r>
      <w:r w:rsidRPr="00982466">
        <w:rPr>
          <w:rFonts w:eastAsia="Calibri"/>
          <w:i/>
          <w:iCs/>
          <w:sz w:val="22"/>
        </w:rPr>
        <w:t>et al.</w:t>
      </w:r>
      <w:r w:rsidRPr="00982466">
        <w:rPr>
          <w:rFonts w:eastAsia="Calibri"/>
          <w:sz w:val="22"/>
        </w:rPr>
        <w:t xml:space="preserve"> Integrated analysis of multimodal single-cell data. </w:t>
      </w:r>
      <w:r w:rsidRPr="00982466">
        <w:rPr>
          <w:rFonts w:eastAsia="Calibri"/>
          <w:i/>
          <w:iCs/>
          <w:sz w:val="22"/>
        </w:rPr>
        <w:t>Cell</w:t>
      </w:r>
      <w:r w:rsidRPr="00982466">
        <w:rPr>
          <w:rFonts w:eastAsia="Calibri"/>
          <w:sz w:val="22"/>
        </w:rPr>
        <w:t xml:space="preserve"> </w:t>
      </w:r>
      <w:r w:rsidRPr="00982466">
        <w:rPr>
          <w:rFonts w:eastAsia="Calibri"/>
          <w:b/>
          <w:bCs/>
          <w:sz w:val="22"/>
        </w:rPr>
        <w:t>184</w:t>
      </w:r>
      <w:r w:rsidRPr="00982466">
        <w:rPr>
          <w:rFonts w:eastAsia="Calibri"/>
          <w:sz w:val="22"/>
        </w:rPr>
        <w:t>, 3573-3587.e29 (2021).</w:t>
      </w:r>
    </w:p>
    <w:p w14:paraId="56A35514"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66.</w:t>
      </w:r>
      <w:r w:rsidRPr="00982466">
        <w:rPr>
          <w:rFonts w:eastAsia="Calibri"/>
          <w:sz w:val="22"/>
        </w:rPr>
        <w:tab/>
        <w:t xml:space="preserve">Lopez, R., Regier, J., Cole, M. B., Jordan, M. I. &amp; Yosef, N. Deep generative modeling for single-cell transcriptomics. </w:t>
      </w:r>
      <w:r w:rsidRPr="00982466">
        <w:rPr>
          <w:rFonts w:eastAsia="Calibri"/>
          <w:i/>
          <w:iCs/>
          <w:sz w:val="22"/>
        </w:rPr>
        <w:t>Nat Methods</w:t>
      </w:r>
      <w:r w:rsidRPr="00982466">
        <w:rPr>
          <w:rFonts w:eastAsia="Calibri"/>
          <w:sz w:val="22"/>
        </w:rPr>
        <w:t xml:space="preserve"> </w:t>
      </w:r>
      <w:r w:rsidRPr="00982466">
        <w:rPr>
          <w:rFonts w:eastAsia="Calibri"/>
          <w:b/>
          <w:bCs/>
          <w:sz w:val="22"/>
        </w:rPr>
        <w:t>15</w:t>
      </w:r>
      <w:r w:rsidRPr="00982466">
        <w:rPr>
          <w:rFonts w:eastAsia="Calibri"/>
          <w:sz w:val="22"/>
        </w:rPr>
        <w:t>, 1053–1058 (2018).</w:t>
      </w:r>
    </w:p>
    <w:p w14:paraId="5303C1AC"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67.</w:t>
      </w:r>
      <w:r w:rsidRPr="00982466">
        <w:rPr>
          <w:rFonts w:eastAsia="Calibri"/>
          <w:sz w:val="22"/>
        </w:rPr>
        <w:tab/>
        <w:t xml:space="preserve">McCarthy, D. J., Campbell, K. R., Lun, A. T. L. &amp; Wills, Q. F. Scater: pre-processing, quality control, normalization and visualization of single-cell RNA-seq data in R. </w:t>
      </w:r>
      <w:r w:rsidRPr="00982466">
        <w:rPr>
          <w:rFonts w:eastAsia="Calibri"/>
          <w:i/>
          <w:iCs/>
          <w:sz w:val="22"/>
        </w:rPr>
        <w:t>Bioinformatics</w:t>
      </w:r>
      <w:r w:rsidRPr="00982466">
        <w:rPr>
          <w:rFonts w:eastAsia="Calibri"/>
          <w:sz w:val="22"/>
        </w:rPr>
        <w:t xml:space="preserve"> </w:t>
      </w:r>
      <w:r w:rsidRPr="00982466">
        <w:rPr>
          <w:rFonts w:eastAsia="Calibri"/>
          <w:b/>
          <w:bCs/>
          <w:sz w:val="22"/>
        </w:rPr>
        <w:t>33</w:t>
      </w:r>
      <w:r w:rsidRPr="00982466">
        <w:rPr>
          <w:rFonts w:eastAsia="Calibri"/>
          <w:sz w:val="22"/>
        </w:rPr>
        <w:t>, 1179–1186 (2017).</w:t>
      </w:r>
    </w:p>
    <w:p w14:paraId="5229C26B"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68.</w:t>
      </w:r>
      <w:r w:rsidRPr="00982466">
        <w:rPr>
          <w:rFonts w:eastAsia="Calibri"/>
          <w:sz w:val="22"/>
        </w:rPr>
        <w:tab/>
        <w:t xml:space="preserve">Balzer, M. S., Rohacs, T. &amp; Susztak, K. How Many Cell Types Are in the Kidney and What Do They Do? </w:t>
      </w:r>
      <w:r w:rsidRPr="00982466">
        <w:rPr>
          <w:rFonts w:eastAsia="Calibri"/>
          <w:i/>
          <w:iCs/>
          <w:sz w:val="22"/>
        </w:rPr>
        <w:t>Annu Rev Physiol</w:t>
      </w:r>
      <w:r w:rsidRPr="00982466">
        <w:rPr>
          <w:rFonts w:eastAsia="Calibri"/>
          <w:sz w:val="22"/>
        </w:rPr>
        <w:t xml:space="preserve"> </w:t>
      </w:r>
      <w:r w:rsidRPr="00982466">
        <w:rPr>
          <w:rFonts w:eastAsia="Calibri"/>
          <w:b/>
          <w:bCs/>
          <w:sz w:val="22"/>
        </w:rPr>
        <w:t>84</w:t>
      </w:r>
      <w:r w:rsidRPr="00982466">
        <w:rPr>
          <w:rFonts w:eastAsia="Calibri"/>
          <w:sz w:val="22"/>
        </w:rPr>
        <w:t>, 507–531 (2022).</w:t>
      </w:r>
    </w:p>
    <w:p w14:paraId="27146208"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69.</w:t>
      </w:r>
      <w:r w:rsidRPr="00982466">
        <w:rPr>
          <w:rFonts w:eastAsia="Calibri"/>
          <w:sz w:val="22"/>
        </w:rPr>
        <w:tab/>
        <w:t xml:space="preserve">Liberzon, A. </w:t>
      </w:r>
      <w:r w:rsidRPr="00982466">
        <w:rPr>
          <w:rFonts w:eastAsia="Calibri"/>
          <w:i/>
          <w:iCs/>
          <w:sz w:val="22"/>
        </w:rPr>
        <w:t>et al.</w:t>
      </w:r>
      <w:r w:rsidRPr="00982466">
        <w:rPr>
          <w:rFonts w:eastAsia="Calibri"/>
          <w:sz w:val="22"/>
        </w:rPr>
        <w:t xml:space="preserve"> Molecular signatures database (MSigDB) 3.0. </w:t>
      </w:r>
      <w:r w:rsidRPr="00982466">
        <w:rPr>
          <w:rFonts w:eastAsia="Calibri"/>
          <w:i/>
          <w:iCs/>
          <w:sz w:val="22"/>
        </w:rPr>
        <w:t>Bioinformatics</w:t>
      </w:r>
      <w:r w:rsidRPr="00982466">
        <w:rPr>
          <w:rFonts w:eastAsia="Calibri"/>
          <w:sz w:val="22"/>
        </w:rPr>
        <w:t xml:space="preserve"> </w:t>
      </w:r>
      <w:r w:rsidRPr="00982466">
        <w:rPr>
          <w:rFonts w:eastAsia="Calibri"/>
          <w:b/>
          <w:bCs/>
          <w:sz w:val="22"/>
        </w:rPr>
        <w:t>27</w:t>
      </w:r>
      <w:r w:rsidRPr="00982466">
        <w:rPr>
          <w:rFonts w:eastAsia="Calibri"/>
          <w:sz w:val="22"/>
        </w:rPr>
        <w:t>, 1739–1740 (2011).</w:t>
      </w:r>
    </w:p>
    <w:p w14:paraId="54019A9B"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70.</w:t>
      </w:r>
      <w:r w:rsidRPr="00982466">
        <w:rPr>
          <w:rFonts w:eastAsia="Calibri"/>
          <w:sz w:val="22"/>
        </w:rPr>
        <w:tab/>
        <w:t xml:space="preserve">Korotkevich, G. </w:t>
      </w:r>
      <w:r w:rsidRPr="00982466">
        <w:rPr>
          <w:rFonts w:eastAsia="Calibri"/>
          <w:i/>
          <w:iCs/>
          <w:sz w:val="22"/>
        </w:rPr>
        <w:t>et al.</w:t>
      </w:r>
      <w:r w:rsidRPr="00982466">
        <w:rPr>
          <w:rFonts w:eastAsia="Calibri"/>
          <w:sz w:val="22"/>
        </w:rPr>
        <w:t xml:space="preserve"> </w:t>
      </w:r>
      <w:r w:rsidRPr="00982466">
        <w:rPr>
          <w:rFonts w:eastAsia="Calibri"/>
          <w:i/>
          <w:iCs/>
          <w:sz w:val="22"/>
        </w:rPr>
        <w:t>Fast gene set enrichment analysis</w:t>
      </w:r>
      <w:r w:rsidRPr="00982466">
        <w:rPr>
          <w:rFonts w:eastAsia="Calibri"/>
          <w:sz w:val="22"/>
        </w:rPr>
        <w:t>. http://biorxiv.org/lookup/doi/10.1101/060012 (2016) doi:10.1101/060012.</w:t>
      </w:r>
    </w:p>
    <w:p w14:paraId="5C951402"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71.</w:t>
      </w:r>
      <w:r w:rsidRPr="00982466">
        <w:rPr>
          <w:rFonts w:eastAsia="Calibri"/>
          <w:sz w:val="22"/>
        </w:rPr>
        <w:tab/>
        <w:t xml:space="preserve">Clement, K. </w:t>
      </w:r>
      <w:r w:rsidRPr="00982466">
        <w:rPr>
          <w:rFonts w:eastAsia="Calibri"/>
          <w:i/>
          <w:iCs/>
          <w:sz w:val="22"/>
        </w:rPr>
        <w:t>et al.</w:t>
      </w:r>
      <w:r w:rsidRPr="00982466">
        <w:rPr>
          <w:rFonts w:eastAsia="Calibri"/>
          <w:sz w:val="22"/>
        </w:rPr>
        <w:t xml:space="preserve"> Accurate and rapid analysis of genome editing data from nucleases and base editors with CRISPResso2. </w:t>
      </w:r>
      <w:r w:rsidRPr="00982466">
        <w:rPr>
          <w:rFonts w:eastAsia="Calibri"/>
          <w:i/>
          <w:iCs/>
          <w:sz w:val="22"/>
        </w:rPr>
        <w:t>Nat Biotechnol</w:t>
      </w:r>
      <w:r w:rsidRPr="00982466">
        <w:rPr>
          <w:rFonts w:eastAsia="Calibri"/>
          <w:sz w:val="22"/>
        </w:rPr>
        <w:t xml:space="preserve"> </w:t>
      </w:r>
      <w:r w:rsidRPr="00982466">
        <w:rPr>
          <w:rFonts w:eastAsia="Calibri"/>
          <w:b/>
          <w:bCs/>
          <w:sz w:val="22"/>
        </w:rPr>
        <w:t>37</w:t>
      </w:r>
      <w:r w:rsidRPr="00982466">
        <w:rPr>
          <w:rFonts w:eastAsia="Calibri"/>
          <w:sz w:val="22"/>
        </w:rPr>
        <w:t>, 224–226 (2019).</w:t>
      </w:r>
    </w:p>
    <w:p w14:paraId="5E2D798D"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72.</w:t>
      </w:r>
      <w:r w:rsidRPr="00982466">
        <w:rPr>
          <w:rFonts w:eastAsia="Calibri"/>
          <w:sz w:val="22"/>
        </w:rPr>
        <w:tab/>
        <w:t xml:space="preserve">Wang, L., Cooper, D. K. C., Burdorf, L., Wang, Y. &amp; Iwase, H. Overcoming Coagulation Dysregulation in Pig Solid Organ Transplantation in Nonhuman Primates: Recent Progress. </w:t>
      </w:r>
      <w:r w:rsidRPr="00982466">
        <w:rPr>
          <w:rFonts w:eastAsia="Calibri"/>
          <w:i/>
          <w:iCs/>
          <w:sz w:val="22"/>
        </w:rPr>
        <w:t>Transplantation</w:t>
      </w:r>
      <w:r w:rsidRPr="00982466">
        <w:rPr>
          <w:rFonts w:eastAsia="Calibri"/>
          <w:sz w:val="22"/>
        </w:rPr>
        <w:t xml:space="preserve"> </w:t>
      </w:r>
      <w:r w:rsidRPr="00982466">
        <w:rPr>
          <w:rFonts w:eastAsia="Calibri"/>
          <w:b/>
          <w:bCs/>
          <w:sz w:val="22"/>
        </w:rPr>
        <w:t>102</w:t>
      </w:r>
      <w:r w:rsidRPr="00982466">
        <w:rPr>
          <w:rFonts w:eastAsia="Calibri"/>
          <w:sz w:val="22"/>
        </w:rPr>
        <w:t>, 1050–1058 (2018).</w:t>
      </w:r>
    </w:p>
    <w:p w14:paraId="119CF47C"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73.</w:t>
      </w:r>
      <w:r w:rsidRPr="00982466">
        <w:rPr>
          <w:rFonts w:eastAsia="Calibri"/>
          <w:sz w:val="22"/>
        </w:rPr>
        <w:tab/>
        <w:t xml:space="preserve">Medof, M. E., Kinoshita, T. &amp; Nussenzweig, V. Inhibition of complement activation on the surface of cells after incorporation of decay-accelerating factor (DAF) into their membranes. </w:t>
      </w:r>
      <w:r w:rsidRPr="00982466">
        <w:rPr>
          <w:rFonts w:eastAsia="Calibri"/>
          <w:i/>
          <w:iCs/>
          <w:sz w:val="22"/>
        </w:rPr>
        <w:t>J Exp Med</w:t>
      </w:r>
      <w:r w:rsidRPr="00982466">
        <w:rPr>
          <w:rFonts w:eastAsia="Calibri"/>
          <w:sz w:val="22"/>
        </w:rPr>
        <w:t xml:space="preserve"> </w:t>
      </w:r>
      <w:r w:rsidRPr="00982466">
        <w:rPr>
          <w:rFonts w:eastAsia="Calibri"/>
          <w:b/>
          <w:bCs/>
          <w:sz w:val="22"/>
        </w:rPr>
        <w:t>160</w:t>
      </w:r>
      <w:r w:rsidRPr="00982466">
        <w:rPr>
          <w:rFonts w:eastAsia="Calibri"/>
          <w:sz w:val="22"/>
        </w:rPr>
        <w:t>, 1558–1578 (1984).</w:t>
      </w:r>
    </w:p>
    <w:p w14:paraId="4D5BFFDB"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t>74.</w:t>
      </w:r>
      <w:r w:rsidRPr="00982466">
        <w:rPr>
          <w:rFonts w:eastAsia="Calibri"/>
          <w:sz w:val="22"/>
        </w:rPr>
        <w:tab/>
        <w:t xml:space="preserve">Masaki, T., Matsumoto, M., Nakanishi, I., Yasuda, R. &amp; Seya, T. Factor I-dependent inactivation of human complement C4b of the classical pathway by C3b/C4b receptor (CR1, CD35) and membrane cofactor protein (MCP, CD46). </w:t>
      </w:r>
      <w:r w:rsidRPr="00982466">
        <w:rPr>
          <w:rFonts w:eastAsia="Calibri"/>
          <w:i/>
          <w:iCs/>
          <w:sz w:val="22"/>
        </w:rPr>
        <w:t>J Biochem</w:t>
      </w:r>
      <w:r w:rsidRPr="00982466">
        <w:rPr>
          <w:rFonts w:eastAsia="Calibri"/>
          <w:sz w:val="22"/>
        </w:rPr>
        <w:t xml:space="preserve"> </w:t>
      </w:r>
      <w:r w:rsidRPr="00982466">
        <w:rPr>
          <w:rFonts w:eastAsia="Calibri"/>
          <w:b/>
          <w:bCs/>
          <w:sz w:val="22"/>
        </w:rPr>
        <w:t>111</w:t>
      </w:r>
      <w:r w:rsidRPr="00982466">
        <w:rPr>
          <w:rFonts w:eastAsia="Calibri"/>
          <w:sz w:val="22"/>
        </w:rPr>
        <w:t>, 573–578 (1992).</w:t>
      </w:r>
    </w:p>
    <w:p w14:paraId="5D7340FC" w14:textId="77777777" w:rsidR="00982466" w:rsidRPr="00982466" w:rsidRDefault="00982466" w:rsidP="00982466">
      <w:pPr>
        <w:tabs>
          <w:tab w:val="left" w:pos="384"/>
        </w:tabs>
        <w:spacing w:line="480" w:lineRule="auto"/>
        <w:ind w:left="384" w:hanging="384"/>
        <w:rPr>
          <w:rFonts w:eastAsia="Calibri"/>
          <w:sz w:val="22"/>
        </w:rPr>
      </w:pPr>
      <w:r w:rsidRPr="00982466">
        <w:rPr>
          <w:rFonts w:eastAsia="Calibri"/>
          <w:sz w:val="22"/>
        </w:rPr>
        <w:lastRenderedPageBreak/>
        <w:t>75.</w:t>
      </w:r>
      <w:r w:rsidRPr="00982466">
        <w:rPr>
          <w:rFonts w:eastAsia="Calibri"/>
          <w:sz w:val="22"/>
        </w:rPr>
        <w:tab/>
        <w:t xml:space="preserve">Haas, M. </w:t>
      </w:r>
      <w:r w:rsidRPr="00982466">
        <w:rPr>
          <w:rFonts w:eastAsia="Calibri"/>
          <w:i/>
          <w:iCs/>
          <w:sz w:val="22"/>
        </w:rPr>
        <w:t>et al.</w:t>
      </w:r>
      <w:r w:rsidRPr="00982466">
        <w:rPr>
          <w:rFonts w:eastAsia="Calibri"/>
          <w:sz w:val="22"/>
        </w:rPr>
        <w:t xml:space="preserve"> C4d and C3d staining in biopsies of ABO- and HLA-incompatible renal allografts: correlation with histologic findings. </w:t>
      </w:r>
      <w:r w:rsidRPr="00982466">
        <w:rPr>
          <w:rFonts w:eastAsia="Calibri"/>
          <w:i/>
          <w:iCs/>
          <w:sz w:val="22"/>
        </w:rPr>
        <w:t>Am J Transplant</w:t>
      </w:r>
      <w:r w:rsidRPr="00982466">
        <w:rPr>
          <w:rFonts w:eastAsia="Calibri"/>
          <w:sz w:val="22"/>
        </w:rPr>
        <w:t xml:space="preserve"> </w:t>
      </w:r>
      <w:r w:rsidRPr="00982466">
        <w:rPr>
          <w:rFonts w:eastAsia="Calibri"/>
          <w:b/>
          <w:bCs/>
          <w:sz w:val="22"/>
        </w:rPr>
        <w:t>6</w:t>
      </w:r>
      <w:r w:rsidRPr="00982466">
        <w:rPr>
          <w:rFonts w:eastAsia="Calibri"/>
          <w:sz w:val="22"/>
        </w:rPr>
        <w:t>, 1829–1840 (2006).</w:t>
      </w:r>
    </w:p>
    <w:p w14:paraId="35FF908F" w14:textId="38C65BAB" w:rsidR="00322862" w:rsidRPr="001E1C0C" w:rsidRDefault="00982466" w:rsidP="001E1C0C">
      <w:pPr>
        <w:tabs>
          <w:tab w:val="left" w:pos="384"/>
        </w:tabs>
        <w:spacing w:line="480" w:lineRule="auto"/>
        <w:ind w:left="384" w:hanging="384"/>
        <w:rPr>
          <w:rFonts w:eastAsia="Calibri"/>
          <w:sz w:val="22"/>
        </w:rPr>
      </w:pPr>
      <w:r w:rsidRPr="00982466">
        <w:rPr>
          <w:rFonts w:eastAsia="Calibri"/>
          <w:sz w:val="22"/>
        </w:rPr>
        <w:t>76.</w:t>
      </w:r>
      <w:r w:rsidRPr="00982466">
        <w:rPr>
          <w:rFonts w:eastAsia="Calibri"/>
          <w:sz w:val="22"/>
        </w:rPr>
        <w:tab/>
        <w:t xml:space="preserve">Rosales, I. A. </w:t>
      </w:r>
      <w:r w:rsidRPr="00982466">
        <w:rPr>
          <w:rFonts w:eastAsia="Calibri"/>
          <w:i/>
          <w:iCs/>
          <w:sz w:val="22"/>
        </w:rPr>
        <w:t>et al.</w:t>
      </w:r>
      <w:r w:rsidRPr="00982466">
        <w:rPr>
          <w:rFonts w:eastAsia="Calibri"/>
          <w:sz w:val="22"/>
        </w:rPr>
        <w:t xml:space="preserve"> Banff Human Organ Transplant Transcripts Correlate with Renal Allograft Pathology and Outcome: Importance of Capillaritis and Subpathologic Rejection. </w:t>
      </w:r>
      <w:r w:rsidRPr="00982466">
        <w:rPr>
          <w:rFonts w:eastAsia="Calibri"/>
          <w:i/>
          <w:iCs/>
          <w:sz w:val="22"/>
        </w:rPr>
        <w:t>J Am Soc Nephrol</w:t>
      </w:r>
      <w:r w:rsidRPr="00982466">
        <w:rPr>
          <w:rFonts w:eastAsia="Calibri"/>
          <w:sz w:val="22"/>
        </w:rPr>
        <w:t xml:space="preserve"> </w:t>
      </w:r>
      <w:r w:rsidRPr="00982466">
        <w:rPr>
          <w:rFonts w:eastAsia="Calibri"/>
          <w:b/>
          <w:bCs/>
          <w:sz w:val="22"/>
        </w:rPr>
        <w:t>33</w:t>
      </w:r>
      <w:r w:rsidRPr="00982466">
        <w:rPr>
          <w:rFonts w:eastAsia="Calibri"/>
          <w:sz w:val="22"/>
        </w:rPr>
        <w:t>, 2306–2319 (2022).</w:t>
      </w:r>
    </w:p>
    <w:sectPr w:rsidR="00322862" w:rsidRPr="001E1C0C">
      <w:headerReference w:type="default" r:id="rId25"/>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1BE8A" w14:textId="77777777" w:rsidR="00501BCC" w:rsidRDefault="00501BCC" w:rsidP="008E7268">
      <w:r>
        <w:separator/>
      </w:r>
    </w:p>
  </w:endnote>
  <w:endnote w:type="continuationSeparator" w:id="0">
    <w:p w14:paraId="16AEDDA9" w14:textId="77777777" w:rsidR="00501BCC" w:rsidRDefault="00501BCC" w:rsidP="008E7268">
      <w:r>
        <w:continuationSeparator/>
      </w:r>
    </w:p>
  </w:endnote>
  <w:endnote w:type="continuationNotice" w:id="1">
    <w:p w14:paraId="6C30E353" w14:textId="77777777" w:rsidR="00501BCC" w:rsidRDefault="00501B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ontserrat">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5989240"/>
      <w:docPartObj>
        <w:docPartGallery w:val="Page Numbers (Bottom of Page)"/>
        <w:docPartUnique/>
      </w:docPartObj>
    </w:sdtPr>
    <w:sdtEndPr>
      <w:rPr>
        <w:noProof/>
      </w:rPr>
    </w:sdtEndPr>
    <w:sdtContent>
      <w:p w14:paraId="2D352741" w14:textId="77777777" w:rsidR="00982466" w:rsidRDefault="0098246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2FA36E" w14:textId="77777777" w:rsidR="00982466" w:rsidRDefault="00982466" w:rsidP="00532A1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0789743"/>
      <w:docPartObj>
        <w:docPartGallery w:val="Page Numbers (Bottom of Page)"/>
        <w:docPartUnique/>
      </w:docPartObj>
    </w:sdtPr>
    <w:sdtEndPr>
      <w:rPr>
        <w:noProof/>
      </w:rPr>
    </w:sdtEndPr>
    <w:sdtContent>
      <w:p w14:paraId="34CC2868" w14:textId="32FFDDD9" w:rsidR="008E7268" w:rsidRDefault="008E726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7DC825" w14:textId="77777777" w:rsidR="00532A12" w:rsidRDefault="00532A12" w:rsidP="00532A1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A5519" w14:textId="77777777" w:rsidR="00501BCC" w:rsidRDefault="00501BCC" w:rsidP="008E7268">
      <w:r>
        <w:separator/>
      </w:r>
    </w:p>
  </w:footnote>
  <w:footnote w:type="continuationSeparator" w:id="0">
    <w:p w14:paraId="01AAA3D6" w14:textId="77777777" w:rsidR="00501BCC" w:rsidRDefault="00501BCC" w:rsidP="008E7268">
      <w:r>
        <w:continuationSeparator/>
      </w:r>
    </w:p>
  </w:footnote>
  <w:footnote w:type="continuationNotice" w:id="1">
    <w:p w14:paraId="066EDBF2" w14:textId="77777777" w:rsidR="00501BCC" w:rsidRDefault="00501B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188DC" w14:textId="77777777" w:rsidR="00982466" w:rsidRPr="005001AC" w:rsidRDefault="00982466" w:rsidP="00532A12">
    <w:pPr>
      <w:jc w:val="right"/>
      <w:rPr>
        <w:sz w:val="20"/>
      </w:rPr>
    </w:pPr>
  </w:p>
  <w:p w14:paraId="431C453A" w14:textId="77777777" w:rsidR="00982466" w:rsidRDefault="009824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161C" w14:textId="77777777" w:rsidR="00532A12" w:rsidRPr="005001AC" w:rsidRDefault="00532A12" w:rsidP="00532A12">
    <w:pPr>
      <w:jc w:val="right"/>
      <w:rPr>
        <w:sz w:val="20"/>
      </w:rPr>
    </w:pPr>
  </w:p>
  <w:p w14:paraId="278F1CAB" w14:textId="77777777" w:rsidR="00532A12" w:rsidRDefault="00532A1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208B22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4E060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DA632B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EA4AA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CB696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1A4709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6FA141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C9C14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F3EAC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27874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4DE6C9F"/>
    <w:multiLevelType w:val="hybridMultilevel"/>
    <w:tmpl w:val="C41C2212"/>
    <w:lvl w:ilvl="0" w:tplc="7E32A94E">
      <w:start w:val="1"/>
      <w:numFmt w:val="upperLetter"/>
      <w:lvlText w:val="%1."/>
      <w:lvlJc w:val="left"/>
      <w:pPr>
        <w:ind w:left="360" w:hanging="360"/>
      </w:pPr>
    </w:lvl>
    <w:lvl w:ilvl="1" w:tplc="A69AFF2A" w:tentative="1">
      <w:start w:val="1"/>
      <w:numFmt w:val="lowerLetter"/>
      <w:lvlText w:val="%2."/>
      <w:lvlJc w:val="left"/>
      <w:pPr>
        <w:ind w:left="1080" w:hanging="360"/>
      </w:pPr>
    </w:lvl>
    <w:lvl w:ilvl="2" w:tplc="8676CC06" w:tentative="1">
      <w:start w:val="1"/>
      <w:numFmt w:val="lowerRoman"/>
      <w:lvlText w:val="%3."/>
      <w:lvlJc w:val="right"/>
      <w:pPr>
        <w:ind w:left="1800" w:hanging="180"/>
      </w:pPr>
    </w:lvl>
    <w:lvl w:ilvl="3" w:tplc="A23C4A2A" w:tentative="1">
      <w:start w:val="1"/>
      <w:numFmt w:val="decimal"/>
      <w:lvlText w:val="%4."/>
      <w:lvlJc w:val="left"/>
      <w:pPr>
        <w:ind w:left="2520" w:hanging="360"/>
      </w:pPr>
    </w:lvl>
    <w:lvl w:ilvl="4" w:tplc="84A06092" w:tentative="1">
      <w:start w:val="1"/>
      <w:numFmt w:val="lowerLetter"/>
      <w:lvlText w:val="%5."/>
      <w:lvlJc w:val="left"/>
      <w:pPr>
        <w:ind w:left="3240" w:hanging="360"/>
      </w:pPr>
    </w:lvl>
    <w:lvl w:ilvl="5" w:tplc="37C26F6A" w:tentative="1">
      <w:start w:val="1"/>
      <w:numFmt w:val="lowerRoman"/>
      <w:lvlText w:val="%6."/>
      <w:lvlJc w:val="right"/>
      <w:pPr>
        <w:ind w:left="3960" w:hanging="180"/>
      </w:pPr>
    </w:lvl>
    <w:lvl w:ilvl="6" w:tplc="9560FC38" w:tentative="1">
      <w:start w:val="1"/>
      <w:numFmt w:val="decimal"/>
      <w:lvlText w:val="%7."/>
      <w:lvlJc w:val="left"/>
      <w:pPr>
        <w:ind w:left="4680" w:hanging="360"/>
      </w:pPr>
    </w:lvl>
    <w:lvl w:ilvl="7" w:tplc="8C38CB86" w:tentative="1">
      <w:start w:val="1"/>
      <w:numFmt w:val="lowerLetter"/>
      <w:lvlText w:val="%8."/>
      <w:lvlJc w:val="left"/>
      <w:pPr>
        <w:ind w:left="5400" w:hanging="360"/>
      </w:pPr>
    </w:lvl>
    <w:lvl w:ilvl="8" w:tplc="6C3E210A" w:tentative="1">
      <w:start w:val="1"/>
      <w:numFmt w:val="lowerRoman"/>
      <w:lvlText w:val="%9."/>
      <w:lvlJc w:val="right"/>
      <w:pPr>
        <w:ind w:left="6120" w:hanging="180"/>
      </w:pPr>
    </w:lvl>
  </w:abstractNum>
  <w:abstractNum w:abstractNumId="12" w15:restartNumberingAfterBreak="0">
    <w:nsid w:val="0A54638E"/>
    <w:multiLevelType w:val="multilevel"/>
    <w:tmpl w:val="F9E0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4A432F"/>
    <w:multiLevelType w:val="hybridMultilevel"/>
    <w:tmpl w:val="58089E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1B0004B1"/>
    <w:multiLevelType w:val="hybridMultilevel"/>
    <w:tmpl w:val="ED9E4C0E"/>
    <w:lvl w:ilvl="0" w:tplc="1172A7B8">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D57ADA"/>
    <w:multiLevelType w:val="hybridMultilevel"/>
    <w:tmpl w:val="FFFFFFFF"/>
    <w:lvl w:ilvl="0" w:tplc="D70098EA">
      <w:start w:val="1"/>
      <w:numFmt w:val="bullet"/>
      <w:lvlText w:val=""/>
      <w:lvlJc w:val="left"/>
      <w:pPr>
        <w:ind w:left="720" w:hanging="360"/>
      </w:pPr>
      <w:rPr>
        <w:rFonts w:ascii="Symbol" w:hAnsi="Symbol" w:hint="default"/>
      </w:rPr>
    </w:lvl>
    <w:lvl w:ilvl="1" w:tplc="F032683A">
      <w:start w:val="1"/>
      <w:numFmt w:val="bullet"/>
      <w:lvlText w:val=""/>
      <w:lvlJc w:val="left"/>
      <w:pPr>
        <w:ind w:left="1440" w:hanging="360"/>
      </w:pPr>
      <w:rPr>
        <w:rFonts w:ascii="Symbol" w:hAnsi="Symbol" w:hint="default"/>
      </w:rPr>
    </w:lvl>
    <w:lvl w:ilvl="2" w:tplc="17AA38F6">
      <w:start w:val="1"/>
      <w:numFmt w:val="bullet"/>
      <w:lvlText w:val=""/>
      <w:lvlJc w:val="left"/>
      <w:pPr>
        <w:ind w:left="2160" w:hanging="360"/>
      </w:pPr>
      <w:rPr>
        <w:rFonts w:ascii="Wingdings" w:hAnsi="Wingdings" w:hint="default"/>
      </w:rPr>
    </w:lvl>
    <w:lvl w:ilvl="3" w:tplc="89424FCC">
      <w:start w:val="1"/>
      <w:numFmt w:val="bullet"/>
      <w:lvlText w:val=""/>
      <w:lvlJc w:val="left"/>
      <w:pPr>
        <w:ind w:left="2880" w:hanging="360"/>
      </w:pPr>
      <w:rPr>
        <w:rFonts w:ascii="Symbol" w:hAnsi="Symbol" w:hint="default"/>
      </w:rPr>
    </w:lvl>
    <w:lvl w:ilvl="4" w:tplc="A9C6A938">
      <w:start w:val="1"/>
      <w:numFmt w:val="bullet"/>
      <w:lvlText w:val="o"/>
      <w:lvlJc w:val="left"/>
      <w:pPr>
        <w:ind w:left="3600" w:hanging="360"/>
      </w:pPr>
      <w:rPr>
        <w:rFonts w:ascii="Courier New" w:hAnsi="Courier New" w:hint="default"/>
      </w:rPr>
    </w:lvl>
    <w:lvl w:ilvl="5" w:tplc="4A029E78">
      <w:start w:val="1"/>
      <w:numFmt w:val="bullet"/>
      <w:lvlText w:val=""/>
      <w:lvlJc w:val="left"/>
      <w:pPr>
        <w:ind w:left="4320" w:hanging="360"/>
      </w:pPr>
      <w:rPr>
        <w:rFonts w:ascii="Wingdings" w:hAnsi="Wingdings" w:hint="default"/>
      </w:rPr>
    </w:lvl>
    <w:lvl w:ilvl="6" w:tplc="CADA8BAE">
      <w:start w:val="1"/>
      <w:numFmt w:val="bullet"/>
      <w:lvlText w:val=""/>
      <w:lvlJc w:val="left"/>
      <w:pPr>
        <w:ind w:left="5040" w:hanging="360"/>
      </w:pPr>
      <w:rPr>
        <w:rFonts w:ascii="Symbol" w:hAnsi="Symbol" w:hint="default"/>
      </w:rPr>
    </w:lvl>
    <w:lvl w:ilvl="7" w:tplc="21DA2194">
      <w:start w:val="1"/>
      <w:numFmt w:val="bullet"/>
      <w:lvlText w:val="o"/>
      <w:lvlJc w:val="left"/>
      <w:pPr>
        <w:ind w:left="5760" w:hanging="360"/>
      </w:pPr>
      <w:rPr>
        <w:rFonts w:ascii="Courier New" w:hAnsi="Courier New" w:hint="default"/>
      </w:rPr>
    </w:lvl>
    <w:lvl w:ilvl="8" w:tplc="71822544">
      <w:start w:val="1"/>
      <w:numFmt w:val="bullet"/>
      <w:lvlText w:val=""/>
      <w:lvlJc w:val="left"/>
      <w:pPr>
        <w:ind w:left="6480" w:hanging="360"/>
      </w:pPr>
      <w:rPr>
        <w:rFonts w:ascii="Wingdings" w:hAnsi="Wingdings" w:hint="default"/>
      </w:rPr>
    </w:lvl>
  </w:abstractNum>
  <w:abstractNum w:abstractNumId="17" w15:restartNumberingAfterBreak="0">
    <w:nsid w:val="223A3381"/>
    <w:multiLevelType w:val="hybridMultilevel"/>
    <w:tmpl w:val="DCDA3F06"/>
    <w:lvl w:ilvl="0" w:tplc="A90CAB4A">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E0358"/>
    <w:multiLevelType w:val="hybridMultilevel"/>
    <w:tmpl w:val="BA82BCB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B945B6"/>
    <w:multiLevelType w:val="hybridMultilevel"/>
    <w:tmpl w:val="FFFFFFFF"/>
    <w:lvl w:ilvl="0" w:tplc="9F262034">
      <w:start w:val="1"/>
      <w:numFmt w:val="decimal"/>
      <w:lvlText w:val="%1."/>
      <w:lvlJc w:val="left"/>
      <w:pPr>
        <w:ind w:left="720" w:hanging="360"/>
      </w:pPr>
    </w:lvl>
    <w:lvl w:ilvl="1" w:tplc="D726704A">
      <w:start w:val="1"/>
      <w:numFmt w:val="lowerLetter"/>
      <w:lvlText w:val="%2."/>
      <w:lvlJc w:val="left"/>
      <w:pPr>
        <w:ind w:left="1440" w:hanging="360"/>
      </w:pPr>
    </w:lvl>
    <w:lvl w:ilvl="2" w:tplc="3A90FE54">
      <w:start w:val="1"/>
      <w:numFmt w:val="lowerRoman"/>
      <w:lvlText w:val="%3."/>
      <w:lvlJc w:val="right"/>
      <w:pPr>
        <w:ind w:left="2160" w:hanging="180"/>
      </w:pPr>
    </w:lvl>
    <w:lvl w:ilvl="3" w:tplc="89E47356">
      <w:start w:val="1"/>
      <w:numFmt w:val="decimal"/>
      <w:lvlText w:val="%4."/>
      <w:lvlJc w:val="left"/>
      <w:pPr>
        <w:ind w:left="2880" w:hanging="360"/>
      </w:pPr>
    </w:lvl>
    <w:lvl w:ilvl="4" w:tplc="21A871EE">
      <w:start w:val="1"/>
      <w:numFmt w:val="lowerLetter"/>
      <w:lvlText w:val="%5."/>
      <w:lvlJc w:val="left"/>
      <w:pPr>
        <w:ind w:left="3600" w:hanging="360"/>
      </w:pPr>
    </w:lvl>
    <w:lvl w:ilvl="5" w:tplc="28604538">
      <w:start w:val="1"/>
      <w:numFmt w:val="lowerRoman"/>
      <w:lvlText w:val="%6."/>
      <w:lvlJc w:val="right"/>
      <w:pPr>
        <w:ind w:left="4320" w:hanging="180"/>
      </w:pPr>
    </w:lvl>
    <w:lvl w:ilvl="6" w:tplc="021E96F4">
      <w:start w:val="1"/>
      <w:numFmt w:val="decimal"/>
      <w:lvlText w:val="%7."/>
      <w:lvlJc w:val="left"/>
      <w:pPr>
        <w:ind w:left="5040" w:hanging="360"/>
      </w:pPr>
    </w:lvl>
    <w:lvl w:ilvl="7" w:tplc="898E81F6">
      <w:start w:val="1"/>
      <w:numFmt w:val="lowerLetter"/>
      <w:lvlText w:val="%8."/>
      <w:lvlJc w:val="left"/>
      <w:pPr>
        <w:ind w:left="5760" w:hanging="360"/>
      </w:pPr>
    </w:lvl>
    <w:lvl w:ilvl="8" w:tplc="2D44E8C6">
      <w:start w:val="1"/>
      <w:numFmt w:val="lowerRoman"/>
      <w:lvlText w:val="%9."/>
      <w:lvlJc w:val="right"/>
      <w:pPr>
        <w:ind w:left="6480" w:hanging="180"/>
      </w:pPr>
    </w:lvl>
  </w:abstractNum>
  <w:abstractNum w:abstractNumId="20"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31E94AE7"/>
    <w:multiLevelType w:val="hybridMultilevel"/>
    <w:tmpl w:val="FFFFFFFF"/>
    <w:lvl w:ilvl="0" w:tplc="9C3AD968">
      <w:start w:val="1"/>
      <w:numFmt w:val="decimal"/>
      <w:lvlText w:val="%1."/>
      <w:lvlJc w:val="left"/>
      <w:pPr>
        <w:ind w:left="720" w:hanging="360"/>
      </w:pPr>
    </w:lvl>
    <w:lvl w:ilvl="1" w:tplc="175A3426">
      <w:start w:val="1"/>
      <w:numFmt w:val="lowerLetter"/>
      <w:lvlText w:val="%2."/>
      <w:lvlJc w:val="left"/>
      <w:pPr>
        <w:ind w:left="1440" w:hanging="360"/>
      </w:pPr>
    </w:lvl>
    <w:lvl w:ilvl="2" w:tplc="FC643A06">
      <w:start w:val="1"/>
      <w:numFmt w:val="lowerRoman"/>
      <w:lvlText w:val="%3."/>
      <w:lvlJc w:val="right"/>
      <w:pPr>
        <w:ind w:left="2160" w:hanging="180"/>
      </w:pPr>
    </w:lvl>
    <w:lvl w:ilvl="3" w:tplc="75ACA4CE">
      <w:start w:val="1"/>
      <w:numFmt w:val="decimal"/>
      <w:lvlText w:val="%4."/>
      <w:lvlJc w:val="left"/>
      <w:pPr>
        <w:ind w:left="2880" w:hanging="360"/>
      </w:pPr>
    </w:lvl>
    <w:lvl w:ilvl="4" w:tplc="E904EB72">
      <w:start w:val="1"/>
      <w:numFmt w:val="lowerLetter"/>
      <w:lvlText w:val="%5."/>
      <w:lvlJc w:val="left"/>
      <w:pPr>
        <w:ind w:left="3600" w:hanging="360"/>
      </w:pPr>
    </w:lvl>
    <w:lvl w:ilvl="5" w:tplc="1024A524">
      <w:start w:val="1"/>
      <w:numFmt w:val="lowerRoman"/>
      <w:lvlText w:val="%6."/>
      <w:lvlJc w:val="right"/>
      <w:pPr>
        <w:ind w:left="4320" w:hanging="180"/>
      </w:pPr>
    </w:lvl>
    <w:lvl w:ilvl="6" w:tplc="DDA82876">
      <w:start w:val="1"/>
      <w:numFmt w:val="decimal"/>
      <w:lvlText w:val="%7."/>
      <w:lvlJc w:val="left"/>
      <w:pPr>
        <w:ind w:left="5040" w:hanging="360"/>
      </w:pPr>
    </w:lvl>
    <w:lvl w:ilvl="7" w:tplc="BC6E5162">
      <w:start w:val="1"/>
      <w:numFmt w:val="lowerLetter"/>
      <w:lvlText w:val="%8."/>
      <w:lvlJc w:val="left"/>
      <w:pPr>
        <w:ind w:left="5760" w:hanging="360"/>
      </w:pPr>
    </w:lvl>
    <w:lvl w:ilvl="8" w:tplc="96FCD49A">
      <w:start w:val="1"/>
      <w:numFmt w:val="lowerRoman"/>
      <w:lvlText w:val="%9."/>
      <w:lvlJc w:val="right"/>
      <w:pPr>
        <w:ind w:left="6480" w:hanging="180"/>
      </w:pPr>
    </w:lvl>
  </w:abstractNum>
  <w:abstractNum w:abstractNumId="22" w15:restartNumberingAfterBreak="0">
    <w:nsid w:val="32FC1F1E"/>
    <w:multiLevelType w:val="hybridMultilevel"/>
    <w:tmpl w:val="AD10E1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5A4D92"/>
    <w:multiLevelType w:val="hybridMultilevel"/>
    <w:tmpl w:val="B4B2AC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112BDE"/>
    <w:multiLevelType w:val="hybridMultilevel"/>
    <w:tmpl w:val="5DCE155E"/>
    <w:lvl w:ilvl="0" w:tplc="604CB4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E304BD"/>
    <w:multiLevelType w:val="hybridMultilevel"/>
    <w:tmpl w:val="72AC93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ED17A2"/>
    <w:multiLevelType w:val="hybridMultilevel"/>
    <w:tmpl w:val="CEF66C64"/>
    <w:lvl w:ilvl="0" w:tplc="04090015">
      <w:start w:val="1"/>
      <w:numFmt w:val="upperLetter"/>
      <w:lvlText w:val="%1."/>
      <w:lvlJc w:val="left"/>
      <w:pPr>
        <w:ind w:left="360" w:hanging="360"/>
      </w:pPr>
    </w:lvl>
    <w:lvl w:ilvl="1" w:tplc="7A684C82" w:tentative="1">
      <w:start w:val="1"/>
      <w:numFmt w:val="lowerLetter"/>
      <w:lvlText w:val="%2."/>
      <w:lvlJc w:val="left"/>
      <w:pPr>
        <w:ind w:left="1080" w:hanging="360"/>
      </w:pPr>
    </w:lvl>
    <w:lvl w:ilvl="2" w:tplc="7C068DB8" w:tentative="1">
      <w:start w:val="1"/>
      <w:numFmt w:val="lowerRoman"/>
      <w:lvlText w:val="%3."/>
      <w:lvlJc w:val="right"/>
      <w:pPr>
        <w:ind w:left="1800" w:hanging="180"/>
      </w:pPr>
    </w:lvl>
    <w:lvl w:ilvl="3" w:tplc="5C9E75DA" w:tentative="1">
      <w:start w:val="1"/>
      <w:numFmt w:val="decimal"/>
      <w:lvlText w:val="%4."/>
      <w:lvlJc w:val="left"/>
      <w:pPr>
        <w:ind w:left="2520" w:hanging="360"/>
      </w:pPr>
    </w:lvl>
    <w:lvl w:ilvl="4" w:tplc="99CA7FFC" w:tentative="1">
      <w:start w:val="1"/>
      <w:numFmt w:val="lowerLetter"/>
      <w:lvlText w:val="%5."/>
      <w:lvlJc w:val="left"/>
      <w:pPr>
        <w:ind w:left="3240" w:hanging="360"/>
      </w:pPr>
    </w:lvl>
    <w:lvl w:ilvl="5" w:tplc="6832DCC8" w:tentative="1">
      <w:start w:val="1"/>
      <w:numFmt w:val="lowerRoman"/>
      <w:lvlText w:val="%6."/>
      <w:lvlJc w:val="right"/>
      <w:pPr>
        <w:ind w:left="3960" w:hanging="180"/>
      </w:pPr>
    </w:lvl>
    <w:lvl w:ilvl="6" w:tplc="89609202" w:tentative="1">
      <w:start w:val="1"/>
      <w:numFmt w:val="decimal"/>
      <w:lvlText w:val="%7."/>
      <w:lvlJc w:val="left"/>
      <w:pPr>
        <w:ind w:left="4680" w:hanging="360"/>
      </w:pPr>
    </w:lvl>
    <w:lvl w:ilvl="7" w:tplc="E8E6620A" w:tentative="1">
      <w:start w:val="1"/>
      <w:numFmt w:val="lowerLetter"/>
      <w:lvlText w:val="%8."/>
      <w:lvlJc w:val="left"/>
      <w:pPr>
        <w:ind w:left="5400" w:hanging="360"/>
      </w:pPr>
    </w:lvl>
    <w:lvl w:ilvl="8" w:tplc="98381F20" w:tentative="1">
      <w:start w:val="1"/>
      <w:numFmt w:val="lowerRoman"/>
      <w:lvlText w:val="%9."/>
      <w:lvlJc w:val="right"/>
      <w:pPr>
        <w:ind w:left="6120" w:hanging="180"/>
      </w:pPr>
    </w:lvl>
  </w:abstractNum>
  <w:abstractNum w:abstractNumId="27" w15:restartNumberingAfterBreak="0">
    <w:nsid w:val="56874013"/>
    <w:multiLevelType w:val="hybridMultilevel"/>
    <w:tmpl w:val="FFFFFFFF"/>
    <w:lvl w:ilvl="0" w:tplc="D3B0C1A0">
      <w:start w:val="1"/>
      <w:numFmt w:val="decimal"/>
      <w:lvlText w:val="%1."/>
      <w:lvlJc w:val="left"/>
      <w:pPr>
        <w:ind w:left="720" w:hanging="360"/>
      </w:pPr>
    </w:lvl>
    <w:lvl w:ilvl="1" w:tplc="C324E2DA">
      <w:start w:val="1"/>
      <w:numFmt w:val="lowerLetter"/>
      <w:lvlText w:val="%2."/>
      <w:lvlJc w:val="left"/>
      <w:pPr>
        <w:ind w:left="1440" w:hanging="360"/>
      </w:pPr>
    </w:lvl>
    <w:lvl w:ilvl="2" w:tplc="520E3E24">
      <w:start w:val="1"/>
      <w:numFmt w:val="lowerRoman"/>
      <w:lvlText w:val="%3."/>
      <w:lvlJc w:val="right"/>
      <w:pPr>
        <w:ind w:left="2160" w:hanging="180"/>
      </w:pPr>
    </w:lvl>
    <w:lvl w:ilvl="3" w:tplc="62AE2AC6">
      <w:start w:val="1"/>
      <w:numFmt w:val="decimal"/>
      <w:lvlText w:val="%4."/>
      <w:lvlJc w:val="left"/>
      <w:pPr>
        <w:ind w:left="2880" w:hanging="360"/>
      </w:pPr>
    </w:lvl>
    <w:lvl w:ilvl="4" w:tplc="54CA1954">
      <w:start w:val="1"/>
      <w:numFmt w:val="lowerLetter"/>
      <w:lvlText w:val="%5."/>
      <w:lvlJc w:val="left"/>
      <w:pPr>
        <w:ind w:left="3600" w:hanging="360"/>
      </w:pPr>
    </w:lvl>
    <w:lvl w:ilvl="5" w:tplc="F2766010">
      <w:start w:val="1"/>
      <w:numFmt w:val="lowerRoman"/>
      <w:lvlText w:val="%6."/>
      <w:lvlJc w:val="right"/>
      <w:pPr>
        <w:ind w:left="4320" w:hanging="180"/>
      </w:pPr>
    </w:lvl>
    <w:lvl w:ilvl="6" w:tplc="C6EE5416">
      <w:start w:val="1"/>
      <w:numFmt w:val="decimal"/>
      <w:lvlText w:val="%7."/>
      <w:lvlJc w:val="left"/>
      <w:pPr>
        <w:ind w:left="5040" w:hanging="360"/>
      </w:pPr>
    </w:lvl>
    <w:lvl w:ilvl="7" w:tplc="5AA4BCE0">
      <w:start w:val="1"/>
      <w:numFmt w:val="lowerLetter"/>
      <w:lvlText w:val="%8."/>
      <w:lvlJc w:val="left"/>
      <w:pPr>
        <w:ind w:left="5760" w:hanging="360"/>
      </w:pPr>
    </w:lvl>
    <w:lvl w:ilvl="8" w:tplc="93F6D3F6">
      <w:start w:val="1"/>
      <w:numFmt w:val="lowerRoman"/>
      <w:lvlText w:val="%9."/>
      <w:lvlJc w:val="right"/>
      <w:pPr>
        <w:ind w:left="6480" w:hanging="180"/>
      </w:pPr>
    </w:lvl>
  </w:abstractNum>
  <w:abstractNum w:abstractNumId="28" w15:restartNumberingAfterBreak="0">
    <w:nsid w:val="5C897B34"/>
    <w:multiLevelType w:val="hybridMultilevel"/>
    <w:tmpl w:val="FFFFFFFF"/>
    <w:lvl w:ilvl="0" w:tplc="FFBE9FD4">
      <w:start w:val="1"/>
      <w:numFmt w:val="decimal"/>
      <w:lvlText w:val="%1."/>
      <w:lvlJc w:val="left"/>
      <w:pPr>
        <w:ind w:left="720" w:hanging="360"/>
      </w:pPr>
    </w:lvl>
    <w:lvl w:ilvl="1" w:tplc="017419A0">
      <w:start w:val="1"/>
      <w:numFmt w:val="lowerLetter"/>
      <w:lvlText w:val="%2."/>
      <w:lvlJc w:val="left"/>
      <w:pPr>
        <w:ind w:left="1440" w:hanging="360"/>
      </w:pPr>
    </w:lvl>
    <w:lvl w:ilvl="2" w:tplc="670A4866">
      <w:start w:val="1"/>
      <w:numFmt w:val="lowerRoman"/>
      <w:lvlText w:val="%3."/>
      <w:lvlJc w:val="right"/>
      <w:pPr>
        <w:ind w:left="2160" w:hanging="180"/>
      </w:pPr>
    </w:lvl>
    <w:lvl w:ilvl="3" w:tplc="C66E23E6">
      <w:start w:val="1"/>
      <w:numFmt w:val="decimal"/>
      <w:lvlText w:val="%4."/>
      <w:lvlJc w:val="left"/>
      <w:pPr>
        <w:ind w:left="2880" w:hanging="360"/>
      </w:pPr>
    </w:lvl>
    <w:lvl w:ilvl="4" w:tplc="B53A205C">
      <w:start w:val="1"/>
      <w:numFmt w:val="lowerLetter"/>
      <w:lvlText w:val="%5."/>
      <w:lvlJc w:val="left"/>
      <w:pPr>
        <w:ind w:left="3600" w:hanging="360"/>
      </w:pPr>
    </w:lvl>
    <w:lvl w:ilvl="5" w:tplc="F37A3970">
      <w:start w:val="1"/>
      <w:numFmt w:val="lowerRoman"/>
      <w:lvlText w:val="%6."/>
      <w:lvlJc w:val="right"/>
      <w:pPr>
        <w:ind w:left="4320" w:hanging="180"/>
      </w:pPr>
    </w:lvl>
    <w:lvl w:ilvl="6" w:tplc="E0748478">
      <w:start w:val="1"/>
      <w:numFmt w:val="decimal"/>
      <w:lvlText w:val="%7."/>
      <w:lvlJc w:val="left"/>
      <w:pPr>
        <w:ind w:left="5040" w:hanging="360"/>
      </w:pPr>
    </w:lvl>
    <w:lvl w:ilvl="7" w:tplc="5ADE71EC">
      <w:start w:val="1"/>
      <w:numFmt w:val="lowerLetter"/>
      <w:lvlText w:val="%8."/>
      <w:lvlJc w:val="left"/>
      <w:pPr>
        <w:ind w:left="5760" w:hanging="360"/>
      </w:pPr>
    </w:lvl>
    <w:lvl w:ilvl="8" w:tplc="0EBEDC5C">
      <w:start w:val="1"/>
      <w:numFmt w:val="lowerRoman"/>
      <w:lvlText w:val="%9."/>
      <w:lvlJc w:val="right"/>
      <w:pPr>
        <w:ind w:left="6480" w:hanging="180"/>
      </w:pPr>
    </w:lvl>
  </w:abstractNum>
  <w:abstractNum w:abstractNumId="29" w15:restartNumberingAfterBreak="0">
    <w:nsid w:val="69BB78E6"/>
    <w:multiLevelType w:val="hybridMultilevel"/>
    <w:tmpl w:val="2222E22C"/>
    <w:lvl w:ilvl="0" w:tplc="96A4903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BCE1E4D"/>
    <w:multiLevelType w:val="hybridMultilevel"/>
    <w:tmpl w:val="F99ED49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42B6C"/>
    <w:multiLevelType w:val="hybridMultilevel"/>
    <w:tmpl w:val="A3EAD72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7E73766"/>
    <w:multiLevelType w:val="hybridMultilevel"/>
    <w:tmpl w:val="ACC44DF4"/>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396241"/>
    <w:multiLevelType w:val="hybridMultilevel"/>
    <w:tmpl w:val="FFFFFFFF"/>
    <w:lvl w:ilvl="0" w:tplc="E6E69F96">
      <w:start w:val="1"/>
      <w:numFmt w:val="bullet"/>
      <w:lvlText w:val=""/>
      <w:lvlJc w:val="left"/>
      <w:pPr>
        <w:ind w:left="720" w:hanging="360"/>
      </w:pPr>
      <w:rPr>
        <w:rFonts w:ascii="Symbol" w:hAnsi="Symbol" w:hint="default"/>
      </w:rPr>
    </w:lvl>
    <w:lvl w:ilvl="1" w:tplc="D4C040CE">
      <w:start w:val="1"/>
      <w:numFmt w:val="bullet"/>
      <w:lvlText w:val=""/>
      <w:lvlJc w:val="left"/>
      <w:pPr>
        <w:ind w:left="1440" w:hanging="360"/>
      </w:pPr>
      <w:rPr>
        <w:rFonts w:ascii="Symbol" w:hAnsi="Symbol" w:hint="default"/>
      </w:rPr>
    </w:lvl>
    <w:lvl w:ilvl="2" w:tplc="AEFEB8BE">
      <w:start w:val="1"/>
      <w:numFmt w:val="bullet"/>
      <w:lvlText w:val=""/>
      <w:lvlJc w:val="left"/>
      <w:pPr>
        <w:ind w:left="2160" w:hanging="360"/>
      </w:pPr>
      <w:rPr>
        <w:rFonts w:ascii="Wingdings" w:hAnsi="Wingdings" w:hint="default"/>
      </w:rPr>
    </w:lvl>
    <w:lvl w:ilvl="3" w:tplc="D0862CEE">
      <w:start w:val="1"/>
      <w:numFmt w:val="bullet"/>
      <w:lvlText w:val=""/>
      <w:lvlJc w:val="left"/>
      <w:pPr>
        <w:ind w:left="2880" w:hanging="360"/>
      </w:pPr>
      <w:rPr>
        <w:rFonts w:ascii="Symbol" w:hAnsi="Symbol" w:hint="default"/>
      </w:rPr>
    </w:lvl>
    <w:lvl w:ilvl="4" w:tplc="2C424470">
      <w:start w:val="1"/>
      <w:numFmt w:val="bullet"/>
      <w:lvlText w:val="o"/>
      <w:lvlJc w:val="left"/>
      <w:pPr>
        <w:ind w:left="3600" w:hanging="360"/>
      </w:pPr>
      <w:rPr>
        <w:rFonts w:ascii="Courier New" w:hAnsi="Courier New" w:hint="default"/>
      </w:rPr>
    </w:lvl>
    <w:lvl w:ilvl="5" w:tplc="D4AC5A4C">
      <w:start w:val="1"/>
      <w:numFmt w:val="bullet"/>
      <w:lvlText w:val=""/>
      <w:lvlJc w:val="left"/>
      <w:pPr>
        <w:ind w:left="4320" w:hanging="360"/>
      </w:pPr>
      <w:rPr>
        <w:rFonts w:ascii="Wingdings" w:hAnsi="Wingdings" w:hint="default"/>
      </w:rPr>
    </w:lvl>
    <w:lvl w:ilvl="6" w:tplc="6E7642AE">
      <w:start w:val="1"/>
      <w:numFmt w:val="bullet"/>
      <w:lvlText w:val=""/>
      <w:lvlJc w:val="left"/>
      <w:pPr>
        <w:ind w:left="5040" w:hanging="360"/>
      </w:pPr>
      <w:rPr>
        <w:rFonts w:ascii="Symbol" w:hAnsi="Symbol" w:hint="default"/>
      </w:rPr>
    </w:lvl>
    <w:lvl w:ilvl="7" w:tplc="5A88667A">
      <w:start w:val="1"/>
      <w:numFmt w:val="bullet"/>
      <w:lvlText w:val="o"/>
      <w:lvlJc w:val="left"/>
      <w:pPr>
        <w:ind w:left="5760" w:hanging="360"/>
      </w:pPr>
      <w:rPr>
        <w:rFonts w:ascii="Courier New" w:hAnsi="Courier New" w:hint="default"/>
      </w:rPr>
    </w:lvl>
    <w:lvl w:ilvl="8" w:tplc="F062624E">
      <w:start w:val="1"/>
      <w:numFmt w:val="bullet"/>
      <w:lvlText w:val=""/>
      <w:lvlJc w:val="left"/>
      <w:pPr>
        <w:ind w:left="6480" w:hanging="360"/>
      </w:pPr>
      <w:rPr>
        <w:rFonts w:ascii="Wingdings" w:hAnsi="Wingdings" w:hint="default"/>
      </w:rPr>
    </w:lvl>
  </w:abstractNum>
  <w:num w:numId="1" w16cid:durableId="1636983216">
    <w:abstractNumId w:val="24"/>
  </w:num>
  <w:num w:numId="2" w16cid:durableId="777023756">
    <w:abstractNumId w:val="14"/>
  </w:num>
  <w:num w:numId="3" w16cid:durableId="452945713">
    <w:abstractNumId w:val="9"/>
  </w:num>
  <w:num w:numId="4" w16cid:durableId="317734624">
    <w:abstractNumId w:val="7"/>
  </w:num>
  <w:num w:numId="5" w16cid:durableId="1266306047">
    <w:abstractNumId w:val="6"/>
  </w:num>
  <w:num w:numId="6" w16cid:durableId="1281960850">
    <w:abstractNumId w:val="5"/>
  </w:num>
  <w:num w:numId="7" w16cid:durableId="910777443">
    <w:abstractNumId w:val="4"/>
  </w:num>
  <w:num w:numId="8" w16cid:durableId="103039698">
    <w:abstractNumId w:val="8"/>
  </w:num>
  <w:num w:numId="9" w16cid:durableId="1046369859">
    <w:abstractNumId w:val="3"/>
  </w:num>
  <w:num w:numId="10" w16cid:durableId="81879865">
    <w:abstractNumId w:val="2"/>
  </w:num>
  <w:num w:numId="11" w16cid:durableId="1609047711">
    <w:abstractNumId w:val="1"/>
  </w:num>
  <w:num w:numId="12" w16cid:durableId="25721252">
    <w:abstractNumId w:val="0"/>
  </w:num>
  <w:num w:numId="13" w16cid:durableId="1634679154">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4" w16cid:durableId="1511288764">
    <w:abstractNumId w:val="20"/>
  </w:num>
  <w:num w:numId="15" w16cid:durableId="178869760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6" w16cid:durableId="190144642">
    <w:abstractNumId w:val="17"/>
  </w:num>
  <w:num w:numId="17" w16cid:durableId="471093436">
    <w:abstractNumId w:val="29"/>
  </w:num>
  <w:num w:numId="18" w16cid:durableId="1988240258">
    <w:abstractNumId w:val="15"/>
  </w:num>
  <w:num w:numId="19" w16cid:durableId="2003198117">
    <w:abstractNumId w:val="16"/>
  </w:num>
  <w:num w:numId="20" w16cid:durableId="1376000182">
    <w:abstractNumId w:val="33"/>
  </w:num>
  <w:num w:numId="21" w16cid:durableId="607933603">
    <w:abstractNumId w:val="27"/>
  </w:num>
  <w:num w:numId="22" w16cid:durableId="738595615">
    <w:abstractNumId w:val="28"/>
  </w:num>
  <w:num w:numId="23" w16cid:durableId="1165393300">
    <w:abstractNumId w:val="21"/>
  </w:num>
  <w:num w:numId="24" w16cid:durableId="1525360194">
    <w:abstractNumId w:val="19"/>
  </w:num>
  <w:num w:numId="25" w16cid:durableId="2043940759">
    <w:abstractNumId w:val="23"/>
  </w:num>
  <w:num w:numId="26" w16cid:durableId="1214580357">
    <w:abstractNumId w:val="25"/>
  </w:num>
  <w:num w:numId="27" w16cid:durableId="1423600194">
    <w:abstractNumId w:val="31"/>
  </w:num>
  <w:num w:numId="28" w16cid:durableId="570622936">
    <w:abstractNumId w:val="32"/>
  </w:num>
  <w:num w:numId="29" w16cid:durableId="477891013">
    <w:abstractNumId w:val="18"/>
  </w:num>
  <w:num w:numId="30" w16cid:durableId="94327163">
    <w:abstractNumId w:val="22"/>
  </w:num>
  <w:num w:numId="31" w16cid:durableId="802308819">
    <w:abstractNumId w:val="26"/>
  </w:num>
  <w:num w:numId="32" w16cid:durableId="1598320181">
    <w:abstractNumId w:val="11"/>
  </w:num>
  <w:num w:numId="33" w16cid:durableId="777409201">
    <w:abstractNumId w:val="13"/>
  </w:num>
  <w:num w:numId="34" w16cid:durableId="185296403">
    <w:abstractNumId w:val="30"/>
  </w:num>
  <w:num w:numId="35" w16cid:durableId="2112511077">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6" w16cid:durableId="24912042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7" w16cid:durableId="170506234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8" w16cid:durableId="183221257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9" w16cid:durableId="15594340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C11"/>
    <w:rsid w:val="0000234E"/>
    <w:rsid w:val="00011AFB"/>
    <w:rsid w:val="00017CB3"/>
    <w:rsid w:val="0002274D"/>
    <w:rsid w:val="00046642"/>
    <w:rsid w:val="00050974"/>
    <w:rsid w:val="00051A82"/>
    <w:rsid w:val="000574FC"/>
    <w:rsid w:val="00070B32"/>
    <w:rsid w:val="0009603D"/>
    <w:rsid w:val="000A5237"/>
    <w:rsid w:val="000C4535"/>
    <w:rsid w:val="000D6ABF"/>
    <w:rsid w:val="000E0ADB"/>
    <w:rsid w:val="000F54BA"/>
    <w:rsid w:val="000F7D4D"/>
    <w:rsid w:val="001235B7"/>
    <w:rsid w:val="00131035"/>
    <w:rsid w:val="00132EFC"/>
    <w:rsid w:val="001441A0"/>
    <w:rsid w:val="001503B9"/>
    <w:rsid w:val="00150AF6"/>
    <w:rsid w:val="0015232D"/>
    <w:rsid w:val="00152AB4"/>
    <w:rsid w:val="00155F87"/>
    <w:rsid w:val="00181843"/>
    <w:rsid w:val="00182EAD"/>
    <w:rsid w:val="00190D1C"/>
    <w:rsid w:val="001B7071"/>
    <w:rsid w:val="001C50DC"/>
    <w:rsid w:val="001D0D19"/>
    <w:rsid w:val="001D247F"/>
    <w:rsid w:val="001D3AEC"/>
    <w:rsid w:val="001D4DB1"/>
    <w:rsid w:val="001D667B"/>
    <w:rsid w:val="001D6AE2"/>
    <w:rsid w:val="001E1C0C"/>
    <w:rsid w:val="001E4FC7"/>
    <w:rsid w:val="001F62F8"/>
    <w:rsid w:val="00201E3B"/>
    <w:rsid w:val="00203E08"/>
    <w:rsid w:val="002146F6"/>
    <w:rsid w:val="00216745"/>
    <w:rsid w:val="00224369"/>
    <w:rsid w:val="00235017"/>
    <w:rsid w:val="00240A5E"/>
    <w:rsid w:val="00250649"/>
    <w:rsid w:val="00261EB2"/>
    <w:rsid w:val="00283163"/>
    <w:rsid w:val="00290D7A"/>
    <w:rsid w:val="002967C0"/>
    <w:rsid w:val="002A4ECC"/>
    <w:rsid w:val="002B55BF"/>
    <w:rsid w:val="002B6378"/>
    <w:rsid w:val="002C3E4A"/>
    <w:rsid w:val="00303C9F"/>
    <w:rsid w:val="0030427D"/>
    <w:rsid w:val="00310927"/>
    <w:rsid w:val="0031441A"/>
    <w:rsid w:val="00322623"/>
    <w:rsid w:val="00322862"/>
    <w:rsid w:val="00323077"/>
    <w:rsid w:val="003466F0"/>
    <w:rsid w:val="003524B8"/>
    <w:rsid w:val="00360A1B"/>
    <w:rsid w:val="0037107D"/>
    <w:rsid w:val="003711E4"/>
    <w:rsid w:val="00371B63"/>
    <w:rsid w:val="00380F95"/>
    <w:rsid w:val="003912B9"/>
    <w:rsid w:val="003B4E61"/>
    <w:rsid w:val="003C7350"/>
    <w:rsid w:val="003C791C"/>
    <w:rsid w:val="003D2B8B"/>
    <w:rsid w:val="003E1C79"/>
    <w:rsid w:val="003F0F13"/>
    <w:rsid w:val="003F2FD2"/>
    <w:rsid w:val="003F4F91"/>
    <w:rsid w:val="0043037A"/>
    <w:rsid w:val="004440DB"/>
    <w:rsid w:val="0044517D"/>
    <w:rsid w:val="00451DA5"/>
    <w:rsid w:val="004606A9"/>
    <w:rsid w:val="0047260D"/>
    <w:rsid w:val="00476F8C"/>
    <w:rsid w:val="004938ED"/>
    <w:rsid w:val="004A586B"/>
    <w:rsid w:val="004B06FF"/>
    <w:rsid w:val="004C3E45"/>
    <w:rsid w:val="004D17BF"/>
    <w:rsid w:val="004D32E9"/>
    <w:rsid w:val="004E0716"/>
    <w:rsid w:val="004E114D"/>
    <w:rsid w:val="00501BCC"/>
    <w:rsid w:val="00511E9D"/>
    <w:rsid w:val="0051580E"/>
    <w:rsid w:val="00517B49"/>
    <w:rsid w:val="00526F1B"/>
    <w:rsid w:val="0053214A"/>
    <w:rsid w:val="00532A12"/>
    <w:rsid w:val="00543A32"/>
    <w:rsid w:val="00557323"/>
    <w:rsid w:val="005633E0"/>
    <w:rsid w:val="00575AE2"/>
    <w:rsid w:val="005775C6"/>
    <w:rsid w:val="00581B57"/>
    <w:rsid w:val="005A6DD2"/>
    <w:rsid w:val="005B1AC0"/>
    <w:rsid w:val="005D33AE"/>
    <w:rsid w:val="005E2B2B"/>
    <w:rsid w:val="005F7BDE"/>
    <w:rsid w:val="00613518"/>
    <w:rsid w:val="00614481"/>
    <w:rsid w:val="00617C11"/>
    <w:rsid w:val="006239B6"/>
    <w:rsid w:val="0063155E"/>
    <w:rsid w:val="0063282B"/>
    <w:rsid w:val="00635A26"/>
    <w:rsid w:val="00673EC2"/>
    <w:rsid w:val="00691C96"/>
    <w:rsid w:val="006C2BB3"/>
    <w:rsid w:val="006F6225"/>
    <w:rsid w:val="0070372B"/>
    <w:rsid w:val="00705D23"/>
    <w:rsid w:val="00707A51"/>
    <w:rsid w:val="00721C6F"/>
    <w:rsid w:val="00722FAA"/>
    <w:rsid w:val="00723076"/>
    <w:rsid w:val="0072697D"/>
    <w:rsid w:val="0073368D"/>
    <w:rsid w:val="00734E2C"/>
    <w:rsid w:val="007623AC"/>
    <w:rsid w:val="0077519A"/>
    <w:rsid w:val="00796EF1"/>
    <w:rsid w:val="007C0560"/>
    <w:rsid w:val="007C3483"/>
    <w:rsid w:val="007D19B6"/>
    <w:rsid w:val="007F0183"/>
    <w:rsid w:val="007F5919"/>
    <w:rsid w:val="007F7FD7"/>
    <w:rsid w:val="008316A8"/>
    <w:rsid w:val="00832C69"/>
    <w:rsid w:val="0084257F"/>
    <w:rsid w:val="00846BDF"/>
    <w:rsid w:val="00850939"/>
    <w:rsid w:val="00861CC1"/>
    <w:rsid w:val="00862D97"/>
    <w:rsid w:val="008760F8"/>
    <w:rsid w:val="00877DF9"/>
    <w:rsid w:val="0088398F"/>
    <w:rsid w:val="00886B91"/>
    <w:rsid w:val="008928C3"/>
    <w:rsid w:val="008A053D"/>
    <w:rsid w:val="008D2B01"/>
    <w:rsid w:val="008D6C43"/>
    <w:rsid w:val="008D7FD8"/>
    <w:rsid w:val="008E014B"/>
    <w:rsid w:val="008E0E4F"/>
    <w:rsid w:val="008E7268"/>
    <w:rsid w:val="008E7322"/>
    <w:rsid w:val="008F0C9D"/>
    <w:rsid w:val="009076DA"/>
    <w:rsid w:val="00911DEA"/>
    <w:rsid w:val="009122BD"/>
    <w:rsid w:val="00916982"/>
    <w:rsid w:val="009179B1"/>
    <w:rsid w:val="00924488"/>
    <w:rsid w:val="00946124"/>
    <w:rsid w:val="00953A3F"/>
    <w:rsid w:val="009601FB"/>
    <w:rsid w:val="00964243"/>
    <w:rsid w:val="009773DA"/>
    <w:rsid w:val="00982466"/>
    <w:rsid w:val="00990DCA"/>
    <w:rsid w:val="00996E8C"/>
    <w:rsid w:val="009B33D5"/>
    <w:rsid w:val="009B51C2"/>
    <w:rsid w:val="009C68BE"/>
    <w:rsid w:val="009E46CD"/>
    <w:rsid w:val="009F73C3"/>
    <w:rsid w:val="00A10703"/>
    <w:rsid w:val="00A24D20"/>
    <w:rsid w:val="00A413F3"/>
    <w:rsid w:val="00A61750"/>
    <w:rsid w:val="00A639AE"/>
    <w:rsid w:val="00A82510"/>
    <w:rsid w:val="00A832E2"/>
    <w:rsid w:val="00AA0928"/>
    <w:rsid w:val="00AA1036"/>
    <w:rsid w:val="00AA2632"/>
    <w:rsid w:val="00AA343A"/>
    <w:rsid w:val="00AA6A5F"/>
    <w:rsid w:val="00AF1235"/>
    <w:rsid w:val="00AF6D25"/>
    <w:rsid w:val="00B053A1"/>
    <w:rsid w:val="00B062CF"/>
    <w:rsid w:val="00B160BA"/>
    <w:rsid w:val="00B332FF"/>
    <w:rsid w:val="00B37AE9"/>
    <w:rsid w:val="00B53DB3"/>
    <w:rsid w:val="00B557CE"/>
    <w:rsid w:val="00B74E4D"/>
    <w:rsid w:val="00B7747E"/>
    <w:rsid w:val="00B81EFB"/>
    <w:rsid w:val="00B9455C"/>
    <w:rsid w:val="00BA3208"/>
    <w:rsid w:val="00BA6FC9"/>
    <w:rsid w:val="00BD530F"/>
    <w:rsid w:val="00BD5DC1"/>
    <w:rsid w:val="00BF3750"/>
    <w:rsid w:val="00C0429E"/>
    <w:rsid w:val="00C21325"/>
    <w:rsid w:val="00C379D0"/>
    <w:rsid w:val="00C524C5"/>
    <w:rsid w:val="00C54DE8"/>
    <w:rsid w:val="00C77B89"/>
    <w:rsid w:val="00C8367A"/>
    <w:rsid w:val="00C83ACE"/>
    <w:rsid w:val="00C93767"/>
    <w:rsid w:val="00CB0978"/>
    <w:rsid w:val="00CE5991"/>
    <w:rsid w:val="00D118D6"/>
    <w:rsid w:val="00D12A0B"/>
    <w:rsid w:val="00D2068E"/>
    <w:rsid w:val="00D21F67"/>
    <w:rsid w:val="00D37AC2"/>
    <w:rsid w:val="00D41EED"/>
    <w:rsid w:val="00D5543A"/>
    <w:rsid w:val="00D55718"/>
    <w:rsid w:val="00D63057"/>
    <w:rsid w:val="00D85806"/>
    <w:rsid w:val="00DA3D03"/>
    <w:rsid w:val="00DA501C"/>
    <w:rsid w:val="00DB0930"/>
    <w:rsid w:val="00DB6C35"/>
    <w:rsid w:val="00DD1611"/>
    <w:rsid w:val="00DD360C"/>
    <w:rsid w:val="00DF7900"/>
    <w:rsid w:val="00E126FD"/>
    <w:rsid w:val="00E355B0"/>
    <w:rsid w:val="00E410D3"/>
    <w:rsid w:val="00E52CC2"/>
    <w:rsid w:val="00E852DC"/>
    <w:rsid w:val="00EA2C02"/>
    <w:rsid w:val="00EC3051"/>
    <w:rsid w:val="00ED3FD0"/>
    <w:rsid w:val="00ED6B6A"/>
    <w:rsid w:val="00ED6D67"/>
    <w:rsid w:val="00EF1A2C"/>
    <w:rsid w:val="00EF6AAF"/>
    <w:rsid w:val="00F06C19"/>
    <w:rsid w:val="00F14269"/>
    <w:rsid w:val="00F175F1"/>
    <w:rsid w:val="00F24537"/>
    <w:rsid w:val="00F25EE1"/>
    <w:rsid w:val="00F347AE"/>
    <w:rsid w:val="00F34AAE"/>
    <w:rsid w:val="00F647F1"/>
    <w:rsid w:val="00F6543E"/>
    <w:rsid w:val="00F760EA"/>
    <w:rsid w:val="00F77B09"/>
    <w:rsid w:val="00F77FDB"/>
    <w:rsid w:val="00F90457"/>
    <w:rsid w:val="00F93B65"/>
    <w:rsid w:val="00FA7B97"/>
    <w:rsid w:val="00FC3D4D"/>
    <w:rsid w:val="00FC3FA8"/>
    <w:rsid w:val="00FD7846"/>
    <w:rsid w:val="00FE7A96"/>
    <w:rsid w:val="00FF1578"/>
    <w:rsid w:val="00FF1770"/>
    <w:rsid w:val="00FF664E"/>
    <w:rsid w:val="03EB0DD9"/>
    <w:rsid w:val="08475E12"/>
    <w:rsid w:val="0DBDE570"/>
    <w:rsid w:val="16049FF8"/>
    <w:rsid w:val="1E66C3C9"/>
    <w:rsid w:val="2BF3F8EC"/>
    <w:rsid w:val="2F7BEF65"/>
    <w:rsid w:val="308EC061"/>
    <w:rsid w:val="42B9E6F6"/>
    <w:rsid w:val="506493B5"/>
    <w:rsid w:val="58C2C0D6"/>
    <w:rsid w:val="592D1D43"/>
    <w:rsid w:val="6C79A1E7"/>
    <w:rsid w:val="77F4550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49B45"/>
  <w15:chartTrackingRefBased/>
  <w15:docId w15:val="{4BF002C8-4391-4391-8595-2935721CA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7C11"/>
    <w:rPr>
      <w:rFonts w:ascii="Times New Roman" w:eastAsia="Times New Roman" w:hAnsi="Times New Roman" w:cs="Times New Roman"/>
      <w:szCs w:val="20"/>
    </w:rPr>
  </w:style>
  <w:style w:type="paragraph" w:styleId="Heading1">
    <w:name w:val="heading 1"/>
    <w:basedOn w:val="Normal"/>
    <w:next w:val="Normal"/>
    <w:link w:val="Heading1Char1"/>
    <w:uiPriority w:val="9"/>
    <w:qFormat/>
    <w:rsid w:val="0098246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982466"/>
    <w:pPr>
      <w:keepNext/>
      <w:keepLines/>
      <w:spacing w:before="40"/>
      <w:outlineLvl w:val="1"/>
    </w:pPr>
    <w:rPr>
      <w:rFonts w:ascii="Cambria" w:eastAsia="MS Gothic" w:hAnsi="Cambria"/>
      <w:color w:val="365F91"/>
      <w:sz w:val="26"/>
      <w:szCs w:val="26"/>
    </w:rPr>
  </w:style>
  <w:style w:type="paragraph" w:styleId="Heading3">
    <w:name w:val="heading 3"/>
    <w:basedOn w:val="Normal"/>
    <w:next w:val="Normal"/>
    <w:link w:val="Heading3Char"/>
    <w:semiHidden/>
    <w:qFormat/>
    <w:rsid w:val="00982466"/>
    <w:pPr>
      <w:keepNext/>
      <w:spacing w:line="480" w:lineRule="auto"/>
      <w:outlineLvl w:val="2"/>
    </w:pPr>
    <w:rPr>
      <w:rFonts w:ascii="Times" w:eastAsia="Times" w:hAnsi="Times"/>
      <w:b/>
    </w:rPr>
  </w:style>
  <w:style w:type="paragraph" w:styleId="Heading4">
    <w:name w:val="heading 4"/>
    <w:basedOn w:val="Normal"/>
    <w:next w:val="Normal"/>
    <w:link w:val="Heading4Char"/>
    <w:semiHidden/>
    <w:qFormat/>
    <w:rsid w:val="00982466"/>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982466"/>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982466"/>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982466"/>
    <w:pPr>
      <w:spacing w:before="240" w:after="60"/>
      <w:outlineLvl w:val="6"/>
    </w:pPr>
    <w:rPr>
      <w:rFonts w:ascii="Calibri" w:hAnsi="Calibri"/>
      <w:szCs w:val="24"/>
    </w:rPr>
  </w:style>
  <w:style w:type="paragraph" w:styleId="Heading8">
    <w:name w:val="heading 8"/>
    <w:basedOn w:val="Normal"/>
    <w:next w:val="Normal"/>
    <w:link w:val="Heading8Char"/>
    <w:semiHidden/>
    <w:qFormat/>
    <w:rsid w:val="00982466"/>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982466"/>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617C11"/>
    <w:rPr>
      <w:color w:val="0000FF"/>
      <w:u w:val="single"/>
    </w:rPr>
  </w:style>
  <w:style w:type="paragraph" w:styleId="Bibliography">
    <w:name w:val="Bibliography"/>
    <w:basedOn w:val="Normal"/>
    <w:next w:val="Normal"/>
    <w:uiPriority w:val="37"/>
    <w:unhideWhenUsed/>
    <w:rsid w:val="00617C11"/>
    <w:pPr>
      <w:tabs>
        <w:tab w:val="left" w:pos="264"/>
      </w:tabs>
      <w:spacing w:line="480" w:lineRule="auto"/>
      <w:ind w:left="264" w:hanging="264"/>
    </w:pPr>
  </w:style>
  <w:style w:type="character" w:styleId="FollowedHyperlink">
    <w:name w:val="FollowedHyperlink"/>
    <w:basedOn w:val="DefaultParagraphFont"/>
    <w:uiPriority w:val="99"/>
    <w:unhideWhenUsed/>
    <w:rsid w:val="00850939"/>
    <w:rPr>
      <w:color w:val="954F72" w:themeColor="followedHyperlink"/>
      <w:u w:val="single"/>
    </w:rPr>
  </w:style>
  <w:style w:type="paragraph" w:styleId="Footer">
    <w:name w:val="footer"/>
    <w:basedOn w:val="Normal"/>
    <w:link w:val="FooterChar"/>
    <w:uiPriority w:val="99"/>
    <w:rsid w:val="00BA3208"/>
    <w:pPr>
      <w:tabs>
        <w:tab w:val="center" w:pos="4680"/>
        <w:tab w:val="right" w:pos="9360"/>
      </w:tabs>
    </w:pPr>
  </w:style>
  <w:style w:type="character" w:customStyle="1" w:styleId="FooterChar">
    <w:name w:val="Footer Char"/>
    <w:basedOn w:val="DefaultParagraphFont"/>
    <w:link w:val="Footer"/>
    <w:uiPriority w:val="99"/>
    <w:rsid w:val="00BA3208"/>
    <w:rPr>
      <w:rFonts w:ascii="Times New Roman" w:eastAsia="Times New Roman" w:hAnsi="Times New Roman" w:cs="Times New Roman"/>
      <w:szCs w:val="20"/>
    </w:rPr>
  </w:style>
  <w:style w:type="table" w:customStyle="1" w:styleId="TableGrid1">
    <w:name w:val="Table Grid1"/>
    <w:basedOn w:val="TableNormal"/>
    <w:next w:val="TableGrid"/>
    <w:uiPriority w:val="39"/>
    <w:rsid w:val="00BA320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A32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7268"/>
    <w:pPr>
      <w:tabs>
        <w:tab w:val="center" w:pos="4680"/>
        <w:tab w:val="right" w:pos="9360"/>
      </w:tabs>
    </w:pPr>
  </w:style>
  <w:style w:type="character" w:customStyle="1" w:styleId="HeaderChar">
    <w:name w:val="Header Char"/>
    <w:basedOn w:val="DefaultParagraphFont"/>
    <w:link w:val="Header"/>
    <w:uiPriority w:val="99"/>
    <w:rsid w:val="008E7268"/>
    <w:rPr>
      <w:rFonts w:ascii="Times New Roman" w:eastAsia="Times New Roman" w:hAnsi="Times New Roman" w:cs="Times New Roman"/>
      <w:szCs w:val="20"/>
    </w:rPr>
  </w:style>
  <w:style w:type="character" w:styleId="LineNumber">
    <w:name w:val="line number"/>
    <w:basedOn w:val="DefaultParagraphFont"/>
    <w:uiPriority w:val="99"/>
    <w:unhideWhenUsed/>
    <w:rsid w:val="00C21325"/>
  </w:style>
  <w:style w:type="table" w:customStyle="1" w:styleId="TableGrid2">
    <w:name w:val="Table Grid2"/>
    <w:basedOn w:val="TableNormal"/>
    <w:next w:val="TableGrid"/>
    <w:uiPriority w:val="39"/>
    <w:rsid w:val="003F0F1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14269"/>
    <w:rPr>
      <w:sz w:val="16"/>
      <w:szCs w:val="16"/>
    </w:rPr>
  </w:style>
  <w:style w:type="paragraph" w:styleId="CommentText">
    <w:name w:val="annotation text"/>
    <w:basedOn w:val="Normal"/>
    <w:link w:val="CommentTextChar"/>
    <w:uiPriority w:val="99"/>
    <w:unhideWhenUsed/>
    <w:rsid w:val="00F14269"/>
    <w:rPr>
      <w:sz w:val="20"/>
    </w:rPr>
  </w:style>
  <w:style w:type="character" w:customStyle="1" w:styleId="CommentTextChar">
    <w:name w:val="Comment Text Char"/>
    <w:basedOn w:val="DefaultParagraphFont"/>
    <w:link w:val="CommentText"/>
    <w:uiPriority w:val="99"/>
    <w:rsid w:val="00F1426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4269"/>
    <w:rPr>
      <w:b/>
      <w:bCs/>
    </w:rPr>
  </w:style>
  <w:style w:type="character" w:customStyle="1" w:styleId="CommentSubjectChar">
    <w:name w:val="Comment Subject Char"/>
    <w:basedOn w:val="CommentTextChar"/>
    <w:link w:val="CommentSubject"/>
    <w:uiPriority w:val="99"/>
    <w:semiHidden/>
    <w:rsid w:val="00F14269"/>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F14269"/>
    <w:rPr>
      <w:color w:val="2B579A"/>
      <w:shd w:val="clear" w:color="auto" w:fill="E1DFDD"/>
    </w:rPr>
  </w:style>
  <w:style w:type="paragraph" w:styleId="Revision">
    <w:name w:val="Revision"/>
    <w:hidden/>
    <w:uiPriority w:val="99"/>
    <w:rsid w:val="003D2B8B"/>
    <w:rPr>
      <w:rFonts w:ascii="Times New Roman" w:eastAsia="Times New Roman" w:hAnsi="Times New Roman" w:cs="Times New Roman"/>
      <w:szCs w:val="20"/>
    </w:rPr>
  </w:style>
  <w:style w:type="table" w:customStyle="1" w:styleId="TableGrid4">
    <w:name w:val="Table Grid4"/>
    <w:basedOn w:val="TableNormal"/>
    <w:next w:val="TableGrid"/>
    <w:uiPriority w:val="39"/>
    <w:rsid w:val="00E126FD"/>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Normal"/>
    <w:link w:val="Heading1Char"/>
    <w:qFormat/>
    <w:rsid w:val="00982466"/>
    <w:pPr>
      <w:keepNext/>
      <w:keepLines/>
      <w:spacing w:before="240" w:line="259" w:lineRule="auto"/>
      <w:outlineLvl w:val="0"/>
    </w:pPr>
    <w:rPr>
      <w:rFonts w:ascii="Cambria" w:eastAsia="MS Gothic" w:hAnsi="Cambria"/>
      <w:color w:val="365F91"/>
      <w:sz w:val="32"/>
      <w:szCs w:val="32"/>
    </w:rPr>
  </w:style>
  <w:style w:type="paragraph" w:customStyle="1" w:styleId="Heading21">
    <w:name w:val="Heading 21"/>
    <w:basedOn w:val="Normal"/>
    <w:next w:val="Normal"/>
    <w:unhideWhenUsed/>
    <w:qFormat/>
    <w:rsid w:val="00982466"/>
    <w:pPr>
      <w:keepNext/>
      <w:keepLines/>
      <w:spacing w:before="40" w:line="259" w:lineRule="auto"/>
      <w:outlineLvl w:val="1"/>
    </w:pPr>
    <w:rPr>
      <w:rFonts w:ascii="Cambria" w:eastAsia="MS Gothic" w:hAnsi="Cambria"/>
      <w:color w:val="365F91"/>
      <w:sz w:val="26"/>
      <w:szCs w:val="26"/>
    </w:rPr>
  </w:style>
  <w:style w:type="character" w:customStyle="1" w:styleId="Heading3Char">
    <w:name w:val="Heading 3 Char"/>
    <w:basedOn w:val="DefaultParagraphFont"/>
    <w:link w:val="Heading3"/>
    <w:semiHidden/>
    <w:rsid w:val="00982466"/>
    <w:rPr>
      <w:rFonts w:ascii="Times" w:eastAsia="Times" w:hAnsi="Times" w:cs="Times New Roman"/>
      <w:b/>
      <w:szCs w:val="20"/>
    </w:rPr>
  </w:style>
  <w:style w:type="character" w:customStyle="1" w:styleId="Heading4Char">
    <w:name w:val="Heading 4 Char"/>
    <w:basedOn w:val="DefaultParagraphFont"/>
    <w:link w:val="Heading4"/>
    <w:semiHidden/>
    <w:rsid w:val="00982466"/>
    <w:rPr>
      <w:rFonts w:ascii="Times" w:eastAsia="Times New Roman" w:hAnsi="Times" w:cs="Times New Roman"/>
      <w:b/>
      <w:color w:val="0000FF"/>
      <w:sz w:val="44"/>
      <w:szCs w:val="20"/>
    </w:rPr>
  </w:style>
  <w:style w:type="character" w:customStyle="1" w:styleId="Heading5Char">
    <w:name w:val="Heading 5 Char"/>
    <w:basedOn w:val="DefaultParagraphFont"/>
    <w:link w:val="Heading5"/>
    <w:semiHidden/>
    <w:rsid w:val="00982466"/>
    <w:rPr>
      <w:rFonts w:ascii="Calibri" w:eastAsia="Times New Roman" w:hAnsi="Calibri" w:cs="Times New Roman"/>
      <w:b/>
      <w:bCs/>
      <w:i/>
      <w:iCs/>
      <w:sz w:val="26"/>
      <w:szCs w:val="26"/>
    </w:rPr>
  </w:style>
  <w:style w:type="character" w:customStyle="1" w:styleId="Heading6Char">
    <w:name w:val="Heading 6 Char"/>
    <w:basedOn w:val="DefaultParagraphFont"/>
    <w:link w:val="Heading6"/>
    <w:semiHidden/>
    <w:rsid w:val="00982466"/>
    <w:rPr>
      <w:rFonts w:ascii="Calibri" w:eastAsia="Times New Roman" w:hAnsi="Calibri" w:cs="Times New Roman"/>
      <w:b/>
      <w:bCs/>
      <w:sz w:val="22"/>
      <w:szCs w:val="22"/>
    </w:rPr>
  </w:style>
  <w:style w:type="character" w:customStyle="1" w:styleId="Heading7Char">
    <w:name w:val="Heading 7 Char"/>
    <w:basedOn w:val="DefaultParagraphFont"/>
    <w:link w:val="Heading7"/>
    <w:semiHidden/>
    <w:rsid w:val="00982466"/>
    <w:rPr>
      <w:rFonts w:ascii="Calibri" w:eastAsia="Times New Roman" w:hAnsi="Calibri" w:cs="Times New Roman"/>
    </w:rPr>
  </w:style>
  <w:style w:type="character" w:customStyle="1" w:styleId="Heading8Char">
    <w:name w:val="Heading 8 Char"/>
    <w:basedOn w:val="DefaultParagraphFont"/>
    <w:link w:val="Heading8"/>
    <w:semiHidden/>
    <w:rsid w:val="00982466"/>
    <w:rPr>
      <w:rFonts w:ascii="Calibri" w:eastAsia="Times New Roman" w:hAnsi="Calibri" w:cs="Times New Roman"/>
      <w:i/>
      <w:iCs/>
    </w:rPr>
  </w:style>
  <w:style w:type="character" w:customStyle="1" w:styleId="Heading9Char">
    <w:name w:val="Heading 9 Char"/>
    <w:basedOn w:val="DefaultParagraphFont"/>
    <w:link w:val="Heading9"/>
    <w:semiHidden/>
    <w:rsid w:val="00982466"/>
    <w:rPr>
      <w:rFonts w:ascii="Cambria" w:eastAsia="Times New Roman" w:hAnsi="Cambria" w:cs="Times New Roman"/>
      <w:sz w:val="22"/>
      <w:szCs w:val="22"/>
    </w:rPr>
  </w:style>
  <w:style w:type="numbering" w:customStyle="1" w:styleId="NoList1">
    <w:name w:val="No List1"/>
    <w:next w:val="NoList"/>
    <w:uiPriority w:val="99"/>
    <w:semiHidden/>
    <w:unhideWhenUsed/>
    <w:rsid w:val="00982466"/>
  </w:style>
  <w:style w:type="paragraph" w:customStyle="1" w:styleId="BaseText">
    <w:name w:val="Base_Text"/>
    <w:rsid w:val="00982466"/>
    <w:pPr>
      <w:spacing w:before="120"/>
    </w:pPr>
    <w:rPr>
      <w:rFonts w:ascii="Times New Roman" w:eastAsia="Times New Roman" w:hAnsi="Times New Roman" w:cs="Times New Roman"/>
    </w:rPr>
  </w:style>
  <w:style w:type="paragraph" w:customStyle="1" w:styleId="1stparatext">
    <w:name w:val="1st para text"/>
    <w:basedOn w:val="BaseText"/>
    <w:rsid w:val="00982466"/>
  </w:style>
  <w:style w:type="paragraph" w:customStyle="1" w:styleId="BaseHeading">
    <w:name w:val="Base_Heading"/>
    <w:rsid w:val="00982466"/>
    <w:pPr>
      <w:keepNext/>
      <w:spacing w:before="240"/>
      <w:outlineLvl w:val="0"/>
    </w:pPr>
    <w:rPr>
      <w:rFonts w:ascii="Times New Roman" w:eastAsia="Times New Roman" w:hAnsi="Times New Roman" w:cs="Times New Roman"/>
      <w:kern w:val="28"/>
      <w:sz w:val="28"/>
      <w:szCs w:val="28"/>
    </w:rPr>
  </w:style>
  <w:style w:type="paragraph" w:customStyle="1" w:styleId="AbstractHead">
    <w:name w:val="Abstract Head"/>
    <w:basedOn w:val="BaseHeading"/>
    <w:rsid w:val="00982466"/>
  </w:style>
  <w:style w:type="paragraph" w:customStyle="1" w:styleId="AbstractSummary">
    <w:name w:val="Abstract/Summary"/>
    <w:basedOn w:val="BaseText"/>
    <w:rsid w:val="00982466"/>
  </w:style>
  <w:style w:type="paragraph" w:customStyle="1" w:styleId="Referencesandnotes">
    <w:name w:val="References and notes"/>
    <w:basedOn w:val="BaseText"/>
    <w:rsid w:val="00982466"/>
    <w:pPr>
      <w:ind w:left="720" w:hanging="720"/>
    </w:pPr>
  </w:style>
  <w:style w:type="paragraph" w:customStyle="1" w:styleId="Acknowledgement">
    <w:name w:val="Acknowledgement"/>
    <w:basedOn w:val="Referencesandnotes"/>
    <w:rsid w:val="00982466"/>
  </w:style>
  <w:style w:type="paragraph" w:customStyle="1" w:styleId="Subhead">
    <w:name w:val="Subhead"/>
    <w:basedOn w:val="BaseHeading"/>
    <w:rsid w:val="00982466"/>
    <w:rPr>
      <w:b/>
      <w:bCs/>
      <w:sz w:val="24"/>
      <w:szCs w:val="24"/>
    </w:rPr>
  </w:style>
  <w:style w:type="paragraph" w:customStyle="1" w:styleId="AppendixHead">
    <w:name w:val="AppendixHead"/>
    <w:basedOn w:val="Subhead"/>
    <w:rsid w:val="00982466"/>
  </w:style>
  <w:style w:type="paragraph" w:customStyle="1" w:styleId="AppendixSubhead">
    <w:name w:val="AppendixSubhead"/>
    <w:basedOn w:val="Subhead"/>
    <w:rsid w:val="00982466"/>
  </w:style>
  <w:style w:type="paragraph" w:customStyle="1" w:styleId="Articletype">
    <w:name w:val="Article type"/>
    <w:basedOn w:val="BaseText"/>
    <w:rsid w:val="00982466"/>
  </w:style>
  <w:style w:type="character" w:customStyle="1" w:styleId="aubase">
    <w:name w:val="au_base"/>
    <w:rsid w:val="00982466"/>
    <w:rPr>
      <w:sz w:val="24"/>
    </w:rPr>
  </w:style>
  <w:style w:type="character" w:customStyle="1" w:styleId="aucollab">
    <w:name w:val="au_collab"/>
    <w:basedOn w:val="aubase"/>
    <w:rsid w:val="00982466"/>
    <w:rPr>
      <w:sz w:val="24"/>
      <w:bdr w:val="none" w:sz="0" w:space="0" w:color="auto"/>
      <w:shd w:val="clear" w:color="auto" w:fill="C0C0C0"/>
    </w:rPr>
  </w:style>
  <w:style w:type="character" w:customStyle="1" w:styleId="audeg">
    <w:name w:val="au_deg"/>
    <w:basedOn w:val="DefaultParagraphFont"/>
    <w:rsid w:val="00982466"/>
    <w:rPr>
      <w:sz w:val="24"/>
      <w:bdr w:val="none" w:sz="0" w:space="0" w:color="auto"/>
      <w:shd w:val="clear" w:color="auto" w:fill="FFFF00"/>
    </w:rPr>
  </w:style>
  <w:style w:type="character" w:customStyle="1" w:styleId="aufname">
    <w:name w:val="au_fname"/>
    <w:basedOn w:val="aubase"/>
    <w:rsid w:val="00982466"/>
    <w:rPr>
      <w:sz w:val="24"/>
      <w:bdr w:val="none" w:sz="0" w:space="0" w:color="auto"/>
      <w:shd w:val="clear" w:color="auto" w:fill="00FFFF"/>
    </w:rPr>
  </w:style>
  <w:style w:type="character" w:customStyle="1" w:styleId="aurole">
    <w:name w:val="au_role"/>
    <w:basedOn w:val="aubase"/>
    <w:rsid w:val="00982466"/>
    <w:rPr>
      <w:sz w:val="24"/>
      <w:bdr w:val="none" w:sz="0" w:space="0" w:color="auto"/>
      <w:shd w:val="clear" w:color="auto" w:fill="808000"/>
    </w:rPr>
  </w:style>
  <w:style w:type="character" w:customStyle="1" w:styleId="ausuffix">
    <w:name w:val="au_suffix"/>
    <w:basedOn w:val="aubase"/>
    <w:rsid w:val="00982466"/>
    <w:rPr>
      <w:sz w:val="24"/>
      <w:bdr w:val="none" w:sz="0" w:space="0" w:color="auto"/>
      <w:shd w:val="clear" w:color="auto" w:fill="FF00FF"/>
    </w:rPr>
  </w:style>
  <w:style w:type="character" w:customStyle="1" w:styleId="ausurname">
    <w:name w:val="au_surname"/>
    <w:basedOn w:val="aubase"/>
    <w:rsid w:val="00982466"/>
    <w:rPr>
      <w:sz w:val="24"/>
      <w:bdr w:val="none" w:sz="0" w:space="0" w:color="auto"/>
      <w:shd w:val="clear" w:color="auto" w:fill="00FF00"/>
    </w:rPr>
  </w:style>
  <w:style w:type="paragraph" w:customStyle="1" w:styleId="AuthorAttribute">
    <w:name w:val="Author Attribute"/>
    <w:basedOn w:val="BaseText"/>
    <w:rsid w:val="00982466"/>
    <w:pPr>
      <w:spacing w:before="480"/>
    </w:pPr>
  </w:style>
  <w:style w:type="paragraph" w:customStyle="1" w:styleId="Footnote">
    <w:name w:val="Footnote"/>
    <w:basedOn w:val="BaseText"/>
    <w:rsid w:val="00982466"/>
  </w:style>
  <w:style w:type="paragraph" w:customStyle="1" w:styleId="AuthorFootnote">
    <w:name w:val="AuthorFootnote"/>
    <w:basedOn w:val="Footnote"/>
    <w:rsid w:val="00982466"/>
    <w:pPr>
      <w:autoSpaceDE w:val="0"/>
      <w:autoSpaceDN w:val="0"/>
      <w:adjustRightInd w:val="0"/>
    </w:pPr>
    <w:rPr>
      <w:lang w:bidi="he-IL"/>
    </w:rPr>
  </w:style>
  <w:style w:type="paragraph" w:customStyle="1" w:styleId="Authors">
    <w:name w:val="Authors"/>
    <w:basedOn w:val="BaseText"/>
    <w:rsid w:val="00982466"/>
    <w:pPr>
      <w:spacing w:after="360"/>
      <w:jc w:val="center"/>
    </w:pPr>
  </w:style>
  <w:style w:type="paragraph" w:styleId="BalloonText">
    <w:name w:val="Balloon Text"/>
    <w:basedOn w:val="Normal"/>
    <w:link w:val="BalloonTextChar"/>
    <w:semiHidden/>
    <w:rsid w:val="00982466"/>
    <w:rPr>
      <w:rFonts w:ascii="Lucida Grande" w:hAnsi="Lucida Grande"/>
      <w:sz w:val="18"/>
      <w:szCs w:val="18"/>
    </w:rPr>
  </w:style>
  <w:style w:type="character" w:customStyle="1" w:styleId="BalloonTextChar">
    <w:name w:val="Balloon Text Char"/>
    <w:basedOn w:val="DefaultParagraphFont"/>
    <w:link w:val="BalloonText"/>
    <w:semiHidden/>
    <w:rsid w:val="00982466"/>
    <w:rPr>
      <w:rFonts w:ascii="Lucida Grande" w:eastAsia="Times New Roman" w:hAnsi="Lucida Grande" w:cs="Times New Roman"/>
      <w:sz w:val="18"/>
      <w:szCs w:val="18"/>
    </w:rPr>
  </w:style>
  <w:style w:type="character" w:customStyle="1" w:styleId="bibarticle">
    <w:name w:val="bib_article"/>
    <w:basedOn w:val="DefaultParagraphFont"/>
    <w:rsid w:val="00982466"/>
    <w:rPr>
      <w:sz w:val="24"/>
      <w:bdr w:val="none" w:sz="0" w:space="0" w:color="auto"/>
      <w:shd w:val="clear" w:color="auto" w:fill="00FFFF"/>
    </w:rPr>
  </w:style>
  <w:style w:type="character" w:customStyle="1" w:styleId="bibbase">
    <w:name w:val="bib_base"/>
    <w:rsid w:val="00982466"/>
    <w:rPr>
      <w:sz w:val="24"/>
    </w:rPr>
  </w:style>
  <w:style w:type="character" w:customStyle="1" w:styleId="bibcomment">
    <w:name w:val="bib_comment"/>
    <w:basedOn w:val="bibbase"/>
    <w:rsid w:val="00982466"/>
    <w:rPr>
      <w:sz w:val="24"/>
    </w:rPr>
  </w:style>
  <w:style w:type="character" w:customStyle="1" w:styleId="bibdeg">
    <w:name w:val="bib_deg"/>
    <w:basedOn w:val="bibbase"/>
    <w:rsid w:val="00982466"/>
    <w:rPr>
      <w:sz w:val="24"/>
    </w:rPr>
  </w:style>
  <w:style w:type="character" w:customStyle="1" w:styleId="bibdoi">
    <w:name w:val="bib_doi"/>
    <w:basedOn w:val="bibbase"/>
    <w:rsid w:val="00982466"/>
    <w:rPr>
      <w:sz w:val="24"/>
      <w:bdr w:val="none" w:sz="0" w:space="0" w:color="auto"/>
      <w:shd w:val="clear" w:color="auto" w:fill="00FF00"/>
    </w:rPr>
  </w:style>
  <w:style w:type="character" w:customStyle="1" w:styleId="bibetal">
    <w:name w:val="bib_etal"/>
    <w:basedOn w:val="bibbase"/>
    <w:rsid w:val="00982466"/>
    <w:rPr>
      <w:sz w:val="24"/>
      <w:bdr w:val="none" w:sz="0" w:space="0" w:color="auto"/>
      <w:shd w:val="clear" w:color="auto" w:fill="008080"/>
    </w:rPr>
  </w:style>
  <w:style w:type="character" w:customStyle="1" w:styleId="bibfname">
    <w:name w:val="bib_fname"/>
    <w:basedOn w:val="bibbase"/>
    <w:rsid w:val="00982466"/>
    <w:rPr>
      <w:sz w:val="24"/>
      <w:bdr w:val="none" w:sz="0" w:space="0" w:color="auto"/>
      <w:shd w:val="clear" w:color="auto" w:fill="FFFF00"/>
    </w:rPr>
  </w:style>
  <w:style w:type="character" w:customStyle="1" w:styleId="bibfpage">
    <w:name w:val="bib_fpage"/>
    <w:basedOn w:val="bibbase"/>
    <w:rsid w:val="00982466"/>
    <w:rPr>
      <w:sz w:val="24"/>
      <w:bdr w:val="none" w:sz="0" w:space="0" w:color="auto"/>
      <w:shd w:val="clear" w:color="auto" w:fill="808080"/>
    </w:rPr>
  </w:style>
  <w:style w:type="character" w:customStyle="1" w:styleId="bibissue">
    <w:name w:val="bib_issue"/>
    <w:basedOn w:val="bibbase"/>
    <w:rsid w:val="00982466"/>
    <w:rPr>
      <w:sz w:val="24"/>
      <w:bdr w:val="none" w:sz="0" w:space="0" w:color="auto"/>
      <w:shd w:val="clear" w:color="auto" w:fill="FFFF00"/>
    </w:rPr>
  </w:style>
  <w:style w:type="character" w:customStyle="1" w:styleId="bibjournal">
    <w:name w:val="bib_journal"/>
    <w:basedOn w:val="bibbase"/>
    <w:rsid w:val="00982466"/>
    <w:rPr>
      <w:sz w:val="24"/>
      <w:bdr w:val="none" w:sz="0" w:space="0" w:color="auto"/>
      <w:shd w:val="clear" w:color="auto" w:fill="808000"/>
    </w:rPr>
  </w:style>
  <w:style w:type="character" w:customStyle="1" w:styleId="biblpage">
    <w:name w:val="bib_lpage"/>
    <w:basedOn w:val="bibbase"/>
    <w:rsid w:val="00982466"/>
    <w:rPr>
      <w:sz w:val="24"/>
      <w:bdr w:val="none" w:sz="0" w:space="0" w:color="auto"/>
      <w:shd w:val="clear" w:color="auto" w:fill="808080"/>
    </w:rPr>
  </w:style>
  <w:style w:type="character" w:customStyle="1" w:styleId="bibmedline">
    <w:name w:val="bib_medline"/>
    <w:basedOn w:val="bibbase"/>
    <w:rsid w:val="00982466"/>
    <w:rPr>
      <w:sz w:val="24"/>
    </w:rPr>
  </w:style>
  <w:style w:type="character" w:customStyle="1" w:styleId="bibnumber">
    <w:name w:val="bib_number"/>
    <w:basedOn w:val="bibbase"/>
    <w:rsid w:val="00982466"/>
    <w:rPr>
      <w:sz w:val="24"/>
    </w:rPr>
  </w:style>
  <w:style w:type="character" w:customStyle="1" w:styleId="biborganization">
    <w:name w:val="bib_organization"/>
    <w:basedOn w:val="bibbase"/>
    <w:rsid w:val="00982466"/>
    <w:rPr>
      <w:sz w:val="24"/>
      <w:bdr w:val="none" w:sz="0" w:space="0" w:color="auto"/>
      <w:shd w:val="clear" w:color="auto" w:fill="808000"/>
    </w:rPr>
  </w:style>
  <w:style w:type="character" w:customStyle="1" w:styleId="bibsuffix">
    <w:name w:val="bib_suffix"/>
    <w:basedOn w:val="bibbase"/>
    <w:rsid w:val="00982466"/>
    <w:rPr>
      <w:sz w:val="24"/>
    </w:rPr>
  </w:style>
  <w:style w:type="character" w:customStyle="1" w:styleId="bibsuppl">
    <w:name w:val="bib_suppl"/>
    <w:basedOn w:val="bibbase"/>
    <w:rsid w:val="00982466"/>
    <w:rPr>
      <w:sz w:val="24"/>
      <w:bdr w:val="none" w:sz="0" w:space="0" w:color="auto"/>
      <w:shd w:val="clear" w:color="auto" w:fill="FFFF00"/>
    </w:rPr>
  </w:style>
  <w:style w:type="character" w:customStyle="1" w:styleId="bibsurname">
    <w:name w:val="bib_surname"/>
    <w:basedOn w:val="bibbase"/>
    <w:rsid w:val="00982466"/>
    <w:rPr>
      <w:sz w:val="24"/>
      <w:bdr w:val="none" w:sz="0" w:space="0" w:color="auto"/>
      <w:shd w:val="clear" w:color="auto" w:fill="FFFF00"/>
    </w:rPr>
  </w:style>
  <w:style w:type="character" w:customStyle="1" w:styleId="bibunpubl">
    <w:name w:val="bib_unpubl"/>
    <w:basedOn w:val="bibbase"/>
    <w:rsid w:val="00982466"/>
    <w:rPr>
      <w:sz w:val="24"/>
    </w:rPr>
  </w:style>
  <w:style w:type="character" w:customStyle="1" w:styleId="biburl">
    <w:name w:val="bib_url"/>
    <w:basedOn w:val="bibbase"/>
    <w:rsid w:val="00982466"/>
    <w:rPr>
      <w:sz w:val="24"/>
      <w:bdr w:val="none" w:sz="0" w:space="0" w:color="auto"/>
      <w:shd w:val="clear" w:color="auto" w:fill="00FF00"/>
    </w:rPr>
  </w:style>
  <w:style w:type="character" w:customStyle="1" w:styleId="bibvolume">
    <w:name w:val="bib_volume"/>
    <w:basedOn w:val="bibbase"/>
    <w:rsid w:val="00982466"/>
    <w:rPr>
      <w:sz w:val="24"/>
      <w:bdr w:val="none" w:sz="0" w:space="0" w:color="auto"/>
      <w:shd w:val="clear" w:color="auto" w:fill="00FF00"/>
    </w:rPr>
  </w:style>
  <w:style w:type="character" w:customStyle="1" w:styleId="bibyear">
    <w:name w:val="bib_year"/>
    <w:basedOn w:val="bibbase"/>
    <w:rsid w:val="00982466"/>
    <w:rPr>
      <w:sz w:val="24"/>
      <w:bdr w:val="none" w:sz="0" w:space="0" w:color="auto"/>
      <w:shd w:val="clear" w:color="auto" w:fill="FF00FF"/>
    </w:rPr>
  </w:style>
  <w:style w:type="paragraph" w:customStyle="1" w:styleId="BookorMeetingInformation">
    <w:name w:val="Book or Meeting Information"/>
    <w:basedOn w:val="BaseText"/>
    <w:rsid w:val="00982466"/>
  </w:style>
  <w:style w:type="paragraph" w:customStyle="1" w:styleId="BookInformation">
    <w:name w:val="BookInformation"/>
    <w:basedOn w:val="BaseText"/>
    <w:rsid w:val="00982466"/>
  </w:style>
  <w:style w:type="paragraph" w:customStyle="1" w:styleId="Level2Head">
    <w:name w:val="Level 2 Head"/>
    <w:basedOn w:val="BaseHeading"/>
    <w:rsid w:val="00982466"/>
    <w:pPr>
      <w:outlineLvl w:val="1"/>
    </w:pPr>
    <w:rPr>
      <w:i/>
      <w:iCs/>
      <w:sz w:val="24"/>
      <w:szCs w:val="24"/>
    </w:rPr>
  </w:style>
  <w:style w:type="paragraph" w:customStyle="1" w:styleId="BoxLevel2Head">
    <w:name w:val="BoxLevel 2 Head"/>
    <w:basedOn w:val="Level2Head"/>
    <w:rsid w:val="00982466"/>
    <w:pPr>
      <w:shd w:val="clear" w:color="auto" w:fill="E6E6E6"/>
    </w:pPr>
  </w:style>
  <w:style w:type="paragraph" w:customStyle="1" w:styleId="BoxListUnnumbered">
    <w:name w:val="BoxListUnnumbered"/>
    <w:basedOn w:val="BaseText"/>
    <w:rsid w:val="00982466"/>
    <w:pPr>
      <w:shd w:val="clear" w:color="auto" w:fill="E6E6E6"/>
      <w:ind w:left="1080" w:hanging="360"/>
    </w:pPr>
  </w:style>
  <w:style w:type="paragraph" w:customStyle="1" w:styleId="BoxList">
    <w:name w:val="BoxList"/>
    <w:basedOn w:val="BoxListUnnumbered"/>
    <w:rsid w:val="00982466"/>
  </w:style>
  <w:style w:type="paragraph" w:customStyle="1" w:styleId="BoxSubhead">
    <w:name w:val="BoxSubhead"/>
    <w:basedOn w:val="Subhead"/>
    <w:rsid w:val="00982466"/>
    <w:pPr>
      <w:shd w:val="clear" w:color="auto" w:fill="E6E6E6"/>
    </w:pPr>
  </w:style>
  <w:style w:type="paragraph" w:customStyle="1" w:styleId="Paragraph">
    <w:name w:val="Paragraph"/>
    <w:basedOn w:val="BaseText"/>
    <w:rsid w:val="00982466"/>
    <w:pPr>
      <w:ind w:firstLine="720"/>
    </w:pPr>
  </w:style>
  <w:style w:type="paragraph" w:customStyle="1" w:styleId="BoxText">
    <w:name w:val="BoxText"/>
    <w:basedOn w:val="Paragraph"/>
    <w:rsid w:val="00982466"/>
    <w:pPr>
      <w:shd w:val="clear" w:color="auto" w:fill="E6E6E6"/>
    </w:pPr>
  </w:style>
  <w:style w:type="paragraph" w:customStyle="1" w:styleId="BoxTitle">
    <w:name w:val="BoxTitle"/>
    <w:basedOn w:val="BaseHeading"/>
    <w:rsid w:val="00982466"/>
    <w:pPr>
      <w:shd w:val="clear" w:color="auto" w:fill="E6E6E6"/>
    </w:pPr>
    <w:rPr>
      <w:b/>
      <w:sz w:val="24"/>
      <w:szCs w:val="24"/>
    </w:rPr>
  </w:style>
  <w:style w:type="paragraph" w:customStyle="1" w:styleId="BulletedText">
    <w:name w:val="Bulleted Text"/>
    <w:basedOn w:val="BaseText"/>
    <w:rsid w:val="00982466"/>
    <w:pPr>
      <w:ind w:left="720" w:hanging="720"/>
    </w:pPr>
  </w:style>
  <w:style w:type="paragraph" w:customStyle="1" w:styleId="career-magazine">
    <w:name w:val="career-magazine"/>
    <w:basedOn w:val="BaseText"/>
    <w:rsid w:val="00982466"/>
    <w:pPr>
      <w:jc w:val="right"/>
    </w:pPr>
    <w:rPr>
      <w:color w:val="FF0000"/>
    </w:rPr>
  </w:style>
  <w:style w:type="paragraph" w:customStyle="1" w:styleId="career-stage">
    <w:name w:val="career-stage"/>
    <w:basedOn w:val="BaseText"/>
    <w:rsid w:val="00982466"/>
    <w:pPr>
      <w:jc w:val="right"/>
    </w:pPr>
    <w:rPr>
      <w:color w:val="339966"/>
    </w:rPr>
  </w:style>
  <w:style w:type="character" w:customStyle="1" w:styleId="citebase">
    <w:name w:val="cite_base"/>
    <w:rsid w:val="00982466"/>
    <w:rPr>
      <w:sz w:val="24"/>
    </w:rPr>
  </w:style>
  <w:style w:type="character" w:customStyle="1" w:styleId="citebib">
    <w:name w:val="cite_bib"/>
    <w:basedOn w:val="DefaultParagraphFont"/>
    <w:rsid w:val="00982466"/>
    <w:rPr>
      <w:sz w:val="24"/>
      <w:bdr w:val="none" w:sz="0" w:space="0" w:color="auto"/>
      <w:shd w:val="clear" w:color="auto" w:fill="00FFFF"/>
    </w:rPr>
  </w:style>
  <w:style w:type="character" w:customStyle="1" w:styleId="citebox">
    <w:name w:val="cite_box"/>
    <w:basedOn w:val="citebase"/>
    <w:rsid w:val="00982466"/>
    <w:rPr>
      <w:sz w:val="24"/>
    </w:rPr>
  </w:style>
  <w:style w:type="character" w:customStyle="1" w:styleId="citeen">
    <w:name w:val="cite_en"/>
    <w:basedOn w:val="citebase"/>
    <w:rsid w:val="00982466"/>
    <w:rPr>
      <w:sz w:val="24"/>
      <w:shd w:val="clear" w:color="auto" w:fill="FFFF00"/>
      <w:vertAlign w:val="superscript"/>
    </w:rPr>
  </w:style>
  <w:style w:type="character" w:customStyle="1" w:styleId="citeeq">
    <w:name w:val="cite_eq"/>
    <w:basedOn w:val="citebase"/>
    <w:rsid w:val="00982466"/>
    <w:rPr>
      <w:sz w:val="24"/>
      <w:bdr w:val="none" w:sz="0" w:space="0" w:color="auto"/>
      <w:shd w:val="clear" w:color="auto" w:fill="FF99CC"/>
    </w:rPr>
  </w:style>
  <w:style w:type="character" w:customStyle="1" w:styleId="citefig">
    <w:name w:val="cite_fig"/>
    <w:basedOn w:val="citebase"/>
    <w:rsid w:val="00982466"/>
    <w:rPr>
      <w:color w:val="000000"/>
      <w:sz w:val="24"/>
      <w:bdr w:val="none" w:sz="0" w:space="0" w:color="auto"/>
      <w:shd w:val="clear" w:color="auto" w:fill="00FF00"/>
    </w:rPr>
  </w:style>
  <w:style w:type="character" w:customStyle="1" w:styleId="citefn">
    <w:name w:val="cite_fn"/>
    <w:basedOn w:val="citebase"/>
    <w:rsid w:val="00982466"/>
    <w:rPr>
      <w:sz w:val="24"/>
      <w:bdr w:val="none" w:sz="0" w:space="0" w:color="auto"/>
      <w:shd w:val="clear" w:color="auto" w:fill="FF0000"/>
    </w:rPr>
  </w:style>
  <w:style w:type="character" w:customStyle="1" w:styleId="citetbl">
    <w:name w:val="cite_tbl"/>
    <w:basedOn w:val="citebase"/>
    <w:rsid w:val="00982466"/>
    <w:rPr>
      <w:color w:val="000000"/>
      <w:sz w:val="24"/>
      <w:bdr w:val="none" w:sz="0" w:space="0" w:color="auto"/>
      <w:shd w:val="clear" w:color="auto" w:fill="FF00FF"/>
    </w:rPr>
  </w:style>
  <w:style w:type="paragraph" w:customStyle="1" w:styleId="ContinuedParagraph">
    <w:name w:val="ContinuedParagraph"/>
    <w:basedOn w:val="Paragraph"/>
    <w:rsid w:val="00982466"/>
    <w:pPr>
      <w:ind w:firstLine="0"/>
    </w:pPr>
  </w:style>
  <w:style w:type="character" w:customStyle="1" w:styleId="ContractNumber">
    <w:name w:val="Contract Number"/>
    <w:basedOn w:val="DefaultParagraphFont"/>
    <w:rsid w:val="00982466"/>
    <w:rPr>
      <w:sz w:val="24"/>
      <w:szCs w:val="24"/>
      <w:bdr w:val="none" w:sz="0" w:space="0" w:color="auto"/>
      <w:shd w:val="clear" w:color="auto" w:fill="CCFFCC"/>
    </w:rPr>
  </w:style>
  <w:style w:type="character" w:customStyle="1" w:styleId="ContractSponsor">
    <w:name w:val="Contract Sponsor"/>
    <w:basedOn w:val="DefaultParagraphFont"/>
    <w:rsid w:val="00982466"/>
    <w:rPr>
      <w:sz w:val="24"/>
      <w:szCs w:val="24"/>
      <w:bdr w:val="none" w:sz="0" w:space="0" w:color="auto"/>
      <w:shd w:val="clear" w:color="auto" w:fill="FFCC99"/>
    </w:rPr>
  </w:style>
  <w:style w:type="paragraph" w:customStyle="1" w:styleId="Correspondence">
    <w:name w:val="Correspondence"/>
    <w:basedOn w:val="BaseText"/>
    <w:rsid w:val="00982466"/>
    <w:pPr>
      <w:spacing w:before="0" w:after="240"/>
    </w:pPr>
  </w:style>
  <w:style w:type="paragraph" w:customStyle="1" w:styleId="DateAccepted">
    <w:name w:val="Date Accepted"/>
    <w:basedOn w:val="BaseText"/>
    <w:rsid w:val="00982466"/>
    <w:pPr>
      <w:spacing w:before="360"/>
    </w:pPr>
  </w:style>
  <w:style w:type="paragraph" w:customStyle="1" w:styleId="Deck">
    <w:name w:val="Deck"/>
    <w:basedOn w:val="BaseHeading"/>
    <w:rsid w:val="00982466"/>
    <w:pPr>
      <w:outlineLvl w:val="1"/>
    </w:pPr>
  </w:style>
  <w:style w:type="paragraph" w:customStyle="1" w:styleId="DefTerm">
    <w:name w:val="DefTerm"/>
    <w:basedOn w:val="BaseText"/>
    <w:rsid w:val="00982466"/>
    <w:pPr>
      <w:ind w:left="720"/>
    </w:pPr>
  </w:style>
  <w:style w:type="paragraph" w:customStyle="1" w:styleId="Definition">
    <w:name w:val="Definition"/>
    <w:basedOn w:val="DefTerm"/>
    <w:rsid w:val="00982466"/>
    <w:pPr>
      <w:ind w:left="1080" w:hanging="360"/>
    </w:pPr>
  </w:style>
  <w:style w:type="paragraph" w:customStyle="1" w:styleId="DefListTitle">
    <w:name w:val="DefListTitle"/>
    <w:basedOn w:val="BaseHeading"/>
    <w:rsid w:val="00982466"/>
  </w:style>
  <w:style w:type="paragraph" w:customStyle="1" w:styleId="discipline">
    <w:name w:val="discipline"/>
    <w:basedOn w:val="BaseText"/>
    <w:rsid w:val="00982466"/>
    <w:pPr>
      <w:jc w:val="right"/>
    </w:pPr>
    <w:rPr>
      <w:color w:val="993366"/>
    </w:rPr>
  </w:style>
  <w:style w:type="paragraph" w:customStyle="1" w:styleId="Editors">
    <w:name w:val="Editors"/>
    <w:basedOn w:val="Authors"/>
    <w:rsid w:val="00982466"/>
  </w:style>
  <w:style w:type="character" w:styleId="Emphasis">
    <w:name w:val="Emphasis"/>
    <w:basedOn w:val="DefaultParagraphFont"/>
    <w:uiPriority w:val="20"/>
    <w:qFormat/>
    <w:rsid w:val="00982466"/>
    <w:rPr>
      <w:i/>
      <w:iCs/>
    </w:rPr>
  </w:style>
  <w:style w:type="character" w:styleId="EndnoteReference">
    <w:name w:val="endnote reference"/>
    <w:basedOn w:val="DefaultParagraphFont"/>
    <w:semiHidden/>
    <w:rsid w:val="00982466"/>
    <w:rPr>
      <w:vertAlign w:val="superscript"/>
    </w:rPr>
  </w:style>
  <w:style w:type="paragraph" w:styleId="EndnoteText">
    <w:name w:val="endnote text"/>
    <w:basedOn w:val="Normal"/>
    <w:link w:val="EndnoteTextChar"/>
    <w:semiHidden/>
    <w:rsid w:val="00982466"/>
    <w:rPr>
      <w:rFonts w:ascii="Cambria" w:eastAsia="Cambria" w:hAnsi="Cambria"/>
      <w:sz w:val="20"/>
    </w:rPr>
  </w:style>
  <w:style w:type="character" w:customStyle="1" w:styleId="EndnoteTextChar">
    <w:name w:val="Endnote Text Char"/>
    <w:basedOn w:val="DefaultParagraphFont"/>
    <w:link w:val="EndnoteText"/>
    <w:semiHidden/>
    <w:rsid w:val="00982466"/>
    <w:rPr>
      <w:rFonts w:ascii="Cambria" w:eastAsia="Cambria" w:hAnsi="Cambria" w:cs="Times New Roman"/>
      <w:sz w:val="20"/>
      <w:szCs w:val="20"/>
    </w:rPr>
  </w:style>
  <w:style w:type="character" w:customStyle="1" w:styleId="eqno">
    <w:name w:val="eq_no"/>
    <w:basedOn w:val="citebase"/>
    <w:rsid w:val="00982466"/>
    <w:rPr>
      <w:sz w:val="24"/>
    </w:rPr>
  </w:style>
  <w:style w:type="paragraph" w:customStyle="1" w:styleId="Equation">
    <w:name w:val="Equation"/>
    <w:basedOn w:val="BaseText"/>
    <w:rsid w:val="00982466"/>
    <w:pPr>
      <w:jc w:val="center"/>
    </w:pPr>
  </w:style>
  <w:style w:type="paragraph" w:customStyle="1" w:styleId="FieldCodes">
    <w:name w:val="FieldCodes"/>
    <w:basedOn w:val="BaseText"/>
    <w:rsid w:val="00982466"/>
  </w:style>
  <w:style w:type="paragraph" w:customStyle="1" w:styleId="Legend">
    <w:name w:val="Legend"/>
    <w:basedOn w:val="BaseHeading"/>
    <w:rsid w:val="00982466"/>
    <w:rPr>
      <w:sz w:val="24"/>
      <w:szCs w:val="24"/>
    </w:rPr>
  </w:style>
  <w:style w:type="paragraph" w:customStyle="1" w:styleId="FigureCopyright">
    <w:name w:val="FigureCopyright"/>
    <w:basedOn w:val="Legend"/>
    <w:rsid w:val="00982466"/>
    <w:pPr>
      <w:autoSpaceDE w:val="0"/>
      <w:autoSpaceDN w:val="0"/>
      <w:adjustRightInd w:val="0"/>
      <w:spacing w:before="80"/>
    </w:pPr>
    <w:rPr>
      <w:lang w:bidi="he-IL"/>
    </w:rPr>
  </w:style>
  <w:style w:type="paragraph" w:customStyle="1" w:styleId="FigureCredit">
    <w:name w:val="FigureCredit"/>
    <w:basedOn w:val="FigureCopyright"/>
    <w:rsid w:val="00982466"/>
  </w:style>
  <w:style w:type="character" w:styleId="FootnoteReference">
    <w:name w:val="footnote reference"/>
    <w:basedOn w:val="DefaultParagraphFont"/>
    <w:semiHidden/>
    <w:rsid w:val="00982466"/>
    <w:rPr>
      <w:vertAlign w:val="superscript"/>
    </w:rPr>
  </w:style>
  <w:style w:type="paragraph" w:customStyle="1" w:styleId="Gloss">
    <w:name w:val="Gloss"/>
    <w:basedOn w:val="AbstractSummary"/>
    <w:rsid w:val="00982466"/>
  </w:style>
  <w:style w:type="paragraph" w:customStyle="1" w:styleId="Glossary">
    <w:name w:val="Glossary"/>
    <w:basedOn w:val="BaseText"/>
    <w:rsid w:val="00982466"/>
  </w:style>
  <w:style w:type="paragraph" w:customStyle="1" w:styleId="GlossHead">
    <w:name w:val="GlossHead"/>
    <w:basedOn w:val="AbstractHead"/>
    <w:rsid w:val="00982466"/>
  </w:style>
  <w:style w:type="paragraph" w:customStyle="1" w:styleId="GraphicAltText">
    <w:name w:val="GraphicAltText"/>
    <w:basedOn w:val="Legend"/>
    <w:rsid w:val="00982466"/>
    <w:pPr>
      <w:autoSpaceDE w:val="0"/>
      <w:autoSpaceDN w:val="0"/>
      <w:adjustRightInd w:val="0"/>
    </w:pPr>
  </w:style>
  <w:style w:type="paragraph" w:customStyle="1" w:styleId="GraphicCredit">
    <w:name w:val="GraphicCredit"/>
    <w:basedOn w:val="FigureCredit"/>
    <w:rsid w:val="00982466"/>
  </w:style>
  <w:style w:type="paragraph" w:customStyle="1" w:styleId="Head">
    <w:name w:val="Head"/>
    <w:basedOn w:val="BaseHeading"/>
    <w:rsid w:val="00982466"/>
    <w:pPr>
      <w:spacing w:before="120" w:after="120"/>
      <w:jc w:val="center"/>
    </w:pPr>
    <w:rPr>
      <w:b/>
      <w:bCs/>
    </w:rPr>
  </w:style>
  <w:style w:type="character" w:styleId="HTMLAcronym">
    <w:name w:val="HTML Acronym"/>
    <w:basedOn w:val="DefaultParagraphFont"/>
    <w:rsid w:val="00982466"/>
  </w:style>
  <w:style w:type="character" w:styleId="HTMLCite">
    <w:name w:val="HTML Cite"/>
    <w:basedOn w:val="DefaultParagraphFont"/>
    <w:rsid w:val="00982466"/>
    <w:rPr>
      <w:i/>
      <w:iCs/>
    </w:rPr>
  </w:style>
  <w:style w:type="character" w:styleId="HTMLCode">
    <w:name w:val="HTML Code"/>
    <w:basedOn w:val="DefaultParagraphFont"/>
    <w:rsid w:val="00982466"/>
    <w:rPr>
      <w:rFonts w:ascii="Courier New" w:hAnsi="Courier New" w:cs="Courier New"/>
      <w:sz w:val="20"/>
      <w:szCs w:val="20"/>
    </w:rPr>
  </w:style>
  <w:style w:type="character" w:styleId="HTMLDefinition">
    <w:name w:val="HTML Definition"/>
    <w:basedOn w:val="DefaultParagraphFont"/>
    <w:rsid w:val="00982466"/>
    <w:rPr>
      <w:i/>
      <w:iCs/>
    </w:rPr>
  </w:style>
  <w:style w:type="character" w:styleId="HTMLKeyboard">
    <w:name w:val="HTML Keyboard"/>
    <w:basedOn w:val="DefaultParagraphFont"/>
    <w:rsid w:val="00982466"/>
    <w:rPr>
      <w:rFonts w:ascii="Courier New" w:hAnsi="Courier New" w:cs="Courier New"/>
      <w:sz w:val="20"/>
      <w:szCs w:val="20"/>
    </w:rPr>
  </w:style>
  <w:style w:type="paragraph" w:styleId="HTMLPreformatted">
    <w:name w:val="HTML Preformatted"/>
    <w:basedOn w:val="Normal"/>
    <w:link w:val="HTMLPreformattedChar"/>
    <w:rsid w:val="00982466"/>
    <w:rPr>
      <w:rFonts w:ascii="Consolas" w:hAnsi="Consolas"/>
      <w:sz w:val="20"/>
    </w:rPr>
  </w:style>
  <w:style w:type="character" w:customStyle="1" w:styleId="HTMLPreformattedChar">
    <w:name w:val="HTML Preformatted Char"/>
    <w:basedOn w:val="DefaultParagraphFont"/>
    <w:link w:val="HTMLPreformatted"/>
    <w:rsid w:val="00982466"/>
    <w:rPr>
      <w:rFonts w:ascii="Consolas" w:eastAsia="Times New Roman" w:hAnsi="Consolas" w:cs="Times New Roman"/>
      <w:sz w:val="20"/>
      <w:szCs w:val="20"/>
    </w:rPr>
  </w:style>
  <w:style w:type="character" w:styleId="HTMLSample">
    <w:name w:val="HTML Sample"/>
    <w:basedOn w:val="DefaultParagraphFont"/>
    <w:rsid w:val="00982466"/>
    <w:rPr>
      <w:rFonts w:ascii="Courier New" w:hAnsi="Courier New" w:cs="Courier New"/>
    </w:rPr>
  </w:style>
  <w:style w:type="character" w:styleId="HTMLTypewriter">
    <w:name w:val="HTML Typewriter"/>
    <w:basedOn w:val="DefaultParagraphFont"/>
    <w:rsid w:val="00982466"/>
    <w:rPr>
      <w:rFonts w:ascii="Courier New" w:hAnsi="Courier New" w:cs="Courier New"/>
      <w:sz w:val="20"/>
      <w:szCs w:val="20"/>
    </w:rPr>
  </w:style>
  <w:style w:type="character" w:styleId="HTMLVariable">
    <w:name w:val="HTML Variable"/>
    <w:basedOn w:val="DefaultParagraphFont"/>
    <w:rsid w:val="00982466"/>
    <w:rPr>
      <w:i/>
      <w:iCs/>
    </w:rPr>
  </w:style>
  <w:style w:type="paragraph" w:customStyle="1" w:styleId="InstructionsText">
    <w:name w:val="Instructions Text"/>
    <w:basedOn w:val="BaseText"/>
    <w:rsid w:val="00982466"/>
  </w:style>
  <w:style w:type="paragraph" w:customStyle="1" w:styleId="Overline">
    <w:name w:val="Overline"/>
    <w:basedOn w:val="BaseText"/>
    <w:rsid w:val="00982466"/>
  </w:style>
  <w:style w:type="paragraph" w:customStyle="1" w:styleId="IssueName">
    <w:name w:val="IssueName"/>
    <w:basedOn w:val="Overline"/>
    <w:rsid w:val="00982466"/>
  </w:style>
  <w:style w:type="paragraph" w:customStyle="1" w:styleId="Keywords">
    <w:name w:val="Keywords"/>
    <w:basedOn w:val="BaseText"/>
    <w:rsid w:val="00982466"/>
  </w:style>
  <w:style w:type="paragraph" w:customStyle="1" w:styleId="Level3Head">
    <w:name w:val="Level 3 Head"/>
    <w:basedOn w:val="BaseHeading"/>
    <w:rsid w:val="00982466"/>
    <w:pPr>
      <w:outlineLvl w:val="2"/>
    </w:pPr>
    <w:rPr>
      <w:sz w:val="24"/>
      <w:szCs w:val="24"/>
      <w:u w:val="single"/>
    </w:rPr>
  </w:style>
  <w:style w:type="paragraph" w:customStyle="1" w:styleId="Level4Head">
    <w:name w:val="Level 4 Head"/>
    <w:basedOn w:val="BaseHeading"/>
    <w:rsid w:val="00982466"/>
    <w:pPr>
      <w:ind w:left="346"/>
    </w:pPr>
    <w:rPr>
      <w:sz w:val="24"/>
      <w:szCs w:val="24"/>
    </w:rPr>
  </w:style>
  <w:style w:type="paragraph" w:customStyle="1" w:styleId="Literaryquote">
    <w:name w:val="Literary quote"/>
    <w:basedOn w:val="BaseText"/>
    <w:rsid w:val="00982466"/>
    <w:pPr>
      <w:ind w:left="1440" w:right="1440"/>
    </w:pPr>
  </w:style>
  <w:style w:type="paragraph" w:customStyle="1" w:styleId="MaterialsText">
    <w:name w:val="Materials Text"/>
    <w:basedOn w:val="BaseText"/>
    <w:rsid w:val="00982466"/>
  </w:style>
  <w:style w:type="paragraph" w:customStyle="1" w:styleId="NoteInProof">
    <w:name w:val="NoteInProof"/>
    <w:basedOn w:val="BaseText"/>
    <w:rsid w:val="00982466"/>
  </w:style>
  <w:style w:type="paragraph" w:customStyle="1" w:styleId="Notes">
    <w:name w:val="Notes"/>
    <w:basedOn w:val="BaseText"/>
    <w:rsid w:val="00982466"/>
    <w:rPr>
      <w:i/>
    </w:rPr>
  </w:style>
  <w:style w:type="paragraph" w:customStyle="1" w:styleId="Notes-Helvetica">
    <w:name w:val="Notes-Helvetica"/>
    <w:basedOn w:val="BaseText"/>
    <w:rsid w:val="00982466"/>
    <w:rPr>
      <w:i/>
    </w:rPr>
  </w:style>
  <w:style w:type="paragraph" w:customStyle="1" w:styleId="NumberedInstructions">
    <w:name w:val="Numbered Instructions"/>
    <w:basedOn w:val="BaseText"/>
    <w:rsid w:val="00982466"/>
  </w:style>
  <w:style w:type="paragraph" w:customStyle="1" w:styleId="OutlineLevel1">
    <w:name w:val="OutlineLevel1"/>
    <w:basedOn w:val="BaseHeading"/>
    <w:rsid w:val="00982466"/>
    <w:rPr>
      <w:b/>
      <w:bCs/>
    </w:rPr>
  </w:style>
  <w:style w:type="paragraph" w:customStyle="1" w:styleId="OutlineLevel2">
    <w:name w:val="OutlineLevel2"/>
    <w:basedOn w:val="BaseHeading"/>
    <w:rsid w:val="00982466"/>
    <w:pPr>
      <w:ind w:left="360"/>
      <w:outlineLvl w:val="1"/>
    </w:pPr>
    <w:rPr>
      <w:b/>
      <w:bCs/>
      <w:sz w:val="24"/>
      <w:szCs w:val="24"/>
    </w:rPr>
  </w:style>
  <w:style w:type="paragraph" w:customStyle="1" w:styleId="OutlineLevel3">
    <w:name w:val="OutlineLevel3"/>
    <w:basedOn w:val="BaseHeading"/>
    <w:rsid w:val="00982466"/>
    <w:pPr>
      <w:ind w:left="720"/>
      <w:outlineLvl w:val="2"/>
    </w:pPr>
    <w:rPr>
      <w:b/>
      <w:bCs/>
      <w:sz w:val="24"/>
      <w:szCs w:val="24"/>
    </w:rPr>
  </w:style>
  <w:style w:type="character" w:styleId="PageNumber">
    <w:name w:val="page number"/>
    <w:basedOn w:val="DefaultParagraphFont"/>
    <w:rsid w:val="00982466"/>
  </w:style>
  <w:style w:type="paragraph" w:customStyle="1" w:styleId="Preformat">
    <w:name w:val="Preformat"/>
    <w:basedOn w:val="BaseText"/>
    <w:rsid w:val="00982466"/>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82466"/>
  </w:style>
  <w:style w:type="paragraph" w:customStyle="1" w:styleId="ProductInformation">
    <w:name w:val="ProductInformation"/>
    <w:basedOn w:val="BaseText"/>
    <w:rsid w:val="00982466"/>
  </w:style>
  <w:style w:type="paragraph" w:customStyle="1" w:styleId="ProductTitle">
    <w:name w:val="ProductTitle"/>
    <w:basedOn w:val="BaseText"/>
    <w:rsid w:val="00982466"/>
    <w:rPr>
      <w:b/>
      <w:bCs/>
    </w:rPr>
  </w:style>
  <w:style w:type="paragraph" w:customStyle="1" w:styleId="PublishedOnline">
    <w:name w:val="Published Online"/>
    <w:basedOn w:val="DateAccepted"/>
    <w:rsid w:val="00982466"/>
  </w:style>
  <w:style w:type="paragraph" w:customStyle="1" w:styleId="RecipeMaterials">
    <w:name w:val="Recipe Materials"/>
    <w:basedOn w:val="BaseText"/>
    <w:rsid w:val="00982466"/>
  </w:style>
  <w:style w:type="paragraph" w:customStyle="1" w:styleId="Refhead">
    <w:name w:val="Ref head"/>
    <w:basedOn w:val="BaseHeading"/>
    <w:rsid w:val="00982466"/>
    <w:pPr>
      <w:spacing w:before="120" w:after="120"/>
    </w:pPr>
    <w:rPr>
      <w:b/>
      <w:bCs/>
      <w:sz w:val="24"/>
      <w:szCs w:val="24"/>
    </w:rPr>
  </w:style>
  <w:style w:type="paragraph" w:customStyle="1" w:styleId="ReferenceNote">
    <w:name w:val="Reference Note"/>
    <w:basedOn w:val="Referencesandnotes"/>
    <w:rsid w:val="00982466"/>
  </w:style>
  <w:style w:type="paragraph" w:customStyle="1" w:styleId="ReferencesandnotesLong">
    <w:name w:val="References and notes Long"/>
    <w:basedOn w:val="BaseText"/>
    <w:rsid w:val="00982466"/>
    <w:pPr>
      <w:ind w:left="720" w:hanging="720"/>
    </w:pPr>
  </w:style>
  <w:style w:type="paragraph" w:customStyle="1" w:styleId="region">
    <w:name w:val="region"/>
    <w:basedOn w:val="BaseText"/>
    <w:rsid w:val="00982466"/>
    <w:pPr>
      <w:jc w:val="right"/>
    </w:pPr>
    <w:rPr>
      <w:color w:val="0000FF"/>
    </w:rPr>
  </w:style>
  <w:style w:type="paragraph" w:customStyle="1" w:styleId="RelatedArticle">
    <w:name w:val="RelatedArticle"/>
    <w:basedOn w:val="Referencesandnotes"/>
    <w:rsid w:val="00982466"/>
  </w:style>
  <w:style w:type="paragraph" w:customStyle="1" w:styleId="RunHead">
    <w:name w:val="RunHead"/>
    <w:basedOn w:val="BaseText"/>
    <w:rsid w:val="00982466"/>
  </w:style>
  <w:style w:type="paragraph" w:customStyle="1" w:styleId="SOMContent">
    <w:name w:val="SOMContent"/>
    <w:basedOn w:val="1stparatext"/>
    <w:rsid w:val="00982466"/>
  </w:style>
  <w:style w:type="paragraph" w:customStyle="1" w:styleId="SOMHead">
    <w:name w:val="SOMHead"/>
    <w:basedOn w:val="BaseHeading"/>
    <w:rsid w:val="00982466"/>
    <w:rPr>
      <w:b/>
      <w:sz w:val="24"/>
      <w:szCs w:val="24"/>
    </w:rPr>
  </w:style>
  <w:style w:type="paragraph" w:customStyle="1" w:styleId="Speaker">
    <w:name w:val="Speaker"/>
    <w:basedOn w:val="Paragraph"/>
    <w:rsid w:val="00982466"/>
    <w:pPr>
      <w:autoSpaceDE w:val="0"/>
      <w:autoSpaceDN w:val="0"/>
      <w:adjustRightInd w:val="0"/>
    </w:pPr>
    <w:rPr>
      <w:b/>
      <w:lang w:bidi="he-IL"/>
    </w:rPr>
  </w:style>
  <w:style w:type="paragraph" w:customStyle="1" w:styleId="Speech">
    <w:name w:val="Speech"/>
    <w:basedOn w:val="Paragraph"/>
    <w:rsid w:val="00982466"/>
    <w:pPr>
      <w:autoSpaceDE w:val="0"/>
      <w:autoSpaceDN w:val="0"/>
      <w:adjustRightInd w:val="0"/>
    </w:pPr>
    <w:rPr>
      <w:lang w:bidi="he-IL"/>
    </w:rPr>
  </w:style>
  <w:style w:type="character" w:styleId="Strong">
    <w:name w:val="Strong"/>
    <w:basedOn w:val="DefaultParagraphFont"/>
    <w:uiPriority w:val="22"/>
    <w:qFormat/>
    <w:rsid w:val="00982466"/>
    <w:rPr>
      <w:b/>
      <w:bCs/>
    </w:rPr>
  </w:style>
  <w:style w:type="paragraph" w:customStyle="1" w:styleId="SX-Abstract">
    <w:name w:val="SX-Abstract"/>
    <w:basedOn w:val="Normal"/>
    <w:qFormat/>
    <w:rsid w:val="00982466"/>
    <w:pPr>
      <w:widowControl w:val="0"/>
      <w:spacing w:before="120" w:after="240" w:line="210" w:lineRule="exact"/>
      <w:ind w:left="700" w:right="700"/>
      <w:jc w:val="both"/>
    </w:pPr>
    <w:rPr>
      <w:rFonts w:ascii="BlissRegular" w:hAnsi="BlissRegular"/>
      <w:b/>
      <w:sz w:val="20"/>
    </w:rPr>
  </w:style>
  <w:style w:type="paragraph" w:customStyle="1" w:styleId="SX-Affiliation">
    <w:name w:val="SX-Affiliation"/>
    <w:basedOn w:val="Normal"/>
    <w:next w:val="Normal"/>
    <w:qFormat/>
    <w:rsid w:val="00982466"/>
    <w:pPr>
      <w:spacing w:after="160" w:line="190" w:lineRule="exact"/>
    </w:pPr>
    <w:rPr>
      <w:rFonts w:ascii="BlissRegular" w:hAnsi="BlissRegular"/>
      <w:sz w:val="16"/>
    </w:rPr>
  </w:style>
  <w:style w:type="paragraph" w:customStyle="1" w:styleId="SX-Articlehead">
    <w:name w:val="SX-Article head"/>
    <w:basedOn w:val="Normal"/>
    <w:qFormat/>
    <w:rsid w:val="00982466"/>
    <w:pPr>
      <w:spacing w:before="210" w:line="210" w:lineRule="exact"/>
      <w:ind w:firstLine="288"/>
      <w:jc w:val="both"/>
    </w:pPr>
    <w:rPr>
      <w:b/>
      <w:sz w:val="18"/>
    </w:rPr>
  </w:style>
  <w:style w:type="paragraph" w:customStyle="1" w:styleId="SX-Authornames">
    <w:name w:val="SX-Author names"/>
    <w:basedOn w:val="Normal"/>
    <w:rsid w:val="00982466"/>
    <w:pPr>
      <w:spacing w:after="120" w:line="210" w:lineRule="exact"/>
    </w:pPr>
    <w:rPr>
      <w:rFonts w:ascii="BlissMedium" w:hAnsi="BlissMedium"/>
      <w:sz w:val="20"/>
    </w:rPr>
  </w:style>
  <w:style w:type="paragraph" w:customStyle="1" w:styleId="SX-Bodytext">
    <w:name w:val="SX-Body text"/>
    <w:basedOn w:val="Normal"/>
    <w:next w:val="Normal"/>
    <w:rsid w:val="00982466"/>
    <w:pPr>
      <w:spacing w:line="210" w:lineRule="exact"/>
      <w:ind w:firstLine="288"/>
      <w:jc w:val="both"/>
    </w:pPr>
    <w:rPr>
      <w:sz w:val="18"/>
    </w:rPr>
  </w:style>
  <w:style w:type="paragraph" w:customStyle="1" w:styleId="SX-Bodytextflush">
    <w:name w:val="SX-Body text flush"/>
    <w:basedOn w:val="SX-Bodytext"/>
    <w:next w:val="SX-Bodytext"/>
    <w:rsid w:val="00982466"/>
    <w:pPr>
      <w:ind w:firstLine="0"/>
    </w:pPr>
  </w:style>
  <w:style w:type="paragraph" w:customStyle="1" w:styleId="SX-Correspondence">
    <w:name w:val="SX-Correspondence"/>
    <w:basedOn w:val="SX-Affiliation"/>
    <w:qFormat/>
    <w:rsid w:val="00982466"/>
    <w:pPr>
      <w:spacing w:after="80"/>
    </w:pPr>
  </w:style>
  <w:style w:type="paragraph" w:customStyle="1" w:styleId="SX-Date">
    <w:name w:val="SX-Date"/>
    <w:basedOn w:val="Normal"/>
    <w:qFormat/>
    <w:rsid w:val="00982466"/>
    <w:pPr>
      <w:spacing w:before="180" w:line="190" w:lineRule="exact"/>
      <w:ind w:left="245" w:hanging="245"/>
      <w:jc w:val="both"/>
    </w:pPr>
    <w:rPr>
      <w:sz w:val="16"/>
    </w:rPr>
  </w:style>
  <w:style w:type="paragraph" w:customStyle="1" w:styleId="SX-Equation">
    <w:name w:val="SX-Equation"/>
    <w:basedOn w:val="SX-Bodytextflush"/>
    <w:next w:val="SX-Bodytext"/>
    <w:rsid w:val="00982466"/>
    <w:pPr>
      <w:autoSpaceDE w:val="0"/>
      <w:autoSpaceDN w:val="0"/>
      <w:adjustRightInd w:val="0"/>
      <w:spacing w:line="240" w:lineRule="auto"/>
      <w:jc w:val="center"/>
    </w:pPr>
  </w:style>
  <w:style w:type="paragraph" w:customStyle="1" w:styleId="SX-Legend">
    <w:name w:val="SX-Legend"/>
    <w:basedOn w:val="SX-Authornames"/>
    <w:rsid w:val="00982466"/>
    <w:pPr>
      <w:jc w:val="both"/>
    </w:pPr>
    <w:rPr>
      <w:sz w:val="18"/>
    </w:rPr>
  </w:style>
  <w:style w:type="paragraph" w:customStyle="1" w:styleId="SX-References">
    <w:name w:val="SX-References"/>
    <w:basedOn w:val="Normal"/>
    <w:rsid w:val="00982466"/>
    <w:pPr>
      <w:spacing w:line="190" w:lineRule="exact"/>
      <w:ind w:left="245" w:hanging="245"/>
      <w:jc w:val="both"/>
    </w:pPr>
    <w:rPr>
      <w:sz w:val="16"/>
    </w:rPr>
  </w:style>
  <w:style w:type="paragraph" w:customStyle="1" w:styleId="SX-RefHead">
    <w:name w:val="SX-RefHead"/>
    <w:basedOn w:val="Normal"/>
    <w:rsid w:val="00982466"/>
    <w:pPr>
      <w:spacing w:before="200" w:line="190" w:lineRule="exact"/>
    </w:pPr>
    <w:rPr>
      <w:b/>
      <w:sz w:val="16"/>
    </w:rPr>
  </w:style>
  <w:style w:type="character" w:customStyle="1" w:styleId="SX-reflink">
    <w:name w:val="SX-reflink"/>
    <w:basedOn w:val="DefaultParagraphFont"/>
    <w:uiPriority w:val="1"/>
    <w:qFormat/>
    <w:rsid w:val="00982466"/>
    <w:rPr>
      <w:color w:val="0000FF"/>
      <w:sz w:val="16"/>
      <w:u w:val="words"/>
      <w:bdr w:val="none" w:sz="0" w:space="0" w:color="auto"/>
      <w:shd w:val="clear" w:color="auto" w:fill="FFFFFF"/>
    </w:rPr>
  </w:style>
  <w:style w:type="paragraph" w:customStyle="1" w:styleId="SX-SOMHead">
    <w:name w:val="SX-SOMHead"/>
    <w:basedOn w:val="SX-RefHead"/>
    <w:rsid w:val="00982466"/>
  </w:style>
  <w:style w:type="paragraph" w:customStyle="1" w:styleId="SX-Tablehead">
    <w:name w:val="SX-Tablehead"/>
    <w:basedOn w:val="Normal"/>
    <w:qFormat/>
    <w:rsid w:val="00982466"/>
    <w:rPr>
      <w:sz w:val="20"/>
      <w:szCs w:val="24"/>
    </w:rPr>
  </w:style>
  <w:style w:type="paragraph" w:customStyle="1" w:styleId="SX-Tablelegend">
    <w:name w:val="SX-Tablelegend"/>
    <w:basedOn w:val="Normal"/>
    <w:qFormat/>
    <w:rsid w:val="00982466"/>
    <w:pPr>
      <w:spacing w:line="190" w:lineRule="exact"/>
      <w:ind w:left="245" w:hanging="245"/>
      <w:jc w:val="both"/>
    </w:pPr>
    <w:rPr>
      <w:sz w:val="16"/>
    </w:rPr>
  </w:style>
  <w:style w:type="paragraph" w:customStyle="1" w:styleId="SX-Tabletext">
    <w:name w:val="SX-Tabletext"/>
    <w:basedOn w:val="Normal"/>
    <w:qFormat/>
    <w:rsid w:val="00982466"/>
    <w:pPr>
      <w:spacing w:line="210" w:lineRule="exact"/>
      <w:jc w:val="center"/>
    </w:pPr>
    <w:rPr>
      <w:sz w:val="18"/>
    </w:rPr>
  </w:style>
  <w:style w:type="paragraph" w:customStyle="1" w:styleId="SX-Tabletitle">
    <w:name w:val="SX-Tabletitle"/>
    <w:basedOn w:val="Normal"/>
    <w:qFormat/>
    <w:rsid w:val="00982466"/>
    <w:pPr>
      <w:spacing w:after="120" w:line="210" w:lineRule="exact"/>
      <w:jc w:val="both"/>
    </w:pPr>
    <w:rPr>
      <w:rFonts w:ascii="BlissMedium" w:hAnsi="BlissMedium"/>
      <w:sz w:val="18"/>
    </w:rPr>
  </w:style>
  <w:style w:type="paragraph" w:customStyle="1" w:styleId="SX-Title">
    <w:name w:val="SX-Title"/>
    <w:basedOn w:val="Normal"/>
    <w:rsid w:val="00982466"/>
    <w:pPr>
      <w:spacing w:after="240" w:line="500" w:lineRule="exact"/>
    </w:pPr>
    <w:rPr>
      <w:rFonts w:ascii="BlissBold" w:hAnsi="BlissBold"/>
      <w:b/>
      <w:sz w:val="44"/>
    </w:rPr>
  </w:style>
  <w:style w:type="paragraph" w:customStyle="1" w:styleId="Tablecolumnhead">
    <w:name w:val="Table column head"/>
    <w:basedOn w:val="BaseText"/>
    <w:rsid w:val="00982466"/>
    <w:pPr>
      <w:spacing w:before="0"/>
    </w:pPr>
  </w:style>
  <w:style w:type="paragraph" w:customStyle="1" w:styleId="Tabletext">
    <w:name w:val="Table text"/>
    <w:basedOn w:val="BaseText"/>
    <w:rsid w:val="00982466"/>
    <w:pPr>
      <w:spacing w:before="0"/>
    </w:pPr>
  </w:style>
  <w:style w:type="paragraph" w:customStyle="1" w:styleId="TableLegend">
    <w:name w:val="TableLegend"/>
    <w:basedOn w:val="BaseText"/>
    <w:rsid w:val="00982466"/>
    <w:pPr>
      <w:spacing w:before="0"/>
    </w:pPr>
  </w:style>
  <w:style w:type="paragraph" w:customStyle="1" w:styleId="TableTitle">
    <w:name w:val="TableTitle"/>
    <w:basedOn w:val="BaseHeading"/>
    <w:rsid w:val="00982466"/>
  </w:style>
  <w:style w:type="paragraph" w:customStyle="1" w:styleId="Teaser">
    <w:name w:val="Teaser"/>
    <w:basedOn w:val="BaseText"/>
    <w:rsid w:val="00982466"/>
  </w:style>
  <w:style w:type="paragraph" w:customStyle="1" w:styleId="TWIS">
    <w:name w:val="TWIS"/>
    <w:basedOn w:val="AbstractSummary"/>
    <w:rsid w:val="00982466"/>
    <w:pPr>
      <w:autoSpaceDE w:val="0"/>
      <w:autoSpaceDN w:val="0"/>
      <w:adjustRightInd w:val="0"/>
    </w:pPr>
  </w:style>
  <w:style w:type="paragraph" w:customStyle="1" w:styleId="TWISorEC">
    <w:name w:val="TWIS or EC"/>
    <w:basedOn w:val="Normal"/>
    <w:rsid w:val="00982466"/>
    <w:pPr>
      <w:spacing w:line="210" w:lineRule="exact"/>
    </w:pPr>
    <w:rPr>
      <w:rFonts w:ascii="BlissRegular" w:hAnsi="BlissRegular"/>
      <w:sz w:val="19"/>
    </w:rPr>
  </w:style>
  <w:style w:type="paragraph" w:customStyle="1" w:styleId="work-sector">
    <w:name w:val="work-sector"/>
    <w:basedOn w:val="BaseText"/>
    <w:rsid w:val="00982466"/>
    <w:pPr>
      <w:jc w:val="right"/>
    </w:pPr>
    <w:rPr>
      <w:color w:val="003300"/>
    </w:rPr>
  </w:style>
  <w:style w:type="paragraph" w:customStyle="1" w:styleId="DOI">
    <w:name w:val="DOI"/>
    <w:basedOn w:val="DateAccepted"/>
    <w:qFormat/>
    <w:rsid w:val="00982466"/>
  </w:style>
  <w:style w:type="character" w:styleId="UnresolvedMention">
    <w:name w:val="Unresolved Mention"/>
    <w:basedOn w:val="DefaultParagraphFont"/>
    <w:uiPriority w:val="99"/>
    <w:unhideWhenUsed/>
    <w:rsid w:val="00982466"/>
    <w:rPr>
      <w:color w:val="808080"/>
      <w:shd w:val="clear" w:color="auto" w:fill="E6E6E6"/>
    </w:rPr>
  </w:style>
  <w:style w:type="paragraph" w:customStyle="1" w:styleId="acknowledgement0">
    <w:name w:val="acknowledgement"/>
    <w:basedOn w:val="Normal"/>
    <w:rsid w:val="00982466"/>
    <w:pPr>
      <w:spacing w:before="100" w:beforeAutospacing="1" w:after="100" w:afterAutospacing="1"/>
    </w:pPr>
    <w:rPr>
      <w:szCs w:val="24"/>
    </w:rPr>
  </w:style>
  <w:style w:type="character" w:customStyle="1" w:styleId="apple-converted-space">
    <w:name w:val="apple-converted-space"/>
    <w:basedOn w:val="DefaultParagraphFont"/>
    <w:rsid w:val="00982466"/>
  </w:style>
  <w:style w:type="character" w:customStyle="1" w:styleId="normaltextrun">
    <w:name w:val="normaltextrun"/>
    <w:basedOn w:val="DefaultParagraphFont"/>
    <w:rsid w:val="00982466"/>
  </w:style>
  <w:style w:type="character" w:customStyle="1" w:styleId="eop">
    <w:name w:val="eop"/>
    <w:basedOn w:val="DefaultParagraphFont"/>
    <w:rsid w:val="00982466"/>
  </w:style>
  <w:style w:type="paragraph" w:styleId="ListParagraph">
    <w:name w:val="List Paragraph"/>
    <w:basedOn w:val="Normal"/>
    <w:uiPriority w:val="34"/>
    <w:qFormat/>
    <w:rsid w:val="00982466"/>
    <w:pPr>
      <w:ind w:left="720"/>
      <w:contextualSpacing/>
    </w:pPr>
    <w:rPr>
      <w:rFonts w:eastAsia="Calibri"/>
      <w:sz w:val="20"/>
    </w:rPr>
  </w:style>
  <w:style w:type="character" w:customStyle="1" w:styleId="Heading1Char">
    <w:name w:val="Heading 1 Char"/>
    <w:basedOn w:val="DefaultParagraphFont"/>
    <w:link w:val="Heading11"/>
    <w:rsid w:val="00982466"/>
    <w:rPr>
      <w:rFonts w:ascii="Cambria" w:eastAsia="MS Gothic" w:hAnsi="Cambria" w:cs="Times New Roman"/>
      <w:color w:val="365F91"/>
      <w:sz w:val="32"/>
      <w:szCs w:val="32"/>
    </w:rPr>
  </w:style>
  <w:style w:type="character" w:customStyle="1" w:styleId="Heading2Char">
    <w:name w:val="Heading 2 Char"/>
    <w:basedOn w:val="DefaultParagraphFont"/>
    <w:link w:val="Heading2"/>
    <w:rsid w:val="00982466"/>
    <w:rPr>
      <w:rFonts w:ascii="Cambria" w:eastAsia="MS Gothic" w:hAnsi="Cambria" w:cs="Times New Roman"/>
      <w:color w:val="365F91"/>
      <w:sz w:val="26"/>
      <w:szCs w:val="26"/>
    </w:rPr>
  </w:style>
  <w:style w:type="table" w:customStyle="1" w:styleId="TableGrid3">
    <w:name w:val="Table Grid3"/>
    <w:basedOn w:val="TableNormal"/>
    <w:next w:val="TableGrid"/>
    <w:uiPriority w:val="59"/>
    <w:rsid w:val="0098246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next w:val="NoSpacing"/>
    <w:uiPriority w:val="1"/>
    <w:qFormat/>
    <w:rsid w:val="00982466"/>
    <w:rPr>
      <w:sz w:val="22"/>
      <w:szCs w:val="22"/>
    </w:rPr>
  </w:style>
  <w:style w:type="character" w:customStyle="1" w:styleId="cf01">
    <w:name w:val="cf01"/>
    <w:basedOn w:val="DefaultParagraphFont"/>
    <w:rsid w:val="00982466"/>
    <w:rPr>
      <w:rFonts w:ascii="Segoe UI" w:hAnsi="Segoe UI" w:cs="Segoe UI" w:hint="default"/>
      <w:sz w:val="18"/>
      <w:szCs w:val="18"/>
    </w:rPr>
  </w:style>
  <w:style w:type="table" w:customStyle="1" w:styleId="TableGrid11">
    <w:name w:val="Table Grid11"/>
    <w:basedOn w:val="TableNormal"/>
    <w:next w:val="TableGrid"/>
    <w:uiPriority w:val="39"/>
    <w:rsid w:val="00982466"/>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982466"/>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8qarf">
    <w:name w:val="w8qarf"/>
    <w:basedOn w:val="DefaultParagraphFont"/>
    <w:rsid w:val="00982466"/>
  </w:style>
  <w:style w:type="character" w:customStyle="1" w:styleId="lrzxr">
    <w:name w:val="lrzxr"/>
    <w:basedOn w:val="DefaultParagraphFont"/>
    <w:rsid w:val="00982466"/>
  </w:style>
  <w:style w:type="table" w:customStyle="1" w:styleId="alternatingrowcolors">
    <w:name w:val="alternating row colors"/>
    <w:basedOn w:val="TableNormal"/>
    <w:uiPriority w:val="99"/>
    <w:rsid w:val="00982466"/>
    <w:tblPr>
      <w:tblStyleRowBandSize w:val="1"/>
      <w:tblStyleColBandSize w:val="1"/>
    </w:tblPr>
    <w:tcPr>
      <w:shd w:val="clear" w:color="auto" w:fill="auto"/>
    </w:tcPr>
    <w:tblStylePr w:type="band2Horz">
      <w:tblPr/>
      <w:tcPr>
        <w:shd w:val="clear" w:color="auto" w:fill="D9D9D9"/>
      </w:tcPr>
    </w:tblStylePr>
  </w:style>
  <w:style w:type="numbering" w:customStyle="1" w:styleId="NoList11">
    <w:name w:val="No List11"/>
    <w:next w:val="NoList"/>
    <w:uiPriority w:val="99"/>
    <w:semiHidden/>
    <w:unhideWhenUsed/>
    <w:rsid w:val="00982466"/>
  </w:style>
  <w:style w:type="paragraph" w:customStyle="1" w:styleId="SMHeading">
    <w:name w:val="SM Heading"/>
    <w:basedOn w:val="Heading1"/>
    <w:qFormat/>
    <w:rsid w:val="00982466"/>
    <w:pPr>
      <w:keepLines w:val="0"/>
      <w:spacing w:after="60"/>
    </w:pPr>
    <w:rPr>
      <w:rFonts w:ascii="Times New Roman" w:eastAsia="Times New Roman" w:hAnsi="Times New Roman" w:cs="Times New Roman"/>
      <w:b/>
      <w:bCs/>
      <w:color w:val="auto"/>
      <w:kern w:val="32"/>
      <w:sz w:val="24"/>
      <w:szCs w:val="24"/>
    </w:rPr>
  </w:style>
  <w:style w:type="paragraph" w:customStyle="1" w:styleId="SMSubheading">
    <w:name w:val="SM Subheading"/>
    <w:basedOn w:val="Normal"/>
    <w:qFormat/>
    <w:rsid w:val="00982466"/>
    <w:rPr>
      <w:u w:val="words"/>
    </w:rPr>
  </w:style>
  <w:style w:type="paragraph" w:customStyle="1" w:styleId="SMText">
    <w:name w:val="SM Text"/>
    <w:basedOn w:val="Normal"/>
    <w:qFormat/>
    <w:rsid w:val="00982466"/>
    <w:pPr>
      <w:ind w:firstLine="480"/>
    </w:pPr>
  </w:style>
  <w:style w:type="paragraph" w:customStyle="1" w:styleId="SMcaption">
    <w:name w:val="SM caption"/>
    <w:basedOn w:val="SMText"/>
    <w:qFormat/>
    <w:rsid w:val="00982466"/>
    <w:pPr>
      <w:ind w:firstLine="0"/>
    </w:pPr>
  </w:style>
  <w:style w:type="paragraph" w:styleId="BlockText">
    <w:name w:val="Block Text"/>
    <w:basedOn w:val="Normal"/>
    <w:semiHidden/>
    <w:rsid w:val="00982466"/>
    <w:pPr>
      <w:spacing w:after="120"/>
      <w:ind w:left="1440" w:right="1440"/>
    </w:pPr>
  </w:style>
  <w:style w:type="paragraph" w:styleId="BodyText">
    <w:name w:val="Body Text"/>
    <w:basedOn w:val="Normal"/>
    <w:link w:val="BodyTextChar"/>
    <w:semiHidden/>
    <w:rsid w:val="00982466"/>
    <w:pPr>
      <w:spacing w:after="120"/>
    </w:pPr>
  </w:style>
  <w:style w:type="character" w:customStyle="1" w:styleId="BodyTextChar">
    <w:name w:val="Body Text Char"/>
    <w:basedOn w:val="DefaultParagraphFont"/>
    <w:link w:val="BodyText"/>
    <w:semiHidden/>
    <w:rsid w:val="00982466"/>
    <w:rPr>
      <w:rFonts w:ascii="Times New Roman" w:eastAsia="Times New Roman" w:hAnsi="Times New Roman" w:cs="Times New Roman"/>
      <w:szCs w:val="20"/>
    </w:rPr>
  </w:style>
  <w:style w:type="paragraph" w:styleId="BodyText2">
    <w:name w:val="Body Text 2"/>
    <w:basedOn w:val="Normal"/>
    <w:link w:val="BodyText2Char"/>
    <w:semiHidden/>
    <w:rsid w:val="00982466"/>
    <w:pPr>
      <w:spacing w:after="120" w:line="480" w:lineRule="auto"/>
    </w:pPr>
  </w:style>
  <w:style w:type="character" w:customStyle="1" w:styleId="BodyText2Char">
    <w:name w:val="Body Text 2 Char"/>
    <w:basedOn w:val="DefaultParagraphFont"/>
    <w:link w:val="BodyText2"/>
    <w:semiHidden/>
    <w:rsid w:val="00982466"/>
    <w:rPr>
      <w:rFonts w:ascii="Times New Roman" w:eastAsia="Times New Roman" w:hAnsi="Times New Roman" w:cs="Times New Roman"/>
      <w:szCs w:val="20"/>
    </w:rPr>
  </w:style>
  <w:style w:type="paragraph" w:styleId="BodyText3">
    <w:name w:val="Body Text 3"/>
    <w:basedOn w:val="Normal"/>
    <w:link w:val="BodyText3Char"/>
    <w:semiHidden/>
    <w:rsid w:val="00982466"/>
    <w:pPr>
      <w:spacing w:after="120"/>
    </w:pPr>
    <w:rPr>
      <w:sz w:val="16"/>
      <w:szCs w:val="16"/>
    </w:rPr>
  </w:style>
  <w:style w:type="character" w:customStyle="1" w:styleId="BodyText3Char">
    <w:name w:val="Body Text 3 Char"/>
    <w:basedOn w:val="DefaultParagraphFont"/>
    <w:link w:val="BodyText3"/>
    <w:semiHidden/>
    <w:rsid w:val="00982466"/>
    <w:rPr>
      <w:rFonts w:ascii="Times New Roman" w:eastAsia="Times New Roman" w:hAnsi="Times New Roman" w:cs="Times New Roman"/>
      <w:sz w:val="16"/>
      <w:szCs w:val="16"/>
    </w:rPr>
  </w:style>
  <w:style w:type="paragraph" w:styleId="BodyTextFirstIndent">
    <w:name w:val="Body Text First Indent"/>
    <w:basedOn w:val="BodyText"/>
    <w:link w:val="BodyTextFirstIndentChar"/>
    <w:semiHidden/>
    <w:rsid w:val="00982466"/>
    <w:pPr>
      <w:ind w:firstLine="210"/>
    </w:pPr>
  </w:style>
  <w:style w:type="character" w:customStyle="1" w:styleId="BodyTextFirstIndentChar">
    <w:name w:val="Body Text First Indent Char"/>
    <w:basedOn w:val="BodyTextChar"/>
    <w:link w:val="BodyTextFirstIndent"/>
    <w:semiHidden/>
    <w:rsid w:val="00982466"/>
    <w:rPr>
      <w:rFonts w:ascii="Times New Roman" w:eastAsia="Times New Roman" w:hAnsi="Times New Roman" w:cs="Times New Roman"/>
      <w:szCs w:val="20"/>
    </w:rPr>
  </w:style>
  <w:style w:type="paragraph" w:styleId="BodyTextIndent">
    <w:name w:val="Body Text Indent"/>
    <w:basedOn w:val="Normal"/>
    <w:link w:val="BodyTextIndentChar"/>
    <w:semiHidden/>
    <w:rsid w:val="00982466"/>
    <w:pPr>
      <w:spacing w:after="120"/>
      <w:ind w:left="360"/>
    </w:pPr>
  </w:style>
  <w:style w:type="character" w:customStyle="1" w:styleId="BodyTextIndentChar">
    <w:name w:val="Body Text Indent Char"/>
    <w:basedOn w:val="DefaultParagraphFont"/>
    <w:link w:val="BodyTextIndent"/>
    <w:semiHidden/>
    <w:rsid w:val="00982466"/>
    <w:rPr>
      <w:rFonts w:ascii="Times New Roman" w:eastAsia="Times New Roman" w:hAnsi="Times New Roman" w:cs="Times New Roman"/>
      <w:szCs w:val="20"/>
    </w:rPr>
  </w:style>
  <w:style w:type="paragraph" w:styleId="BodyTextFirstIndent2">
    <w:name w:val="Body Text First Indent 2"/>
    <w:basedOn w:val="BodyTextIndent"/>
    <w:link w:val="BodyTextFirstIndent2Char"/>
    <w:semiHidden/>
    <w:rsid w:val="00982466"/>
    <w:pPr>
      <w:ind w:firstLine="210"/>
    </w:pPr>
  </w:style>
  <w:style w:type="character" w:customStyle="1" w:styleId="BodyTextFirstIndent2Char">
    <w:name w:val="Body Text First Indent 2 Char"/>
    <w:basedOn w:val="BodyTextIndentChar"/>
    <w:link w:val="BodyTextFirstIndent2"/>
    <w:semiHidden/>
    <w:rsid w:val="00982466"/>
    <w:rPr>
      <w:rFonts w:ascii="Times New Roman" w:eastAsia="Times New Roman" w:hAnsi="Times New Roman" w:cs="Times New Roman"/>
      <w:szCs w:val="20"/>
    </w:rPr>
  </w:style>
  <w:style w:type="paragraph" w:styleId="BodyTextIndent2">
    <w:name w:val="Body Text Indent 2"/>
    <w:basedOn w:val="Normal"/>
    <w:link w:val="BodyTextIndent2Char"/>
    <w:semiHidden/>
    <w:rsid w:val="00982466"/>
    <w:pPr>
      <w:spacing w:after="120" w:line="480" w:lineRule="auto"/>
      <w:ind w:left="360"/>
    </w:pPr>
  </w:style>
  <w:style w:type="character" w:customStyle="1" w:styleId="BodyTextIndent2Char">
    <w:name w:val="Body Text Indent 2 Char"/>
    <w:basedOn w:val="DefaultParagraphFont"/>
    <w:link w:val="BodyTextIndent2"/>
    <w:semiHidden/>
    <w:rsid w:val="00982466"/>
    <w:rPr>
      <w:rFonts w:ascii="Times New Roman" w:eastAsia="Times New Roman" w:hAnsi="Times New Roman" w:cs="Times New Roman"/>
      <w:szCs w:val="20"/>
    </w:rPr>
  </w:style>
  <w:style w:type="paragraph" w:styleId="BodyTextIndent3">
    <w:name w:val="Body Text Indent 3"/>
    <w:basedOn w:val="Normal"/>
    <w:link w:val="BodyTextIndent3Char"/>
    <w:semiHidden/>
    <w:rsid w:val="00982466"/>
    <w:pPr>
      <w:spacing w:after="120"/>
      <w:ind w:left="360"/>
    </w:pPr>
    <w:rPr>
      <w:sz w:val="16"/>
      <w:szCs w:val="16"/>
    </w:rPr>
  </w:style>
  <w:style w:type="character" w:customStyle="1" w:styleId="BodyTextIndent3Char">
    <w:name w:val="Body Text Indent 3 Char"/>
    <w:basedOn w:val="DefaultParagraphFont"/>
    <w:link w:val="BodyTextIndent3"/>
    <w:semiHidden/>
    <w:rsid w:val="00982466"/>
    <w:rPr>
      <w:rFonts w:ascii="Times New Roman" w:eastAsia="Times New Roman" w:hAnsi="Times New Roman" w:cs="Times New Roman"/>
      <w:sz w:val="16"/>
      <w:szCs w:val="16"/>
    </w:rPr>
  </w:style>
  <w:style w:type="paragraph" w:styleId="Caption">
    <w:name w:val="caption"/>
    <w:basedOn w:val="Normal"/>
    <w:next w:val="Normal"/>
    <w:semiHidden/>
    <w:qFormat/>
    <w:rsid w:val="00982466"/>
    <w:rPr>
      <w:b/>
      <w:bCs/>
      <w:sz w:val="20"/>
    </w:rPr>
  </w:style>
  <w:style w:type="paragraph" w:styleId="Closing">
    <w:name w:val="Closing"/>
    <w:basedOn w:val="Normal"/>
    <w:link w:val="ClosingChar"/>
    <w:semiHidden/>
    <w:rsid w:val="00982466"/>
    <w:pPr>
      <w:ind w:left="4320"/>
    </w:pPr>
  </w:style>
  <w:style w:type="character" w:customStyle="1" w:styleId="ClosingChar">
    <w:name w:val="Closing Char"/>
    <w:basedOn w:val="DefaultParagraphFont"/>
    <w:link w:val="Closing"/>
    <w:semiHidden/>
    <w:rsid w:val="00982466"/>
    <w:rPr>
      <w:rFonts w:ascii="Times New Roman" w:eastAsia="Times New Roman" w:hAnsi="Times New Roman" w:cs="Times New Roman"/>
      <w:szCs w:val="20"/>
    </w:rPr>
  </w:style>
  <w:style w:type="paragraph" w:styleId="Date">
    <w:name w:val="Date"/>
    <w:basedOn w:val="Normal"/>
    <w:next w:val="Normal"/>
    <w:link w:val="DateChar"/>
    <w:semiHidden/>
    <w:rsid w:val="00982466"/>
  </w:style>
  <w:style w:type="character" w:customStyle="1" w:styleId="DateChar">
    <w:name w:val="Date Char"/>
    <w:basedOn w:val="DefaultParagraphFont"/>
    <w:link w:val="Date"/>
    <w:semiHidden/>
    <w:rsid w:val="00982466"/>
    <w:rPr>
      <w:rFonts w:ascii="Times New Roman" w:eastAsia="Times New Roman" w:hAnsi="Times New Roman" w:cs="Times New Roman"/>
      <w:szCs w:val="20"/>
    </w:rPr>
  </w:style>
  <w:style w:type="paragraph" w:styleId="DocumentMap">
    <w:name w:val="Document Map"/>
    <w:basedOn w:val="Normal"/>
    <w:link w:val="DocumentMapChar"/>
    <w:semiHidden/>
    <w:rsid w:val="00982466"/>
    <w:rPr>
      <w:rFonts w:ascii="Tahoma" w:hAnsi="Tahoma" w:cs="Tahoma"/>
      <w:sz w:val="16"/>
      <w:szCs w:val="16"/>
    </w:rPr>
  </w:style>
  <w:style w:type="character" w:customStyle="1" w:styleId="DocumentMapChar">
    <w:name w:val="Document Map Char"/>
    <w:basedOn w:val="DefaultParagraphFont"/>
    <w:link w:val="DocumentMap"/>
    <w:semiHidden/>
    <w:rsid w:val="00982466"/>
    <w:rPr>
      <w:rFonts w:ascii="Tahoma" w:eastAsia="Times New Roman" w:hAnsi="Tahoma" w:cs="Tahoma"/>
      <w:sz w:val="16"/>
      <w:szCs w:val="16"/>
    </w:rPr>
  </w:style>
  <w:style w:type="paragraph" w:styleId="E-mailSignature">
    <w:name w:val="E-mail Signature"/>
    <w:basedOn w:val="Normal"/>
    <w:link w:val="E-mailSignatureChar"/>
    <w:semiHidden/>
    <w:rsid w:val="00982466"/>
  </w:style>
  <w:style w:type="character" w:customStyle="1" w:styleId="E-mailSignatureChar">
    <w:name w:val="E-mail Signature Char"/>
    <w:basedOn w:val="DefaultParagraphFont"/>
    <w:link w:val="E-mailSignature"/>
    <w:semiHidden/>
    <w:rsid w:val="00982466"/>
    <w:rPr>
      <w:rFonts w:ascii="Times New Roman" w:eastAsia="Times New Roman" w:hAnsi="Times New Roman" w:cs="Times New Roman"/>
      <w:szCs w:val="20"/>
    </w:rPr>
  </w:style>
  <w:style w:type="paragraph" w:styleId="EnvelopeAddress">
    <w:name w:val="envelope address"/>
    <w:basedOn w:val="Normal"/>
    <w:semiHidden/>
    <w:rsid w:val="0098246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982466"/>
    <w:rPr>
      <w:rFonts w:ascii="Cambria" w:hAnsi="Cambria"/>
      <w:sz w:val="20"/>
    </w:rPr>
  </w:style>
  <w:style w:type="paragraph" w:styleId="FootnoteText">
    <w:name w:val="footnote text"/>
    <w:basedOn w:val="Normal"/>
    <w:link w:val="FootnoteTextChar"/>
    <w:semiHidden/>
    <w:rsid w:val="00982466"/>
    <w:rPr>
      <w:sz w:val="20"/>
    </w:rPr>
  </w:style>
  <w:style w:type="character" w:customStyle="1" w:styleId="FootnoteTextChar">
    <w:name w:val="Footnote Text Char"/>
    <w:basedOn w:val="DefaultParagraphFont"/>
    <w:link w:val="FootnoteText"/>
    <w:semiHidden/>
    <w:rsid w:val="00982466"/>
    <w:rPr>
      <w:rFonts w:ascii="Times New Roman" w:eastAsia="Times New Roman" w:hAnsi="Times New Roman" w:cs="Times New Roman"/>
      <w:sz w:val="20"/>
      <w:szCs w:val="20"/>
    </w:rPr>
  </w:style>
  <w:style w:type="paragraph" w:styleId="HTMLAddress">
    <w:name w:val="HTML Address"/>
    <w:basedOn w:val="Normal"/>
    <w:link w:val="HTMLAddressChar"/>
    <w:semiHidden/>
    <w:rsid w:val="00982466"/>
    <w:rPr>
      <w:i/>
      <w:iCs/>
    </w:rPr>
  </w:style>
  <w:style w:type="character" w:customStyle="1" w:styleId="HTMLAddressChar">
    <w:name w:val="HTML Address Char"/>
    <w:basedOn w:val="DefaultParagraphFont"/>
    <w:link w:val="HTMLAddress"/>
    <w:semiHidden/>
    <w:rsid w:val="00982466"/>
    <w:rPr>
      <w:rFonts w:ascii="Times New Roman" w:eastAsia="Times New Roman" w:hAnsi="Times New Roman" w:cs="Times New Roman"/>
      <w:i/>
      <w:iCs/>
      <w:szCs w:val="20"/>
    </w:rPr>
  </w:style>
  <w:style w:type="paragraph" w:styleId="Index1">
    <w:name w:val="index 1"/>
    <w:basedOn w:val="Normal"/>
    <w:next w:val="Normal"/>
    <w:autoRedefine/>
    <w:semiHidden/>
    <w:rsid w:val="00982466"/>
    <w:pPr>
      <w:ind w:left="240" w:hanging="240"/>
    </w:pPr>
  </w:style>
  <w:style w:type="paragraph" w:styleId="Index2">
    <w:name w:val="index 2"/>
    <w:basedOn w:val="Normal"/>
    <w:next w:val="Normal"/>
    <w:autoRedefine/>
    <w:semiHidden/>
    <w:rsid w:val="00982466"/>
    <w:pPr>
      <w:ind w:left="480" w:hanging="240"/>
    </w:pPr>
  </w:style>
  <w:style w:type="paragraph" w:styleId="Index3">
    <w:name w:val="index 3"/>
    <w:basedOn w:val="Normal"/>
    <w:next w:val="Normal"/>
    <w:autoRedefine/>
    <w:semiHidden/>
    <w:rsid w:val="00982466"/>
    <w:pPr>
      <w:ind w:left="720" w:hanging="240"/>
    </w:pPr>
  </w:style>
  <w:style w:type="paragraph" w:styleId="Index4">
    <w:name w:val="index 4"/>
    <w:basedOn w:val="Normal"/>
    <w:next w:val="Normal"/>
    <w:autoRedefine/>
    <w:semiHidden/>
    <w:rsid w:val="00982466"/>
    <w:pPr>
      <w:ind w:left="960" w:hanging="240"/>
    </w:pPr>
  </w:style>
  <w:style w:type="paragraph" w:styleId="Index5">
    <w:name w:val="index 5"/>
    <w:basedOn w:val="Normal"/>
    <w:next w:val="Normal"/>
    <w:autoRedefine/>
    <w:semiHidden/>
    <w:rsid w:val="00982466"/>
    <w:pPr>
      <w:ind w:left="1200" w:hanging="240"/>
    </w:pPr>
  </w:style>
  <w:style w:type="paragraph" w:styleId="Index6">
    <w:name w:val="index 6"/>
    <w:basedOn w:val="Normal"/>
    <w:next w:val="Normal"/>
    <w:autoRedefine/>
    <w:semiHidden/>
    <w:rsid w:val="00982466"/>
    <w:pPr>
      <w:ind w:left="1440" w:hanging="240"/>
    </w:pPr>
  </w:style>
  <w:style w:type="paragraph" w:styleId="Index7">
    <w:name w:val="index 7"/>
    <w:basedOn w:val="Normal"/>
    <w:next w:val="Normal"/>
    <w:autoRedefine/>
    <w:semiHidden/>
    <w:rsid w:val="00982466"/>
    <w:pPr>
      <w:ind w:left="1680" w:hanging="240"/>
    </w:pPr>
  </w:style>
  <w:style w:type="paragraph" w:styleId="Index8">
    <w:name w:val="index 8"/>
    <w:basedOn w:val="Normal"/>
    <w:next w:val="Normal"/>
    <w:autoRedefine/>
    <w:semiHidden/>
    <w:rsid w:val="00982466"/>
    <w:pPr>
      <w:ind w:left="1920" w:hanging="240"/>
    </w:pPr>
  </w:style>
  <w:style w:type="paragraph" w:styleId="Index9">
    <w:name w:val="index 9"/>
    <w:basedOn w:val="Normal"/>
    <w:next w:val="Normal"/>
    <w:autoRedefine/>
    <w:semiHidden/>
    <w:rsid w:val="00982466"/>
    <w:pPr>
      <w:ind w:left="2160" w:hanging="240"/>
    </w:pPr>
  </w:style>
  <w:style w:type="paragraph" w:styleId="IndexHeading">
    <w:name w:val="index heading"/>
    <w:basedOn w:val="Normal"/>
    <w:next w:val="Index1"/>
    <w:semiHidden/>
    <w:rsid w:val="00982466"/>
    <w:rPr>
      <w:rFonts w:ascii="Cambria" w:hAnsi="Cambria"/>
      <w:b/>
      <w:bCs/>
    </w:rPr>
  </w:style>
  <w:style w:type="paragraph" w:styleId="IntenseQuote">
    <w:name w:val="Intense Quote"/>
    <w:basedOn w:val="Normal"/>
    <w:next w:val="Normal"/>
    <w:link w:val="IntenseQuoteChar"/>
    <w:uiPriority w:val="30"/>
    <w:qFormat/>
    <w:rsid w:val="0098246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982466"/>
    <w:rPr>
      <w:rFonts w:ascii="Times New Roman" w:eastAsia="Times New Roman" w:hAnsi="Times New Roman" w:cs="Times New Roman"/>
      <w:b/>
      <w:bCs/>
      <w:i/>
      <w:iCs/>
      <w:color w:val="4F81BD"/>
      <w:szCs w:val="20"/>
    </w:rPr>
  </w:style>
  <w:style w:type="paragraph" w:styleId="List">
    <w:name w:val="List"/>
    <w:basedOn w:val="Normal"/>
    <w:semiHidden/>
    <w:rsid w:val="00982466"/>
    <w:pPr>
      <w:ind w:left="360" w:hanging="360"/>
      <w:contextualSpacing/>
    </w:pPr>
  </w:style>
  <w:style w:type="paragraph" w:styleId="List2">
    <w:name w:val="List 2"/>
    <w:basedOn w:val="Normal"/>
    <w:semiHidden/>
    <w:rsid w:val="00982466"/>
    <w:pPr>
      <w:ind w:left="720" w:hanging="360"/>
      <w:contextualSpacing/>
    </w:pPr>
  </w:style>
  <w:style w:type="paragraph" w:styleId="List3">
    <w:name w:val="List 3"/>
    <w:basedOn w:val="Normal"/>
    <w:semiHidden/>
    <w:rsid w:val="00982466"/>
    <w:pPr>
      <w:ind w:left="1080" w:hanging="360"/>
      <w:contextualSpacing/>
    </w:pPr>
  </w:style>
  <w:style w:type="paragraph" w:styleId="List4">
    <w:name w:val="List 4"/>
    <w:basedOn w:val="Normal"/>
    <w:semiHidden/>
    <w:rsid w:val="00982466"/>
    <w:pPr>
      <w:ind w:left="1440" w:hanging="360"/>
      <w:contextualSpacing/>
    </w:pPr>
  </w:style>
  <w:style w:type="paragraph" w:styleId="List5">
    <w:name w:val="List 5"/>
    <w:basedOn w:val="Normal"/>
    <w:semiHidden/>
    <w:rsid w:val="00982466"/>
    <w:pPr>
      <w:ind w:left="1800" w:hanging="360"/>
      <w:contextualSpacing/>
    </w:pPr>
  </w:style>
  <w:style w:type="paragraph" w:styleId="ListBullet">
    <w:name w:val="List Bullet"/>
    <w:basedOn w:val="Normal"/>
    <w:semiHidden/>
    <w:rsid w:val="00982466"/>
    <w:pPr>
      <w:tabs>
        <w:tab w:val="num" w:pos="360"/>
      </w:tabs>
      <w:ind w:left="360" w:hanging="360"/>
      <w:contextualSpacing/>
    </w:pPr>
  </w:style>
  <w:style w:type="paragraph" w:styleId="ListBullet2">
    <w:name w:val="List Bullet 2"/>
    <w:basedOn w:val="Normal"/>
    <w:semiHidden/>
    <w:rsid w:val="00982466"/>
    <w:pPr>
      <w:tabs>
        <w:tab w:val="num" w:pos="720"/>
      </w:tabs>
      <w:ind w:left="720" w:hanging="360"/>
      <w:contextualSpacing/>
    </w:pPr>
  </w:style>
  <w:style w:type="paragraph" w:styleId="ListBullet3">
    <w:name w:val="List Bullet 3"/>
    <w:basedOn w:val="Normal"/>
    <w:semiHidden/>
    <w:rsid w:val="00982466"/>
    <w:pPr>
      <w:tabs>
        <w:tab w:val="num" w:pos="1080"/>
      </w:tabs>
      <w:ind w:left="1080" w:hanging="360"/>
      <w:contextualSpacing/>
    </w:pPr>
  </w:style>
  <w:style w:type="paragraph" w:styleId="ListBullet4">
    <w:name w:val="List Bullet 4"/>
    <w:basedOn w:val="Normal"/>
    <w:semiHidden/>
    <w:rsid w:val="00982466"/>
    <w:pPr>
      <w:tabs>
        <w:tab w:val="num" w:pos="1440"/>
      </w:tabs>
      <w:ind w:left="1440" w:hanging="360"/>
      <w:contextualSpacing/>
    </w:pPr>
  </w:style>
  <w:style w:type="paragraph" w:styleId="ListBullet5">
    <w:name w:val="List Bullet 5"/>
    <w:basedOn w:val="Normal"/>
    <w:semiHidden/>
    <w:rsid w:val="00982466"/>
    <w:pPr>
      <w:tabs>
        <w:tab w:val="num" w:pos="1800"/>
      </w:tabs>
      <w:ind w:left="1800" w:hanging="360"/>
      <w:contextualSpacing/>
    </w:pPr>
  </w:style>
  <w:style w:type="paragraph" w:styleId="ListContinue">
    <w:name w:val="List Continue"/>
    <w:basedOn w:val="Normal"/>
    <w:semiHidden/>
    <w:rsid w:val="00982466"/>
    <w:pPr>
      <w:spacing w:after="120"/>
      <w:ind w:left="360"/>
      <w:contextualSpacing/>
    </w:pPr>
  </w:style>
  <w:style w:type="paragraph" w:styleId="ListContinue2">
    <w:name w:val="List Continue 2"/>
    <w:basedOn w:val="Normal"/>
    <w:semiHidden/>
    <w:rsid w:val="00982466"/>
    <w:pPr>
      <w:spacing w:after="120"/>
      <w:ind w:left="720"/>
      <w:contextualSpacing/>
    </w:pPr>
  </w:style>
  <w:style w:type="paragraph" w:styleId="ListContinue3">
    <w:name w:val="List Continue 3"/>
    <w:basedOn w:val="Normal"/>
    <w:semiHidden/>
    <w:rsid w:val="00982466"/>
    <w:pPr>
      <w:spacing w:after="120"/>
      <w:ind w:left="1080"/>
      <w:contextualSpacing/>
    </w:pPr>
  </w:style>
  <w:style w:type="paragraph" w:styleId="ListContinue4">
    <w:name w:val="List Continue 4"/>
    <w:basedOn w:val="Normal"/>
    <w:semiHidden/>
    <w:rsid w:val="00982466"/>
    <w:pPr>
      <w:spacing w:after="120"/>
      <w:ind w:left="1440"/>
      <w:contextualSpacing/>
    </w:pPr>
  </w:style>
  <w:style w:type="paragraph" w:styleId="ListContinue5">
    <w:name w:val="List Continue 5"/>
    <w:basedOn w:val="Normal"/>
    <w:semiHidden/>
    <w:rsid w:val="00982466"/>
    <w:pPr>
      <w:spacing w:after="120"/>
      <w:ind w:left="1800"/>
      <w:contextualSpacing/>
    </w:pPr>
  </w:style>
  <w:style w:type="paragraph" w:styleId="ListNumber">
    <w:name w:val="List Number"/>
    <w:basedOn w:val="Normal"/>
    <w:semiHidden/>
    <w:rsid w:val="00982466"/>
    <w:pPr>
      <w:tabs>
        <w:tab w:val="num" w:pos="360"/>
      </w:tabs>
      <w:ind w:left="360" w:hanging="360"/>
      <w:contextualSpacing/>
    </w:pPr>
  </w:style>
  <w:style w:type="paragraph" w:styleId="ListNumber2">
    <w:name w:val="List Number 2"/>
    <w:basedOn w:val="Normal"/>
    <w:semiHidden/>
    <w:rsid w:val="00982466"/>
    <w:pPr>
      <w:tabs>
        <w:tab w:val="num" w:pos="720"/>
      </w:tabs>
      <w:ind w:left="720" w:hanging="360"/>
      <w:contextualSpacing/>
    </w:pPr>
  </w:style>
  <w:style w:type="paragraph" w:styleId="ListNumber3">
    <w:name w:val="List Number 3"/>
    <w:basedOn w:val="Normal"/>
    <w:semiHidden/>
    <w:rsid w:val="00982466"/>
    <w:pPr>
      <w:tabs>
        <w:tab w:val="num" w:pos="1080"/>
      </w:tabs>
      <w:ind w:left="1080" w:hanging="360"/>
      <w:contextualSpacing/>
    </w:pPr>
  </w:style>
  <w:style w:type="paragraph" w:styleId="ListNumber4">
    <w:name w:val="List Number 4"/>
    <w:basedOn w:val="Normal"/>
    <w:semiHidden/>
    <w:rsid w:val="00982466"/>
    <w:pPr>
      <w:tabs>
        <w:tab w:val="num" w:pos="1440"/>
      </w:tabs>
      <w:ind w:left="1440" w:hanging="360"/>
      <w:contextualSpacing/>
    </w:pPr>
  </w:style>
  <w:style w:type="paragraph" w:styleId="ListNumber5">
    <w:name w:val="List Number 5"/>
    <w:basedOn w:val="Normal"/>
    <w:semiHidden/>
    <w:rsid w:val="00982466"/>
    <w:pPr>
      <w:tabs>
        <w:tab w:val="num" w:pos="1800"/>
      </w:tabs>
      <w:ind w:left="1800" w:hanging="360"/>
      <w:contextualSpacing/>
    </w:pPr>
  </w:style>
  <w:style w:type="paragraph" w:styleId="MacroText">
    <w:name w:val="macro"/>
    <w:link w:val="MacroTextChar"/>
    <w:semiHidden/>
    <w:rsid w:val="00982466"/>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sz w:val="20"/>
      <w:szCs w:val="20"/>
    </w:rPr>
  </w:style>
  <w:style w:type="character" w:customStyle="1" w:styleId="MacroTextChar">
    <w:name w:val="Macro Text Char"/>
    <w:basedOn w:val="DefaultParagraphFont"/>
    <w:link w:val="MacroText"/>
    <w:semiHidden/>
    <w:rsid w:val="00982466"/>
    <w:rPr>
      <w:rFonts w:ascii="Courier New" w:eastAsia="Times New Roman" w:hAnsi="Courier New" w:cs="Courier New"/>
      <w:sz w:val="20"/>
      <w:szCs w:val="20"/>
    </w:rPr>
  </w:style>
  <w:style w:type="paragraph" w:styleId="MessageHeader">
    <w:name w:val="Message Header"/>
    <w:basedOn w:val="Normal"/>
    <w:link w:val="MessageHeaderChar"/>
    <w:semiHidden/>
    <w:rsid w:val="0098246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982466"/>
    <w:rPr>
      <w:rFonts w:ascii="Cambria" w:eastAsia="Times New Roman" w:hAnsi="Cambria" w:cs="Times New Roman"/>
      <w:shd w:val="pct20" w:color="auto" w:fill="auto"/>
    </w:rPr>
  </w:style>
  <w:style w:type="paragraph" w:styleId="NormalWeb">
    <w:name w:val="Normal (Web)"/>
    <w:basedOn w:val="Normal"/>
    <w:uiPriority w:val="99"/>
    <w:rsid w:val="00982466"/>
    <w:rPr>
      <w:szCs w:val="24"/>
    </w:rPr>
  </w:style>
  <w:style w:type="paragraph" w:styleId="NormalIndent">
    <w:name w:val="Normal Indent"/>
    <w:basedOn w:val="Normal"/>
    <w:semiHidden/>
    <w:rsid w:val="00982466"/>
    <w:pPr>
      <w:ind w:left="720"/>
    </w:pPr>
  </w:style>
  <w:style w:type="paragraph" w:styleId="NoteHeading">
    <w:name w:val="Note Heading"/>
    <w:basedOn w:val="Normal"/>
    <w:next w:val="Normal"/>
    <w:link w:val="NoteHeadingChar"/>
    <w:semiHidden/>
    <w:rsid w:val="00982466"/>
  </w:style>
  <w:style w:type="character" w:customStyle="1" w:styleId="NoteHeadingChar">
    <w:name w:val="Note Heading Char"/>
    <w:basedOn w:val="DefaultParagraphFont"/>
    <w:link w:val="NoteHeading"/>
    <w:semiHidden/>
    <w:rsid w:val="00982466"/>
    <w:rPr>
      <w:rFonts w:ascii="Times New Roman" w:eastAsia="Times New Roman" w:hAnsi="Times New Roman" w:cs="Times New Roman"/>
      <w:szCs w:val="20"/>
    </w:rPr>
  </w:style>
  <w:style w:type="paragraph" w:styleId="PlainText">
    <w:name w:val="Plain Text"/>
    <w:basedOn w:val="Normal"/>
    <w:link w:val="PlainTextChar"/>
    <w:semiHidden/>
    <w:rsid w:val="00982466"/>
    <w:rPr>
      <w:rFonts w:ascii="Courier New" w:hAnsi="Courier New" w:cs="Courier New"/>
      <w:sz w:val="20"/>
    </w:rPr>
  </w:style>
  <w:style w:type="character" w:customStyle="1" w:styleId="PlainTextChar">
    <w:name w:val="Plain Text Char"/>
    <w:basedOn w:val="DefaultParagraphFont"/>
    <w:link w:val="PlainText"/>
    <w:semiHidden/>
    <w:rsid w:val="00982466"/>
    <w:rPr>
      <w:rFonts w:ascii="Courier New" w:eastAsia="Times New Roman" w:hAnsi="Courier New" w:cs="Courier New"/>
      <w:sz w:val="20"/>
      <w:szCs w:val="20"/>
    </w:rPr>
  </w:style>
  <w:style w:type="paragraph" w:styleId="Quote">
    <w:name w:val="Quote"/>
    <w:basedOn w:val="Normal"/>
    <w:next w:val="Normal"/>
    <w:link w:val="QuoteChar"/>
    <w:uiPriority w:val="29"/>
    <w:qFormat/>
    <w:rsid w:val="00982466"/>
    <w:rPr>
      <w:i/>
      <w:iCs/>
      <w:color w:val="000000"/>
    </w:rPr>
  </w:style>
  <w:style w:type="character" w:customStyle="1" w:styleId="QuoteChar">
    <w:name w:val="Quote Char"/>
    <w:basedOn w:val="DefaultParagraphFont"/>
    <w:link w:val="Quote"/>
    <w:uiPriority w:val="29"/>
    <w:rsid w:val="00982466"/>
    <w:rPr>
      <w:rFonts w:ascii="Times New Roman" w:eastAsia="Times New Roman" w:hAnsi="Times New Roman" w:cs="Times New Roman"/>
      <w:i/>
      <w:iCs/>
      <w:color w:val="000000"/>
      <w:szCs w:val="20"/>
    </w:rPr>
  </w:style>
  <w:style w:type="paragraph" w:styleId="Salutation">
    <w:name w:val="Salutation"/>
    <w:basedOn w:val="Normal"/>
    <w:next w:val="Normal"/>
    <w:link w:val="SalutationChar"/>
    <w:semiHidden/>
    <w:rsid w:val="00982466"/>
  </w:style>
  <w:style w:type="character" w:customStyle="1" w:styleId="SalutationChar">
    <w:name w:val="Salutation Char"/>
    <w:basedOn w:val="DefaultParagraphFont"/>
    <w:link w:val="Salutation"/>
    <w:semiHidden/>
    <w:rsid w:val="00982466"/>
    <w:rPr>
      <w:rFonts w:ascii="Times New Roman" w:eastAsia="Times New Roman" w:hAnsi="Times New Roman" w:cs="Times New Roman"/>
      <w:szCs w:val="20"/>
    </w:rPr>
  </w:style>
  <w:style w:type="paragraph" w:styleId="Signature">
    <w:name w:val="Signature"/>
    <w:basedOn w:val="Normal"/>
    <w:link w:val="SignatureChar"/>
    <w:semiHidden/>
    <w:rsid w:val="00982466"/>
    <w:pPr>
      <w:ind w:left="4320"/>
    </w:pPr>
  </w:style>
  <w:style w:type="character" w:customStyle="1" w:styleId="SignatureChar">
    <w:name w:val="Signature Char"/>
    <w:basedOn w:val="DefaultParagraphFont"/>
    <w:link w:val="Signature"/>
    <w:semiHidden/>
    <w:rsid w:val="00982466"/>
    <w:rPr>
      <w:rFonts w:ascii="Times New Roman" w:eastAsia="Times New Roman" w:hAnsi="Times New Roman" w:cs="Times New Roman"/>
      <w:szCs w:val="20"/>
    </w:rPr>
  </w:style>
  <w:style w:type="paragraph" w:styleId="Subtitle">
    <w:name w:val="Subtitle"/>
    <w:basedOn w:val="Normal"/>
    <w:next w:val="Normal"/>
    <w:link w:val="SubtitleChar"/>
    <w:qFormat/>
    <w:rsid w:val="00982466"/>
    <w:pPr>
      <w:spacing w:after="60"/>
      <w:jc w:val="center"/>
      <w:outlineLvl w:val="1"/>
    </w:pPr>
    <w:rPr>
      <w:rFonts w:ascii="Cambria" w:hAnsi="Cambria"/>
      <w:szCs w:val="24"/>
    </w:rPr>
  </w:style>
  <w:style w:type="character" w:customStyle="1" w:styleId="SubtitleChar">
    <w:name w:val="Subtitle Char"/>
    <w:basedOn w:val="DefaultParagraphFont"/>
    <w:link w:val="Subtitle"/>
    <w:rsid w:val="00982466"/>
    <w:rPr>
      <w:rFonts w:ascii="Cambria" w:eastAsia="Times New Roman" w:hAnsi="Cambria" w:cs="Times New Roman"/>
    </w:rPr>
  </w:style>
  <w:style w:type="paragraph" w:styleId="TableofAuthorities">
    <w:name w:val="table of authorities"/>
    <w:basedOn w:val="Normal"/>
    <w:next w:val="Normal"/>
    <w:semiHidden/>
    <w:rsid w:val="00982466"/>
    <w:pPr>
      <w:ind w:left="240" w:hanging="240"/>
    </w:pPr>
  </w:style>
  <w:style w:type="paragraph" w:styleId="TableofFigures">
    <w:name w:val="table of figures"/>
    <w:basedOn w:val="Normal"/>
    <w:next w:val="Normal"/>
    <w:semiHidden/>
    <w:rsid w:val="00982466"/>
  </w:style>
  <w:style w:type="paragraph" w:styleId="Title">
    <w:name w:val="Title"/>
    <w:basedOn w:val="Normal"/>
    <w:next w:val="Normal"/>
    <w:link w:val="TitleChar"/>
    <w:qFormat/>
    <w:rsid w:val="0098246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982466"/>
    <w:rPr>
      <w:rFonts w:ascii="Cambria" w:eastAsia="Times New Roman" w:hAnsi="Cambria" w:cs="Times New Roman"/>
      <w:b/>
      <w:bCs/>
      <w:kern w:val="28"/>
      <w:sz w:val="32"/>
      <w:szCs w:val="32"/>
    </w:rPr>
  </w:style>
  <w:style w:type="paragraph" w:styleId="TOAHeading">
    <w:name w:val="toa heading"/>
    <w:basedOn w:val="Normal"/>
    <w:next w:val="Normal"/>
    <w:semiHidden/>
    <w:rsid w:val="00982466"/>
    <w:pPr>
      <w:spacing w:before="120"/>
    </w:pPr>
    <w:rPr>
      <w:rFonts w:ascii="Cambria" w:hAnsi="Cambria"/>
      <w:b/>
      <w:bCs/>
      <w:szCs w:val="24"/>
    </w:rPr>
  </w:style>
  <w:style w:type="paragraph" w:styleId="TOC1">
    <w:name w:val="toc 1"/>
    <w:basedOn w:val="Normal"/>
    <w:next w:val="Normal"/>
    <w:autoRedefine/>
    <w:semiHidden/>
    <w:rsid w:val="00982466"/>
  </w:style>
  <w:style w:type="paragraph" w:styleId="TOC2">
    <w:name w:val="toc 2"/>
    <w:basedOn w:val="Normal"/>
    <w:next w:val="Normal"/>
    <w:autoRedefine/>
    <w:semiHidden/>
    <w:rsid w:val="00982466"/>
    <w:pPr>
      <w:ind w:left="240"/>
    </w:pPr>
  </w:style>
  <w:style w:type="paragraph" w:styleId="TOC3">
    <w:name w:val="toc 3"/>
    <w:basedOn w:val="Normal"/>
    <w:next w:val="Normal"/>
    <w:autoRedefine/>
    <w:semiHidden/>
    <w:rsid w:val="00982466"/>
    <w:pPr>
      <w:ind w:left="480"/>
    </w:pPr>
  </w:style>
  <w:style w:type="paragraph" w:styleId="TOC4">
    <w:name w:val="toc 4"/>
    <w:basedOn w:val="Normal"/>
    <w:next w:val="Normal"/>
    <w:autoRedefine/>
    <w:semiHidden/>
    <w:rsid w:val="00982466"/>
    <w:pPr>
      <w:ind w:left="720"/>
    </w:pPr>
  </w:style>
  <w:style w:type="paragraph" w:styleId="TOC5">
    <w:name w:val="toc 5"/>
    <w:basedOn w:val="Normal"/>
    <w:next w:val="Normal"/>
    <w:autoRedefine/>
    <w:semiHidden/>
    <w:rsid w:val="00982466"/>
    <w:pPr>
      <w:ind w:left="960"/>
    </w:pPr>
  </w:style>
  <w:style w:type="paragraph" w:styleId="TOC6">
    <w:name w:val="toc 6"/>
    <w:basedOn w:val="Normal"/>
    <w:next w:val="Normal"/>
    <w:autoRedefine/>
    <w:semiHidden/>
    <w:rsid w:val="00982466"/>
    <w:pPr>
      <w:ind w:left="1200"/>
    </w:pPr>
  </w:style>
  <w:style w:type="paragraph" w:styleId="TOC7">
    <w:name w:val="toc 7"/>
    <w:basedOn w:val="Normal"/>
    <w:next w:val="Normal"/>
    <w:autoRedefine/>
    <w:semiHidden/>
    <w:rsid w:val="00982466"/>
    <w:pPr>
      <w:ind w:left="1440"/>
    </w:pPr>
  </w:style>
  <w:style w:type="paragraph" w:styleId="TOC8">
    <w:name w:val="toc 8"/>
    <w:basedOn w:val="Normal"/>
    <w:next w:val="Normal"/>
    <w:autoRedefine/>
    <w:semiHidden/>
    <w:rsid w:val="00982466"/>
    <w:pPr>
      <w:ind w:left="1680"/>
    </w:pPr>
  </w:style>
  <w:style w:type="paragraph" w:styleId="TOC9">
    <w:name w:val="toc 9"/>
    <w:basedOn w:val="Normal"/>
    <w:next w:val="Normal"/>
    <w:autoRedefine/>
    <w:semiHidden/>
    <w:rsid w:val="00982466"/>
    <w:pPr>
      <w:ind w:left="1920"/>
    </w:pPr>
  </w:style>
  <w:style w:type="character" w:customStyle="1" w:styleId="Heading1Char1">
    <w:name w:val="Heading 1 Char1"/>
    <w:basedOn w:val="DefaultParagraphFont"/>
    <w:link w:val="Heading1"/>
    <w:uiPriority w:val="9"/>
    <w:rsid w:val="0098246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982466"/>
    <w:pPr>
      <w:keepLines w:val="0"/>
      <w:spacing w:after="60"/>
      <w:outlineLvl w:val="9"/>
    </w:pPr>
    <w:rPr>
      <w:rFonts w:ascii="Cambria" w:eastAsia="Times New Roman" w:hAnsi="Cambria" w:cs="Times New Roman"/>
      <w:b/>
      <w:bCs/>
      <w:color w:val="auto"/>
      <w:kern w:val="32"/>
    </w:rPr>
  </w:style>
  <w:style w:type="table" w:customStyle="1" w:styleId="TableGrid31">
    <w:name w:val="Table Grid31"/>
    <w:basedOn w:val="TableNormal"/>
    <w:next w:val="TableGrid"/>
    <w:uiPriority w:val="39"/>
    <w:rsid w:val="0098246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982466"/>
  </w:style>
  <w:style w:type="table" w:customStyle="1" w:styleId="TableGrid111">
    <w:name w:val="Table Grid111"/>
    <w:basedOn w:val="TableNormal"/>
    <w:next w:val="TableGrid"/>
    <w:uiPriority w:val="59"/>
    <w:rsid w:val="00982466"/>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
    <w:name w:val="Table Grid1111"/>
    <w:basedOn w:val="TableNormal"/>
    <w:next w:val="TableGrid"/>
    <w:uiPriority w:val="39"/>
    <w:rsid w:val="00982466"/>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xcontentpasted0">
    <w:name w:val="x_x_contentpasted0"/>
    <w:basedOn w:val="DefaultParagraphFont"/>
    <w:rsid w:val="00982466"/>
  </w:style>
  <w:style w:type="numbering" w:customStyle="1" w:styleId="NoList2">
    <w:name w:val="No List2"/>
    <w:next w:val="NoList"/>
    <w:uiPriority w:val="99"/>
    <w:semiHidden/>
    <w:unhideWhenUsed/>
    <w:rsid w:val="00982466"/>
  </w:style>
  <w:style w:type="table" w:customStyle="1" w:styleId="TableGrid12">
    <w:name w:val="Table Grid12"/>
    <w:basedOn w:val="TableNormal"/>
    <w:next w:val="TableGrid"/>
    <w:uiPriority w:val="39"/>
    <w:rsid w:val="0098246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982466"/>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982466"/>
    <w:rPr>
      <w:rFonts w:ascii="Calibri" w:eastAsia="Calibri" w:hAnsi="Calibri" w:cs="Arial"/>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basedOn w:val="DefaultParagraphFont"/>
    <w:uiPriority w:val="9"/>
    <w:semiHidden/>
    <w:rsid w:val="00982466"/>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982466"/>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ioconductor.org/packages/release/bioc/html/bluster.html" TargetMode="External"/><Relationship Id="rId18" Type="http://schemas.openxmlformats.org/officeDocument/2006/relationships/footer" Target="footer1.xm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https://github.com/egenesis/Nature_2023_scRNAseq" TargetMode="External"/><Relationship Id="rId17" Type="http://schemas.openxmlformats.org/officeDocument/2006/relationships/header" Target="header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github.com/pinellolab/CRISPResso2/blob/master/scripts/plotCustomAllelePlot.py"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ithub.com/egenesis/Nature_2023_RNA-seq" TargetMode="External"/><Relationship Id="rId24" Type="http://schemas.openxmlformats.org/officeDocument/2006/relationships/image" Target="media/image6.tiff"/><Relationship Id="rId5" Type="http://schemas.openxmlformats.org/officeDocument/2006/relationships/numbering" Target="numbering.xml"/><Relationship Id="rId15" Type="http://schemas.openxmlformats.org/officeDocument/2006/relationships/hyperlink" Target="https://doi.org/10.1093/bioinformatics/bty560"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ithub.com/egenesis/Nature_2023_scRNAseq"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7999da-ee58-4ffe-8849-06f20f148585">
      <Terms xmlns="http://schemas.microsoft.com/office/infopath/2007/PartnerControls"/>
    </lcf76f155ced4ddcb4097134ff3c332f>
    <l xmlns="1f7999da-ee58-4ffe-8849-06f20f148585" xsi:nil="true"/>
    <TaxCatchAll xmlns="256ff4a1-f4e5-416f-b137-cc9801791819" xsi:nil="true"/>
    <SharedWithUsers xmlns="256ff4a1-f4e5-416f-b137-cc9801791819">
      <UserInfo>
        <DisplayName>Sagar Chhangawala</DisplayName>
        <AccountId>4978</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2668078D4A3E4BA8D00945CF054412" ma:contentTypeVersion="25" ma:contentTypeDescription="Create a new document." ma:contentTypeScope="" ma:versionID="b2baf351023277170b10223e5d8deef1">
  <xsd:schema xmlns:xsd="http://www.w3.org/2001/XMLSchema" xmlns:xs="http://www.w3.org/2001/XMLSchema" xmlns:p="http://schemas.microsoft.com/office/2006/metadata/properties" xmlns:ns2="1f7999da-ee58-4ffe-8849-06f20f148585" xmlns:ns3="256ff4a1-f4e5-416f-b137-cc9801791819" targetNamespace="http://schemas.microsoft.com/office/2006/metadata/properties" ma:root="true" ma:fieldsID="ea07446d51a730016c554f6c05dd2252" ns2:_="" ns3:_="">
    <xsd:import namespace="1f7999da-ee58-4ffe-8849-06f20f148585"/>
    <xsd:import namespace="256ff4a1-f4e5-416f-b137-cc980179181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 minOccurs="0"/>
                <xsd:element ref="ns2:feb06589-c22d-460a-9e2b-a84f27069de3CountryOrRegion" minOccurs="0"/>
                <xsd:element ref="ns2:feb06589-c22d-460a-9e2b-a84f27069de3State" minOccurs="0"/>
                <xsd:element ref="ns2:feb06589-c22d-460a-9e2b-a84f27069de3City" minOccurs="0"/>
                <xsd:element ref="ns2:feb06589-c22d-460a-9e2b-a84f27069de3PostalCode" minOccurs="0"/>
                <xsd:element ref="ns2:feb06589-c22d-460a-9e2b-a84f27069de3Street" minOccurs="0"/>
                <xsd:element ref="ns2:feb06589-c22d-460a-9e2b-a84f27069de3GeoLoc" minOccurs="0"/>
                <xsd:element ref="ns2:feb06589-c22d-460a-9e2b-a84f27069de3DispNam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999da-ee58-4ffe-8849-06f20f1485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 ma:index="20" nillable="true" ma:displayName="l" ma:format="Dropdown" ma:internalName="l">
      <xsd:simpleType>
        <xsd:restriction base="dms:Unknown"/>
      </xsd:simpleType>
    </xsd:element>
    <xsd:element name="feb06589-c22d-460a-9e2b-a84f27069de3CountryOrRegion" ma:index="21" nillable="true" ma:displayName="l: Country/Region" ma:internalName="CountryOrRegion" ma:readOnly="true">
      <xsd:simpleType>
        <xsd:restriction base="dms:Text"/>
      </xsd:simpleType>
    </xsd:element>
    <xsd:element name="feb06589-c22d-460a-9e2b-a84f27069de3State" ma:index="22" nillable="true" ma:displayName="l: State" ma:internalName="State" ma:readOnly="true">
      <xsd:simpleType>
        <xsd:restriction base="dms:Text"/>
      </xsd:simpleType>
    </xsd:element>
    <xsd:element name="feb06589-c22d-460a-9e2b-a84f27069de3City" ma:index="23" nillable="true" ma:displayName="l: City" ma:internalName="City" ma:readOnly="true">
      <xsd:simpleType>
        <xsd:restriction base="dms:Text"/>
      </xsd:simpleType>
    </xsd:element>
    <xsd:element name="feb06589-c22d-460a-9e2b-a84f27069de3PostalCode" ma:index="24" nillable="true" ma:displayName="l: Postal Code" ma:internalName="PostalCode" ma:readOnly="true">
      <xsd:simpleType>
        <xsd:restriction base="dms:Text"/>
      </xsd:simpleType>
    </xsd:element>
    <xsd:element name="feb06589-c22d-460a-9e2b-a84f27069de3Street" ma:index="25" nillable="true" ma:displayName="l: Street" ma:internalName="Street" ma:readOnly="true">
      <xsd:simpleType>
        <xsd:restriction base="dms:Text"/>
      </xsd:simpleType>
    </xsd:element>
    <xsd:element name="feb06589-c22d-460a-9e2b-a84f27069de3GeoLoc" ma:index="26" nillable="true" ma:displayName="l: Coordinates" ma:internalName="GeoLoc" ma:readOnly="true">
      <xsd:simpleType>
        <xsd:restriction base="dms:Unknown"/>
      </xsd:simpleType>
    </xsd:element>
    <xsd:element name="feb06589-c22d-460a-9e2b-a84f27069de3DispName" ma:index="27" nillable="true" ma:displayName="l: Name" ma:internalName="DispName" ma:readOnly="true">
      <xsd:simpleType>
        <xsd:restriction base="dms:Text"/>
      </xsd:simpleType>
    </xsd:element>
    <xsd:element name="MediaLengthInSeconds" ma:index="28" nillable="true" ma:displayName="Length (seconds)" ma:internalName="MediaLengthInSeconds" ma:readOnly="true">
      <xsd:simpleType>
        <xsd:restriction base="dms:Unknow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4602c10a-03c5-40b9-ba3f-3edfa4adc7b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6ff4a1-f4e5-416f-b137-cc98017918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31" nillable="true" ma:displayName="Taxonomy Catch All Column" ma:hidden="true" ma:list="{d015be12-b9dc-46df-8e21-dd4b3aa18619}" ma:internalName="TaxCatchAll" ma:showField="CatchAllData" ma:web="256ff4a1-f4e5-416f-b137-cc98017918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8E7C03-5458-4564-B464-009ADBE7D823}">
  <ds:schemaRefs>
    <ds:schemaRef ds:uri="http://schemas.openxmlformats.org/officeDocument/2006/bibliography"/>
  </ds:schemaRefs>
</ds:datastoreItem>
</file>

<file path=customXml/itemProps2.xml><?xml version="1.0" encoding="utf-8"?>
<ds:datastoreItem xmlns:ds="http://schemas.openxmlformats.org/officeDocument/2006/customXml" ds:itemID="{240ABAFA-5899-4109-89EF-017BC4147225}">
  <ds:schemaRefs>
    <ds:schemaRef ds:uri="http://schemas.microsoft.com/office/2006/metadata/properties"/>
    <ds:schemaRef ds:uri="http://schemas.microsoft.com/office/infopath/2007/PartnerControls"/>
    <ds:schemaRef ds:uri="1f7999da-ee58-4ffe-8849-06f20f148585"/>
    <ds:schemaRef ds:uri="256ff4a1-f4e5-416f-b137-cc9801791819"/>
  </ds:schemaRefs>
</ds:datastoreItem>
</file>

<file path=customXml/itemProps3.xml><?xml version="1.0" encoding="utf-8"?>
<ds:datastoreItem xmlns:ds="http://schemas.openxmlformats.org/officeDocument/2006/customXml" ds:itemID="{9C7C5262-7729-4F8E-807B-D168E18DA8D2}">
  <ds:schemaRefs>
    <ds:schemaRef ds:uri="http://schemas.microsoft.com/sharepoint/v3/contenttype/forms"/>
  </ds:schemaRefs>
</ds:datastoreItem>
</file>

<file path=customXml/itemProps4.xml><?xml version="1.0" encoding="utf-8"?>
<ds:datastoreItem xmlns:ds="http://schemas.openxmlformats.org/officeDocument/2006/customXml" ds:itemID="{9B654516-C0D5-4540-87D2-E6393E6C8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999da-ee58-4ffe-8849-06f20f148585"/>
    <ds:schemaRef ds:uri="256ff4a1-f4e5-416f-b137-cc98017918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15961</Words>
  <Characters>90982</Characters>
  <Application>Microsoft Office Word</Application>
  <DocSecurity>0</DocSecurity>
  <Lines>758</Lines>
  <Paragraphs>213</Paragraphs>
  <ScaleCrop>false</ScaleCrop>
  <Company/>
  <LinksUpToDate>false</LinksUpToDate>
  <CharactersWithSpaces>106730</CharactersWithSpaces>
  <SharedDoc>false</SharedDoc>
  <HLinks>
    <vt:vector size="48" baseType="variant">
      <vt:variant>
        <vt:i4>1310735</vt:i4>
      </vt:variant>
      <vt:variant>
        <vt:i4>90</vt:i4>
      </vt:variant>
      <vt:variant>
        <vt:i4>0</vt:i4>
      </vt:variant>
      <vt:variant>
        <vt:i4>5</vt:i4>
      </vt:variant>
      <vt:variant>
        <vt:lpwstr>https://github.com/pinellolab/CRISPResso2/blob/master/scripts/plotCustomAllelePlot.py</vt:lpwstr>
      </vt:variant>
      <vt:variant>
        <vt:lpwstr/>
      </vt:variant>
      <vt:variant>
        <vt:i4>5767233</vt:i4>
      </vt:variant>
      <vt:variant>
        <vt:i4>84</vt:i4>
      </vt:variant>
      <vt:variant>
        <vt:i4>0</vt:i4>
      </vt:variant>
      <vt:variant>
        <vt:i4>5</vt:i4>
      </vt:variant>
      <vt:variant>
        <vt:lpwstr>https://doi.org/10.1093/bioinformatics/bty560</vt:lpwstr>
      </vt:variant>
      <vt:variant>
        <vt:lpwstr/>
      </vt:variant>
      <vt:variant>
        <vt:i4>8257648</vt:i4>
      </vt:variant>
      <vt:variant>
        <vt:i4>81</vt:i4>
      </vt:variant>
      <vt:variant>
        <vt:i4>0</vt:i4>
      </vt:variant>
      <vt:variant>
        <vt:i4>5</vt:i4>
      </vt:variant>
      <vt:variant>
        <vt:lpwstr>https://github.com/egenesis/Nature_2023_scRNAseq</vt:lpwstr>
      </vt:variant>
      <vt:variant>
        <vt:lpwstr/>
      </vt:variant>
      <vt:variant>
        <vt:i4>6225939</vt:i4>
      </vt:variant>
      <vt:variant>
        <vt:i4>66</vt:i4>
      </vt:variant>
      <vt:variant>
        <vt:i4>0</vt:i4>
      </vt:variant>
      <vt:variant>
        <vt:i4>5</vt:i4>
      </vt:variant>
      <vt:variant>
        <vt:lpwstr>https://www.bioconductor.org/packages/release/bioc/html/bluster.html</vt:lpwstr>
      </vt:variant>
      <vt:variant>
        <vt:lpwstr/>
      </vt:variant>
      <vt:variant>
        <vt:i4>8257648</vt:i4>
      </vt:variant>
      <vt:variant>
        <vt:i4>45</vt:i4>
      </vt:variant>
      <vt:variant>
        <vt:i4>0</vt:i4>
      </vt:variant>
      <vt:variant>
        <vt:i4>5</vt:i4>
      </vt:variant>
      <vt:variant>
        <vt:lpwstr>https://github.com/egenesis/Nature_2023_scRNAseq</vt:lpwstr>
      </vt:variant>
      <vt:variant>
        <vt:lpwstr/>
      </vt:variant>
      <vt:variant>
        <vt:i4>5701653</vt:i4>
      </vt:variant>
      <vt:variant>
        <vt:i4>42</vt:i4>
      </vt:variant>
      <vt:variant>
        <vt:i4>0</vt:i4>
      </vt:variant>
      <vt:variant>
        <vt:i4>5</vt:i4>
      </vt:variant>
      <vt:variant>
        <vt:lpwstr>https://github.com/egenesis/Nature_2023_RNA-seq</vt:lpwstr>
      </vt:variant>
      <vt:variant>
        <vt:lpwstr/>
      </vt:variant>
      <vt:variant>
        <vt:i4>6619145</vt:i4>
      </vt:variant>
      <vt:variant>
        <vt:i4>3</vt:i4>
      </vt:variant>
      <vt:variant>
        <vt:i4>0</vt:i4>
      </vt:variant>
      <vt:variant>
        <vt:i4>5</vt:i4>
      </vt:variant>
      <vt:variant>
        <vt:lpwstr>mailto:wenning.qin@egenesisbio.com</vt:lpwstr>
      </vt:variant>
      <vt:variant>
        <vt:lpwstr/>
      </vt:variant>
      <vt:variant>
        <vt:i4>1572990</vt:i4>
      </vt:variant>
      <vt:variant>
        <vt:i4>0</vt:i4>
      </vt:variant>
      <vt:variant>
        <vt:i4>0</vt:i4>
      </vt:variant>
      <vt:variant>
        <vt:i4>5</vt:i4>
      </vt:variant>
      <vt:variant>
        <vt:lpwstr>mailto:Susan.Low@egenesisbio.com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Sagar Chhangawala</dc:creator>
  <cp:keywords/>
  <dc:description/>
  <cp:lastModifiedBy>Wenning Qin</cp:lastModifiedBy>
  <cp:revision>4</cp:revision>
  <dcterms:created xsi:type="dcterms:W3CDTF">2023-09-14T02:24:00Z</dcterms:created>
  <dcterms:modified xsi:type="dcterms:W3CDTF">2023-09-14T02:28:00Z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0x010100F42668078D4A3E4BA8D00945CF054412</vt:lpwstr>
  </property>
  <property fmtid="{D5CDD505-2E9C-101B-9397-08002B2CF9AE}" pid="3" name="MediaServiceImageTags">
    <vt:lpwstr/>
  </property>
  <property fmtid="{D5CDD505-2E9C-101B-9397-08002B2CF9AE}" pid="4" name="ZOTERO_PREF_1">
    <vt:lpwstr>&lt;data data-version="3" zotero-version="6.0.26"&gt;&lt;session id="Z5uhX0xh"/&gt;&lt;style id="http://www.zotero.org/styles/nature" hasBibliography="1" bibliographyStyleHasBeenSet="1"/&gt;&lt;prefs&gt;&lt;pref name="fieldType" value="Field"/&gt;&lt;/prefs&gt;&lt;/data&gt;</vt:lpwstr>
  </property>
</Properties>
</file>