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B9CDE" w14:textId="77777777" w:rsidR="00364BB3" w:rsidRDefault="00364BB3" w:rsidP="00364BB3">
      <w:pPr>
        <w:rPr>
          <w:b/>
          <w:bCs/>
          <w:sz w:val="24"/>
          <w:szCs w:val="24"/>
          <w:lang w:val="en-GB"/>
        </w:rPr>
      </w:pPr>
      <w:r>
        <w:rPr>
          <w:b/>
          <w:bCs/>
          <w:sz w:val="24"/>
          <w:szCs w:val="24"/>
          <w:lang w:val="en-GB"/>
        </w:rPr>
        <w:t>Supplementary information for:</w:t>
      </w:r>
    </w:p>
    <w:p w14:paraId="63BDBD13" w14:textId="77777777" w:rsidR="00364BB3" w:rsidRDefault="00364BB3" w:rsidP="00364BB3">
      <w:pPr>
        <w:rPr>
          <w:b/>
          <w:bCs/>
          <w:sz w:val="24"/>
          <w:szCs w:val="24"/>
          <w:lang w:val="en-GB"/>
        </w:rPr>
      </w:pPr>
    </w:p>
    <w:p w14:paraId="010B663C" w14:textId="77777777" w:rsidR="00364BB3" w:rsidRPr="008E2078" w:rsidRDefault="00364BB3" w:rsidP="00364BB3">
      <w:pPr>
        <w:rPr>
          <w:b/>
          <w:bCs/>
          <w:sz w:val="32"/>
          <w:szCs w:val="32"/>
          <w:lang w:val="en-GB"/>
        </w:rPr>
      </w:pPr>
      <w:r w:rsidRPr="008E2078">
        <w:rPr>
          <w:b/>
          <w:bCs/>
          <w:sz w:val="32"/>
          <w:szCs w:val="32"/>
          <w:lang w:val="en-GB"/>
        </w:rPr>
        <w:t>Fossil evidence for the pharyngeal origin of the vertebrate pectoral girdle</w:t>
      </w:r>
    </w:p>
    <w:p w14:paraId="2D5DC797" w14:textId="77777777" w:rsidR="00364BB3" w:rsidRPr="008E2078" w:rsidRDefault="00364BB3" w:rsidP="00364BB3">
      <w:pPr>
        <w:rPr>
          <w:b/>
          <w:bCs/>
          <w:sz w:val="32"/>
          <w:szCs w:val="32"/>
          <w:lang w:val="en-GB"/>
        </w:rPr>
      </w:pPr>
    </w:p>
    <w:p w14:paraId="01BEC3C0" w14:textId="77777777" w:rsidR="00364BB3" w:rsidRPr="008E2078" w:rsidRDefault="00364BB3" w:rsidP="00364BB3">
      <w:pPr>
        <w:pStyle w:val="Authors"/>
        <w:spacing w:line="360" w:lineRule="auto"/>
        <w:jc w:val="left"/>
        <w:rPr>
          <w:lang w:val="en-GB"/>
        </w:rPr>
      </w:pPr>
      <w:r w:rsidRPr="008E2078">
        <w:rPr>
          <w:lang w:val="en-GB"/>
        </w:rPr>
        <w:t>Martin D Brazeau</w:t>
      </w:r>
      <w:r w:rsidRPr="008E2078">
        <w:rPr>
          <w:vertAlign w:val="superscript"/>
          <w:lang w:val="en-GB"/>
        </w:rPr>
        <w:t>1,2</w:t>
      </w:r>
      <w:r w:rsidRPr="008E2078">
        <w:rPr>
          <w:lang w:val="en-GB"/>
        </w:rPr>
        <w:t>, Marco Castiello</w:t>
      </w:r>
      <w:r w:rsidRPr="008E2078">
        <w:rPr>
          <w:vertAlign w:val="superscript"/>
          <w:lang w:val="en-GB"/>
        </w:rPr>
        <w:t>1,3</w:t>
      </w:r>
      <w:r w:rsidRPr="008E2078">
        <w:rPr>
          <w:lang w:val="en-GB"/>
        </w:rPr>
        <w:t>, Amin El Fassi El Fehri</w:t>
      </w:r>
      <w:r w:rsidRPr="008E2078">
        <w:rPr>
          <w:vertAlign w:val="superscript"/>
          <w:lang w:val="en-GB"/>
        </w:rPr>
        <w:t>1</w:t>
      </w:r>
      <w:r w:rsidRPr="008E2078">
        <w:rPr>
          <w:lang w:val="en-GB"/>
        </w:rPr>
        <w:t>, Louis Hamilton</w:t>
      </w:r>
      <w:r w:rsidRPr="008E2078">
        <w:rPr>
          <w:vertAlign w:val="superscript"/>
          <w:lang w:val="en-GB"/>
        </w:rPr>
        <w:t>1</w:t>
      </w:r>
      <w:r w:rsidRPr="008E2078">
        <w:rPr>
          <w:lang w:val="en-GB"/>
        </w:rPr>
        <w:t>, Alexander O Ivanov</w:t>
      </w:r>
      <w:r w:rsidRPr="008E2078">
        <w:rPr>
          <w:vertAlign w:val="superscript"/>
          <w:lang w:val="en-GB"/>
        </w:rPr>
        <w:t>4</w:t>
      </w:r>
      <w:r>
        <w:rPr>
          <w:vertAlign w:val="superscript"/>
          <w:lang w:val="en-GB"/>
        </w:rPr>
        <w:t>,5</w:t>
      </w:r>
      <w:r w:rsidRPr="008E2078">
        <w:rPr>
          <w:lang w:val="en-GB"/>
        </w:rPr>
        <w:t>, Zerina Johanson</w:t>
      </w:r>
      <w:r w:rsidRPr="008E2078">
        <w:rPr>
          <w:vertAlign w:val="superscript"/>
          <w:lang w:val="en-GB"/>
        </w:rPr>
        <w:t>2</w:t>
      </w:r>
      <w:r w:rsidRPr="008E2078">
        <w:rPr>
          <w:lang w:val="en-GB"/>
        </w:rPr>
        <w:t>, Matt Friedman</w:t>
      </w:r>
      <w:r>
        <w:rPr>
          <w:vertAlign w:val="superscript"/>
          <w:lang w:val="en-GB"/>
        </w:rPr>
        <w:t>6</w:t>
      </w:r>
    </w:p>
    <w:p w14:paraId="0E685E34" w14:textId="77777777" w:rsidR="00364BB3" w:rsidRPr="008E2078" w:rsidRDefault="00364BB3" w:rsidP="00364BB3">
      <w:pPr>
        <w:pStyle w:val="Paragraph"/>
        <w:tabs>
          <w:tab w:val="left" w:pos="8130"/>
        </w:tabs>
        <w:spacing w:line="360" w:lineRule="auto"/>
        <w:ind w:firstLine="0"/>
        <w:rPr>
          <w:b/>
          <w:lang w:val="en-GB"/>
        </w:rPr>
      </w:pPr>
      <w:r w:rsidRPr="008E2078">
        <w:rPr>
          <w:b/>
          <w:lang w:val="en-GB"/>
        </w:rPr>
        <w:tab/>
      </w:r>
    </w:p>
    <w:p w14:paraId="54F2AAA0" w14:textId="77777777" w:rsidR="00364BB3" w:rsidRPr="008E2078" w:rsidRDefault="00364BB3" w:rsidP="00364BB3">
      <w:pPr>
        <w:pStyle w:val="Paragraph"/>
        <w:spacing w:line="360" w:lineRule="auto"/>
        <w:ind w:left="142" w:hanging="142"/>
        <w:rPr>
          <w:lang w:val="en-GB"/>
        </w:rPr>
      </w:pPr>
      <w:r w:rsidRPr="008E2078">
        <w:rPr>
          <w:vertAlign w:val="superscript"/>
          <w:lang w:val="en-GB"/>
        </w:rPr>
        <w:t>1</w:t>
      </w:r>
      <w:r>
        <w:rPr>
          <w:vertAlign w:val="superscript"/>
          <w:lang w:val="en-GB"/>
        </w:rPr>
        <w:t xml:space="preserve"> </w:t>
      </w:r>
      <w:r w:rsidRPr="008E2078">
        <w:rPr>
          <w:lang w:val="en-GB"/>
        </w:rPr>
        <w:t xml:space="preserve">Department of Life Sciences, Imperial College London; Silwood Park Campus, Buckhurst Road, Ascot, SL5 7PY, United Kingdom </w:t>
      </w:r>
    </w:p>
    <w:p w14:paraId="7C889805" w14:textId="77777777" w:rsidR="00364BB3" w:rsidRPr="008E2078" w:rsidRDefault="00364BB3" w:rsidP="00364BB3">
      <w:pPr>
        <w:pStyle w:val="Paragraph"/>
        <w:spacing w:line="360" w:lineRule="auto"/>
        <w:ind w:left="142" w:hanging="142"/>
        <w:rPr>
          <w:lang w:val="en-GB"/>
        </w:rPr>
      </w:pPr>
      <w:r w:rsidRPr="008E2078">
        <w:rPr>
          <w:vertAlign w:val="superscript"/>
          <w:lang w:val="en-GB"/>
        </w:rPr>
        <w:t>2</w:t>
      </w:r>
      <w:r>
        <w:rPr>
          <w:vertAlign w:val="superscript"/>
          <w:lang w:val="en-GB"/>
        </w:rPr>
        <w:t xml:space="preserve"> </w:t>
      </w:r>
      <w:r w:rsidRPr="008E2078">
        <w:rPr>
          <w:lang w:val="en-GB"/>
        </w:rPr>
        <w:t>The Natural History Museum; Cromwell Road, London, SW7 5BD</w:t>
      </w:r>
      <w:r>
        <w:rPr>
          <w:lang w:val="en-GB"/>
        </w:rPr>
        <w:t>, United Kingdom</w:t>
      </w:r>
    </w:p>
    <w:p w14:paraId="1F3D02E3" w14:textId="77777777" w:rsidR="00364BB3" w:rsidRPr="008E2078" w:rsidRDefault="00364BB3" w:rsidP="00364BB3">
      <w:pPr>
        <w:pStyle w:val="Paragraph"/>
        <w:spacing w:line="360" w:lineRule="auto"/>
        <w:ind w:left="142" w:hanging="142"/>
        <w:rPr>
          <w:lang w:val="en-GB"/>
        </w:rPr>
      </w:pPr>
      <w:r w:rsidRPr="008E2078">
        <w:rPr>
          <w:vertAlign w:val="superscript"/>
          <w:lang w:val="en-GB"/>
        </w:rPr>
        <w:t>3</w:t>
      </w:r>
      <w:r>
        <w:rPr>
          <w:vertAlign w:val="superscript"/>
          <w:lang w:val="en-GB"/>
        </w:rPr>
        <w:t xml:space="preserve"> </w:t>
      </w:r>
      <w:r w:rsidRPr="009F1AD0">
        <w:t>London Academy of Excellence Lilywhite House, 780 High Rd, London N17 0BX, United Kingdom</w:t>
      </w:r>
    </w:p>
    <w:p w14:paraId="02A476BD" w14:textId="77777777" w:rsidR="00364BB3" w:rsidRPr="002A0E9A" w:rsidRDefault="00364BB3" w:rsidP="00364BB3">
      <w:pPr>
        <w:pStyle w:val="Paragraph"/>
        <w:spacing w:line="360" w:lineRule="auto"/>
        <w:ind w:left="142" w:hanging="142"/>
        <w:rPr>
          <w:lang w:val="en-GB"/>
        </w:rPr>
      </w:pPr>
      <w:r w:rsidRPr="008E2078">
        <w:rPr>
          <w:vertAlign w:val="superscript"/>
          <w:lang w:val="en-GB"/>
        </w:rPr>
        <w:t>4</w:t>
      </w:r>
      <w:r>
        <w:rPr>
          <w:vertAlign w:val="superscript"/>
          <w:lang w:val="en-GB"/>
        </w:rPr>
        <w:t xml:space="preserve"> </w:t>
      </w:r>
      <w:r w:rsidRPr="002A0E9A">
        <w:rPr>
          <w:lang w:val="en-GB"/>
        </w:rPr>
        <w:t>Department of Sedimentary Geology, Institute of Earth Sciences, St. Petersburg State University, 16 Line 29, St. Petersburg 199178, Russia</w:t>
      </w:r>
    </w:p>
    <w:p w14:paraId="7A6BF3F1" w14:textId="77777777" w:rsidR="00364BB3" w:rsidRPr="00846BE0" w:rsidRDefault="00364BB3" w:rsidP="00364BB3">
      <w:pPr>
        <w:pStyle w:val="Paragraph"/>
        <w:spacing w:line="360" w:lineRule="auto"/>
        <w:ind w:left="142" w:hanging="142"/>
        <w:rPr>
          <w:lang w:val="en-GB"/>
        </w:rPr>
      </w:pPr>
      <w:r>
        <w:rPr>
          <w:vertAlign w:val="superscript"/>
          <w:lang w:val="en-GB"/>
        </w:rPr>
        <w:t>5</w:t>
      </w:r>
      <w:r w:rsidRPr="00846BE0">
        <w:rPr>
          <w:lang w:val="en-GB"/>
        </w:rPr>
        <w:t xml:space="preserve"> Institute of Geology and Petroleum Technologies, Kazan Federal University, </w:t>
      </w:r>
      <w:proofErr w:type="spellStart"/>
      <w:r w:rsidRPr="00846BE0">
        <w:rPr>
          <w:lang w:val="en-GB"/>
        </w:rPr>
        <w:t>Kremlevskaya</w:t>
      </w:r>
      <w:proofErr w:type="spellEnd"/>
      <w:r w:rsidRPr="00846BE0">
        <w:rPr>
          <w:lang w:val="en-GB"/>
        </w:rPr>
        <w:t xml:space="preserve"> St., 4/5, Kazan 420008, Russia </w:t>
      </w:r>
    </w:p>
    <w:p w14:paraId="1A7A691B" w14:textId="77777777" w:rsidR="00364BB3" w:rsidRPr="008E2078" w:rsidRDefault="00364BB3" w:rsidP="00364BB3">
      <w:pPr>
        <w:pStyle w:val="Paragraph"/>
        <w:spacing w:line="360" w:lineRule="auto"/>
        <w:ind w:left="142" w:hanging="142"/>
        <w:rPr>
          <w:lang w:val="en-GB"/>
        </w:rPr>
      </w:pPr>
      <w:r>
        <w:rPr>
          <w:vertAlign w:val="superscript"/>
          <w:lang w:val="en-GB"/>
        </w:rPr>
        <w:t xml:space="preserve">6 </w:t>
      </w:r>
      <w:r w:rsidRPr="008E2078">
        <w:rPr>
          <w:lang w:val="en-GB"/>
        </w:rPr>
        <w:t xml:space="preserve">Museum of </w:t>
      </w:r>
      <w:proofErr w:type="spellStart"/>
      <w:r w:rsidRPr="008E2078">
        <w:rPr>
          <w:lang w:val="en-GB"/>
        </w:rPr>
        <w:t>Paleontology</w:t>
      </w:r>
      <w:proofErr w:type="spellEnd"/>
      <w:r w:rsidRPr="008E2078">
        <w:rPr>
          <w:lang w:val="en-GB"/>
        </w:rPr>
        <w:t xml:space="preserve"> and Department of Earth and Environmental Sciences; North University Avenue, Ann Arbor, MI 48109, USA</w:t>
      </w:r>
    </w:p>
    <w:p w14:paraId="651EE149" w14:textId="77777777" w:rsidR="00364BB3" w:rsidRDefault="00364BB3" w:rsidP="00364BB3">
      <w:pPr>
        <w:pStyle w:val="Paragraph"/>
        <w:ind w:firstLine="0"/>
        <w:rPr>
          <w:lang w:val="en-GB"/>
        </w:rPr>
      </w:pPr>
      <w:r w:rsidRPr="008E2078">
        <w:rPr>
          <w:lang w:val="en-GB"/>
        </w:rPr>
        <w:t xml:space="preserve">*Corresponding author. Email: </w:t>
      </w:r>
      <w:hyperlink r:id="rId6" w:history="1">
        <w:r w:rsidRPr="00F11007">
          <w:rPr>
            <w:rStyle w:val="Hyperlink"/>
            <w:lang w:val="en-GB"/>
          </w:rPr>
          <w:t>m.brazeau@imperial.ac.uk</w:t>
        </w:r>
      </w:hyperlink>
    </w:p>
    <w:p w14:paraId="6CB59B5D" w14:textId="77777777" w:rsidR="00364BB3" w:rsidRDefault="00364BB3" w:rsidP="00364BB3">
      <w:pPr>
        <w:pStyle w:val="Paragraph"/>
        <w:ind w:firstLine="0"/>
        <w:rPr>
          <w:lang w:val="en-GB"/>
        </w:rPr>
      </w:pPr>
    </w:p>
    <w:p w14:paraId="0E162391" w14:textId="77777777" w:rsidR="00364BB3" w:rsidRDefault="00364BB3" w:rsidP="00364BB3">
      <w:pPr>
        <w:pStyle w:val="Paragraph"/>
        <w:ind w:firstLine="0"/>
        <w:rPr>
          <w:b/>
          <w:bCs/>
          <w:lang w:val="en-GB"/>
        </w:rPr>
      </w:pPr>
      <w:r>
        <w:rPr>
          <w:b/>
          <w:bCs/>
          <w:lang w:val="en-GB"/>
        </w:rPr>
        <w:t>Contents</w:t>
      </w:r>
    </w:p>
    <w:p w14:paraId="025F30FF" w14:textId="77777777" w:rsidR="00364BB3" w:rsidRDefault="00364BB3" w:rsidP="00364BB3">
      <w:pPr>
        <w:pStyle w:val="Paragraph"/>
        <w:ind w:firstLine="0"/>
        <w:rPr>
          <w:b/>
          <w:bCs/>
          <w:lang w:val="en-GB"/>
        </w:rPr>
      </w:pPr>
      <w:r>
        <w:rPr>
          <w:b/>
          <w:bCs/>
          <w:lang w:val="en-GB"/>
        </w:rPr>
        <w:t>1. Additional specimen information</w:t>
      </w:r>
    </w:p>
    <w:p w14:paraId="18E74669" w14:textId="77777777" w:rsidR="00364BB3" w:rsidRDefault="00364BB3" w:rsidP="00364BB3">
      <w:pPr>
        <w:pStyle w:val="Paragraph"/>
        <w:ind w:firstLine="0"/>
        <w:rPr>
          <w:b/>
          <w:bCs/>
          <w:lang w:val="en-GB"/>
        </w:rPr>
      </w:pPr>
      <w:r>
        <w:rPr>
          <w:b/>
          <w:bCs/>
          <w:lang w:val="en-GB"/>
        </w:rPr>
        <w:t>2. Supplementary phylogenetic results</w:t>
      </w:r>
    </w:p>
    <w:p w14:paraId="7B84DE38" w14:textId="77777777" w:rsidR="00364BB3" w:rsidRDefault="00364BB3" w:rsidP="00364BB3">
      <w:pPr>
        <w:pStyle w:val="Paragraph"/>
        <w:ind w:firstLine="0"/>
        <w:rPr>
          <w:b/>
          <w:bCs/>
          <w:lang w:val="en-GB"/>
        </w:rPr>
      </w:pPr>
      <w:r>
        <w:rPr>
          <w:b/>
          <w:bCs/>
          <w:lang w:val="en-GB"/>
        </w:rPr>
        <w:t>3. Supplementary references</w:t>
      </w:r>
    </w:p>
    <w:p w14:paraId="334E0467" w14:textId="77777777" w:rsidR="00364BB3" w:rsidRDefault="00364BB3" w:rsidP="00364BB3">
      <w:pPr>
        <w:rPr>
          <w:rFonts w:eastAsia="Times New Roman"/>
          <w:b/>
          <w:bCs/>
          <w:sz w:val="24"/>
          <w:szCs w:val="24"/>
          <w:lang w:val="en-GB"/>
        </w:rPr>
      </w:pPr>
      <w:r>
        <w:rPr>
          <w:b/>
          <w:bCs/>
          <w:lang w:val="en-GB"/>
        </w:rPr>
        <w:br w:type="page"/>
      </w:r>
    </w:p>
    <w:p w14:paraId="530BB936" w14:textId="77777777" w:rsidR="00364BB3" w:rsidRDefault="00364BB3" w:rsidP="00364BB3">
      <w:pPr>
        <w:pStyle w:val="Paragraph"/>
        <w:ind w:firstLine="0"/>
        <w:rPr>
          <w:b/>
          <w:bCs/>
          <w:lang w:val="en-GB"/>
        </w:rPr>
      </w:pPr>
      <w:r>
        <w:rPr>
          <w:b/>
          <w:bCs/>
          <w:lang w:val="en-GB"/>
        </w:rPr>
        <w:lastRenderedPageBreak/>
        <w:t>1. Additional specimen information</w:t>
      </w:r>
    </w:p>
    <w:p w14:paraId="03CD25A3" w14:textId="7E8F78B4" w:rsidR="00364BB3" w:rsidRPr="00056664" w:rsidRDefault="00364BB3" w:rsidP="00364BB3">
      <w:pPr>
        <w:pStyle w:val="Paragraph"/>
        <w:ind w:firstLine="0"/>
        <w:rPr>
          <w:lang w:val="en-GB"/>
        </w:rPr>
      </w:pPr>
      <w:r w:rsidRPr="00056664">
        <w:rPr>
          <w:lang w:val="en-GB"/>
        </w:rPr>
        <w:t>The holotype of </w:t>
      </w:r>
      <w:r w:rsidRPr="00056664">
        <w:rPr>
          <w:i/>
          <w:iCs/>
          <w:lang w:val="en-GB"/>
        </w:rPr>
        <w:t xml:space="preserve">Kolymaspis </w:t>
      </w:r>
      <w:proofErr w:type="spellStart"/>
      <w:r w:rsidRPr="00056664">
        <w:rPr>
          <w:i/>
          <w:iCs/>
          <w:lang w:val="en-GB"/>
        </w:rPr>
        <w:t>sibirica</w:t>
      </w:r>
      <w:proofErr w:type="spellEnd"/>
      <w:r w:rsidRPr="00056664">
        <w:rPr>
          <w:lang w:val="en-GB"/>
        </w:rPr>
        <w:t> </w:t>
      </w:r>
      <w:proofErr w:type="spellStart"/>
      <w:r w:rsidRPr="00056664">
        <w:rPr>
          <w:lang w:val="en-GB"/>
        </w:rPr>
        <w:t>Bystrow</w:t>
      </w:r>
      <w:proofErr w:type="spellEnd"/>
      <w:r w:rsidRPr="00056664">
        <w:rPr>
          <w:lang w:val="en-GB"/>
        </w:rPr>
        <w:t xml:space="preserve">, 1956 (TSNIGR 7656) </w:t>
      </w:r>
      <w:r>
        <w:rPr>
          <w:lang w:val="en-GB"/>
        </w:rPr>
        <w:t>was collected</w:t>
      </w:r>
      <w:r w:rsidRPr="00056664">
        <w:rPr>
          <w:lang w:val="en-GB"/>
        </w:rPr>
        <w:t xml:space="preserve"> in the Lower Devonian </w:t>
      </w:r>
      <w:proofErr w:type="spellStart"/>
      <w:r w:rsidRPr="00056664">
        <w:rPr>
          <w:lang w:val="en-GB"/>
        </w:rPr>
        <w:t>Vechernyaya</w:t>
      </w:r>
      <w:proofErr w:type="spellEnd"/>
      <w:r w:rsidRPr="00056664">
        <w:rPr>
          <w:lang w:val="en-GB"/>
        </w:rPr>
        <w:t xml:space="preserve"> Formation of </w:t>
      </w:r>
      <w:proofErr w:type="spellStart"/>
      <w:r w:rsidRPr="00056664">
        <w:rPr>
          <w:lang w:val="en-GB"/>
        </w:rPr>
        <w:t>Taskan</w:t>
      </w:r>
      <w:proofErr w:type="spellEnd"/>
      <w:r w:rsidRPr="00056664">
        <w:rPr>
          <w:lang w:val="en-GB"/>
        </w:rPr>
        <w:t xml:space="preserve"> River, Kolyma River Basin, </w:t>
      </w:r>
      <w:proofErr w:type="spellStart"/>
      <w:r w:rsidRPr="00056664">
        <w:rPr>
          <w:lang w:val="en-GB"/>
        </w:rPr>
        <w:t>Omuliovka</w:t>
      </w:r>
      <w:proofErr w:type="spellEnd"/>
      <w:r w:rsidRPr="00056664">
        <w:rPr>
          <w:lang w:val="en-GB"/>
        </w:rPr>
        <w:t xml:space="preserve"> Uplift, North-eastern Siberia, Russia by Yu. N. Popov (</w:t>
      </w:r>
      <w:proofErr w:type="spellStart"/>
      <w:r w:rsidRPr="00056664">
        <w:rPr>
          <w:lang w:val="en-GB"/>
        </w:rPr>
        <w:t>Bystrow</w:t>
      </w:r>
      <w:proofErr w:type="spellEnd"/>
      <w:r w:rsidRPr="00056664">
        <w:rPr>
          <w:lang w:val="en-GB"/>
        </w:rPr>
        <w:t xml:space="preserve">, 1956). The specimen was discovered </w:t>
      </w:r>
      <w:r>
        <w:rPr>
          <w:lang w:val="en-GB"/>
        </w:rPr>
        <w:t>in a</w:t>
      </w:r>
      <w:r w:rsidRPr="00056664">
        <w:rPr>
          <w:lang w:val="en-GB"/>
        </w:rPr>
        <w:t xml:space="preserve"> layer of dark bituminous limestone which </w:t>
      </w:r>
      <w:r>
        <w:rPr>
          <w:lang w:val="en-GB"/>
        </w:rPr>
        <w:t xml:space="preserve">has been </w:t>
      </w:r>
      <w:r w:rsidRPr="00056664">
        <w:rPr>
          <w:lang w:val="en-GB"/>
        </w:rPr>
        <w:t>dated by conodonts and correspond</w:t>
      </w:r>
      <w:r>
        <w:rPr>
          <w:lang w:val="en-GB"/>
        </w:rPr>
        <w:t>s</w:t>
      </w:r>
      <w:r w:rsidRPr="00056664">
        <w:rPr>
          <w:lang w:val="en-GB"/>
        </w:rPr>
        <w:t xml:space="preserve"> to the </w:t>
      </w:r>
      <w:proofErr w:type="spellStart"/>
      <w:r w:rsidRPr="00056664">
        <w:rPr>
          <w:i/>
          <w:iCs/>
          <w:lang w:val="en-GB"/>
        </w:rPr>
        <w:t>kitabicus</w:t>
      </w:r>
      <w:proofErr w:type="spellEnd"/>
      <w:r w:rsidRPr="00056664">
        <w:rPr>
          <w:i/>
          <w:iCs/>
          <w:lang w:val="en-GB"/>
        </w:rPr>
        <w:t> </w:t>
      </w:r>
      <w:r w:rsidRPr="00056664">
        <w:rPr>
          <w:lang w:val="en-GB"/>
        </w:rPr>
        <w:t>– Lower </w:t>
      </w:r>
      <w:r w:rsidRPr="00056664">
        <w:rPr>
          <w:i/>
          <w:iCs/>
          <w:lang w:val="en-GB"/>
        </w:rPr>
        <w:t>inversus</w:t>
      </w:r>
      <w:r w:rsidRPr="00056664">
        <w:rPr>
          <w:lang w:val="en-GB"/>
        </w:rPr>
        <w:t xml:space="preserve"> conodont zones of </w:t>
      </w:r>
      <w:r>
        <w:rPr>
          <w:lang w:val="en-GB"/>
        </w:rPr>
        <w:t xml:space="preserve">the </w:t>
      </w:r>
      <w:proofErr w:type="spellStart"/>
      <w:r w:rsidRPr="00056664">
        <w:rPr>
          <w:lang w:val="en-GB"/>
        </w:rPr>
        <w:t>Emsian</w:t>
      </w:r>
      <w:proofErr w:type="spellEnd"/>
      <w:r w:rsidRPr="00056664">
        <w:rPr>
          <w:lang w:val="en-GB"/>
        </w:rPr>
        <w:t xml:space="preserve"> </w:t>
      </w:r>
      <w:r>
        <w:rPr>
          <w:lang w:val="en-GB"/>
        </w:rPr>
        <w:t xml:space="preserve">stage </w:t>
      </w:r>
      <w:r w:rsidRPr="00056664">
        <w:rPr>
          <w:lang w:val="en-GB"/>
        </w:rPr>
        <w:t>(</w:t>
      </w:r>
      <w:proofErr w:type="spellStart"/>
      <w:r w:rsidRPr="00056664">
        <w:rPr>
          <w:lang w:val="en-GB"/>
        </w:rPr>
        <w:t>Gagiev</w:t>
      </w:r>
      <w:proofErr w:type="spellEnd"/>
      <w:r w:rsidRPr="00056664">
        <w:rPr>
          <w:lang w:val="en-GB"/>
        </w:rPr>
        <w:t>, 1995)</w:t>
      </w:r>
      <w:r w:rsidRPr="001A230A">
        <w:rPr>
          <w:vertAlign w:val="superscript"/>
          <w:lang w:val="en-GB"/>
        </w:rPr>
        <w:t>5</w:t>
      </w:r>
      <w:r w:rsidR="001A230A" w:rsidRPr="001A230A">
        <w:rPr>
          <w:vertAlign w:val="superscript"/>
          <w:lang w:val="en-GB"/>
        </w:rPr>
        <w:t>5</w:t>
      </w:r>
      <w:r w:rsidRPr="00056664">
        <w:rPr>
          <w:lang w:val="en-GB"/>
        </w:rPr>
        <w:t>.</w:t>
      </w:r>
      <w:r>
        <w:rPr>
          <w:lang w:val="en-GB"/>
        </w:rPr>
        <w:t xml:space="preserve"> </w:t>
      </w:r>
    </w:p>
    <w:p w14:paraId="70298999" w14:textId="77777777" w:rsidR="00364BB3" w:rsidRPr="007B600C" w:rsidRDefault="00364BB3" w:rsidP="00364BB3">
      <w:pPr>
        <w:pStyle w:val="Paragraph"/>
        <w:rPr>
          <w:lang w:val="en-GB"/>
        </w:rPr>
      </w:pPr>
    </w:p>
    <w:p w14:paraId="049092F2" w14:textId="77777777" w:rsidR="00364BB3" w:rsidRDefault="00364BB3" w:rsidP="00364BB3">
      <w:pPr>
        <w:pStyle w:val="Paragraph"/>
        <w:ind w:firstLine="0"/>
        <w:rPr>
          <w:b/>
          <w:bCs/>
          <w:lang w:val="en-GB"/>
        </w:rPr>
      </w:pPr>
      <w:r>
        <w:rPr>
          <w:b/>
          <w:bCs/>
          <w:lang w:val="en-GB"/>
        </w:rPr>
        <w:t>2. Supplementary phylogenetic results</w:t>
      </w:r>
    </w:p>
    <w:p w14:paraId="3961F1A8" w14:textId="77777777" w:rsidR="00364BB3" w:rsidRDefault="00364BB3" w:rsidP="00364BB3">
      <w:pPr>
        <w:pStyle w:val="Paragraph"/>
        <w:ind w:firstLine="0"/>
      </w:pPr>
      <w:r>
        <w:rPr>
          <w:lang w:val="en-GB"/>
        </w:rPr>
        <w:t xml:space="preserve">The equal-weights phylogenetic search filled the tree buffer of 10,000 topologies of length 1,884 steps. The implied weights search (k=12) resulted in 181 trees with a score of </w:t>
      </w:r>
      <w:r w:rsidRPr="00643436">
        <w:t>42.</w:t>
      </w:r>
      <w:r>
        <w:t xml:space="preserve">64171. Strict consensus trees for both analyses are shown </w:t>
      </w:r>
      <w:r w:rsidRPr="00056664">
        <w:t xml:space="preserve">in Extended Data Fig. </w:t>
      </w:r>
      <w:r>
        <w:t xml:space="preserve">5. Bootstrap analysis finds generally weak support for the overall arrangement of placoderms as paraphyletic, with lower than 50% bootstrap support for the node resolving </w:t>
      </w:r>
      <w:r>
        <w:rPr>
          <w:i/>
          <w:iCs/>
        </w:rPr>
        <w:t>Kolymaspis</w:t>
      </w:r>
      <w:r>
        <w:t xml:space="preserve"> and </w:t>
      </w:r>
      <w:r>
        <w:rPr>
          <w:i/>
          <w:iCs/>
        </w:rPr>
        <w:t>Brindabellaspis</w:t>
      </w:r>
      <w:r>
        <w:t xml:space="preserve"> to the exclusion of other jawed vertebrates. </w:t>
      </w:r>
    </w:p>
    <w:p w14:paraId="7D808628" w14:textId="77777777" w:rsidR="00364BB3" w:rsidRDefault="00364BB3" w:rsidP="00364BB3">
      <w:pPr>
        <w:pStyle w:val="Paragraph"/>
        <w:ind w:firstLine="0"/>
      </w:pPr>
      <w:r>
        <w:tab/>
        <w:t xml:space="preserve">Under the equal weights parsimony tree, character state </w:t>
      </w:r>
      <w:proofErr w:type="spellStart"/>
      <w:r>
        <w:t>optimisations</w:t>
      </w:r>
      <w:proofErr w:type="spellEnd"/>
      <w:r>
        <w:t xml:space="preserve"> indicate three unambiguous synapomorphies that support a clade consisting of all placoderms and crown-group jawed vertebrates to the exclusion of </w:t>
      </w:r>
      <w:r>
        <w:rPr>
          <w:i/>
          <w:iCs/>
        </w:rPr>
        <w:t>Brindabellaspis</w:t>
      </w:r>
      <w:r>
        <w:t xml:space="preserve"> and </w:t>
      </w:r>
      <w:r>
        <w:rPr>
          <w:i/>
          <w:iCs/>
        </w:rPr>
        <w:t>Kolymaspis</w:t>
      </w:r>
      <w:r>
        <w:t xml:space="preserve">: </w:t>
      </w:r>
    </w:p>
    <w:p w14:paraId="46A79B5A" w14:textId="77777777" w:rsidR="00364BB3" w:rsidRDefault="00364BB3" w:rsidP="00364BB3">
      <w:pPr>
        <w:pStyle w:val="Paragraph"/>
        <w:ind w:firstLine="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3940"/>
        <w:gridCol w:w="2252"/>
        <w:gridCol w:w="2252"/>
      </w:tblGrid>
      <w:tr w:rsidR="00364BB3" w14:paraId="772D2420" w14:textId="77777777" w:rsidTr="00D7349D">
        <w:tc>
          <w:tcPr>
            <w:tcW w:w="562" w:type="dxa"/>
            <w:tcBorders>
              <w:bottom w:val="single" w:sz="4" w:space="0" w:color="auto"/>
            </w:tcBorders>
          </w:tcPr>
          <w:p w14:paraId="26FF980D" w14:textId="77777777" w:rsidR="00364BB3" w:rsidRDefault="00364BB3" w:rsidP="00D7349D">
            <w:pPr>
              <w:pStyle w:val="Paragraph"/>
              <w:ind w:firstLine="0"/>
            </w:pPr>
            <w:r>
              <w:t>No.</w:t>
            </w:r>
          </w:p>
        </w:tc>
        <w:tc>
          <w:tcPr>
            <w:tcW w:w="3942" w:type="dxa"/>
            <w:tcBorders>
              <w:bottom w:val="single" w:sz="4" w:space="0" w:color="auto"/>
            </w:tcBorders>
          </w:tcPr>
          <w:p w14:paraId="3678E1B9" w14:textId="77777777" w:rsidR="00364BB3" w:rsidRDefault="00364BB3" w:rsidP="00D7349D">
            <w:pPr>
              <w:pStyle w:val="Paragraph"/>
              <w:ind w:firstLine="0"/>
            </w:pPr>
            <w:r>
              <w:t>Character name</w:t>
            </w:r>
          </w:p>
        </w:tc>
        <w:tc>
          <w:tcPr>
            <w:tcW w:w="2253" w:type="dxa"/>
            <w:tcBorders>
              <w:bottom w:val="single" w:sz="4" w:space="0" w:color="auto"/>
            </w:tcBorders>
          </w:tcPr>
          <w:p w14:paraId="5678361F" w14:textId="77777777" w:rsidR="00364BB3" w:rsidRDefault="00364BB3" w:rsidP="00D7349D">
            <w:pPr>
              <w:pStyle w:val="Paragraph"/>
              <w:ind w:firstLine="0"/>
            </w:pPr>
            <w:r>
              <w:t>State change</w:t>
            </w:r>
          </w:p>
        </w:tc>
        <w:tc>
          <w:tcPr>
            <w:tcW w:w="2253" w:type="dxa"/>
            <w:tcBorders>
              <w:bottom w:val="single" w:sz="4" w:space="0" w:color="auto"/>
            </w:tcBorders>
          </w:tcPr>
          <w:p w14:paraId="5CC11AC7" w14:textId="77777777" w:rsidR="00364BB3" w:rsidRDefault="00364BB3" w:rsidP="00D7349D">
            <w:pPr>
              <w:pStyle w:val="Paragraph"/>
              <w:ind w:firstLine="0"/>
            </w:pPr>
            <w:r>
              <w:t>Consistency index</w:t>
            </w:r>
          </w:p>
        </w:tc>
      </w:tr>
      <w:tr w:rsidR="00364BB3" w14:paraId="1152BB00" w14:textId="77777777" w:rsidTr="00D7349D">
        <w:tc>
          <w:tcPr>
            <w:tcW w:w="562" w:type="dxa"/>
            <w:tcBorders>
              <w:top w:val="single" w:sz="4" w:space="0" w:color="auto"/>
            </w:tcBorders>
          </w:tcPr>
          <w:p w14:paraId="19CFC5AE" w14:textId="77777777" w:rsidR="00364BB3" w:rsidRDefault="00364BB3" w:rsidP="00D7349D">
            <w:pPr>
              <w:pStyle w:val="Paragraph"/>
              <w:ind w:firstLine="0"/>
            </w:pPr>
            <w:r>
              <w:t>177</w:t>
            </w:r>
          </w:p>
        </w:tc>
        <w:tc>
          <w:tcPr>
            <w:tcW w:w="3942" w:type="dxa"/>
            <w:tcBorders>
              <w:top w:val="single" w:sz="4" w:space="0" w:color="auto"/>
            </w:tcBorders>
          </w:tcPr>
          <w:p w14:paraId="52DF66D2" w14:textId="77777777" w:rsidR="00364BB3" w:rsidRPr="00E1583E" w:rsidRDefault="00364BB3" w:rsidP="00D7349D">
            <w:pPr>
              <w:pStyle w:val="Paragraph"/>
              <w:ind w:firstLine="0"/>
            </w:pPr>
            <w:r w:rsidRPr="00C05F51">
              <w:t>Dermal cranio-thoracic articulation between paired main-lateral-line-bearing bones of skull and shoulder girdle</w:t>
            </w:r>
          </w:p>
        </w:tc>
        <w:tc>
          <w:tcPr>
            <w:tcW w:w="2253" w:type="dxa"/>
            <w:tcBorders>
              <w:top w:val="single" w:sz="4" w:space="0" w:color="auto"/>
            </w:tcBorders>
          </w:tcPr>
          <w:p w14:paraId="5F78727C" w14:textId="77777777" w:rsidR="00364BB3" w:rsidRDefault="00364BB3" w:rsidP="00D7349D">
            <w:pPr>
              <w:pStyle w:val="Paragraph"/>
              <w:ind w:firstLine="0"/>
            </w:pPr>
            <w:r>
              <w:t xml:space="preserve">Absent </w:t>
            </w:r>
            <w:r>
              <w:sym w:font="Wingdings" w:char="F0E0"/>
            </w:r>
            <w:r>
              <w:t xml:space="preserve"> Present</w:t>
            </w:r>
          </w:p>
        </w:tc>
        <w:tc>
          <w:tcPr>
            <w:tcW w:w="2253" w:type="dxa"/>
            <w:tcBorders>
              <w:top w:val="single" w:sz="4" w:space="0" w:color="auto"/>
            </w:tcBorders>
          </w:tcPr>
          <w:p w14:paraId="2ACCE3FA" w14:textId="77777777" w:rsidR="00364BB3" w:rsidRDefault="00364BB3" w:rsidP="00D7349D">
            <w:pPr>
              <w:pStyle w:val="Paragraph"/>
              <w:ind w:firstLine="0"/>
            </w:pPr>
            <w:r>
              <w:t>0.5</w:t>
            </w:r>
          </w:p>
        </w:tc>
      </w:tr>
      <w:tr w:rsidR="00364BB3" w14:paraId="03FABD47" w14:textId="77777777" w:rsidTr="00D7349D">
        <w:tc>
          <w:tcPr>
            <w:tcW w:w="562" w:type="dxa"/>
          </w:tcPr>
          <w:p w14:paraId="2DDCA5ED" w14:textId="77777777" w:rsidR="00364BB3" w:rsidRDefault="00364BB3" w:rsidP="00D7349D">
            <w:pPr>
              <w:pStyle w:val="Paragraph"/>
              <w:ind w:firstLine="0"/>
            </w:pPr>
            <w:r>
              <w:t>180</w:t>
            </w:r>
          </w:p>
        </w:tc>
        <w:tc>
          <w:tcPr>
            <w:tcW w:w="3942" w:type="dxa"/>
          </w:tcPr>
          <w:p w14:paraId="04D62E0C" w14:textId="77777777" w:rsidR="00364BB3" w:rsidRPr="00E1583E" w:rsidRDefault="00364BB3" w:rsidP="00D7349D">
            <w:pPr>
              <w:pStyle w:val="Paragraph"/>
              <w:ind w:firstLine="0"/>
            </w:pPr>
            <w:r w:rsidRPr="00C05F51">
              <w:t xml:space="preserve">Endoskeletal </w:t>
            </w:r>
            <w:proofErr w:type="spellStart"/>
            <w:r w:rsidRPr="00C05F51">
              <w:t>craniothoracic</w:t>
            </w:r>
            <w:proofErr w:type="spellEnd"/>
            <w:r w:rsidRPr="00C05F51">
              <w:t xml:space="preserve"> (sixth branchial) facet</w:t>
            </w:r>
          </w:p>
        </w:tc>
        <w:tc>
          <w:tcPr>
            <w:tcW w:w="2253" w:type="dxa"/>
          </w:tcPr>
          <w:p w14:paraId="27B137A3" w14:textId="77777777" w:rsidR="00364BB3" w:rsidRDefault="00364BB3" w:rsidP="00D7349D">
            <w:pPr>
              <w:pStyle w:val="Paragraph"/>
              <w:ind w:firstLine="0"/>
            </w:pPr>
            <w:r>
              <w:t xml:space="preserve">Present </w:t>
            </w:r>
            <w:r>
              <w:sym w:font="Wingdings" w:char="F0E0"/>
            </w:r>
            <w:r>
              <w:t xml:space="preserve"> Absent</w:t>
            </w:r>
          </w:p>
        </w:tc>
        <w:tc>
          <w:tcPr>
            <w:tcW w:w="2253" w:type="dxa"/>
          </w:tcPr>
          <w:p w14:paraId="54B0214F" w14:textId="77777777" w:rsidR="00364BB3" w:rsidRDefault="00364BB3" w:rsidP="00D7349D">
            <w:pPr>
              <w:pStyle w:val="Paragraph"/>
              <w:ind w:firstLine="0"/>
            </w:pPr>
            <w:r>
              <w:t>1.0</w:t>
            </w:r>
          </w:p>
        </w:tc>
      </w:tr>
      <w:tr w:rsidR="00364BB3" w14:paraId="058ED832" w14:textId="77777777" w:rsidTr="00D7349D">
        <w:tc>
          <w:tcPr>
            <w:tcW w:w="562" w:type="dxa"/>
            <w:tcBorders>
              <w:bottom w:val="single" w:sz="4" w:space="0" w:color="auto"/>
            </w:tcBorders>
          </w:tcPr>
          <w:p w14:paraId="453BFDA5" w14:textId="77777777" w:rsidR="00364BB3" w:rsidRDefault="00364BB3" w:rsidP="00D7349D">
            <w:pPr>
              <w:pStyle w:val="Paragraph"/>
              <w:ind w:firstLine="0"/>
            </w:pPr>
            <w:r>
              <w:t>251</w:t>
            </w:r>
          </w:p>
        </w:tc>
        <w:tc>
          <w:tcPr>
            <w:tcW w:w="3942" w:type="dxa"/>
            <w:tcBorders>
              <w:bottom w:val="single" w:sz="4" w:space="0" w:color="auto"/>
            </w:tcBorders>
          </w:tcPr>
          <w:p w14:paraId="297E8D44" w14:textId="77777777" w:rsidR="00364BB3" w:rsidRDefault="00364BB3" w:rsidP="00D7349D">
            <w:pPr>
              <w:pStyle w:val="Paragraph"/>
              <w:ind w:firstLine="0"/>
            </w:pPr>
            <w:r>
              <w:t>Preorbital depression</w:t>
            </w:r>
          </w:p>
        </w:tc>
        <w:tc>
          <w:tcPr>
            <w:tcW w:w="2253" w:type="dxa"/>
            <w:tcBorders>
              <w:bottom w:val="single" w:sz="4" w:space="0" w:color="auto"/>
            </w:tcBorders>
          </w:tcPr>
          <w:p w14:paraId="76FE39E0" w14:textId="77777777" w:rsidR="00364BB3" w:rsidRDefault="00364BB3" w:rsidP="00D7349D">
            <w:pPr>
              <w:pStyle w:val="Paragraph"/>
              <w:ind w:firstLine="0"/>
            </w:pPr>
            <w:r>
              <w:t xml:space="preserve">Absent </w:t>
            </w:r>
            <w:r>
              <w:sym w:font="Wingdings" w:char="F0E0"/>
            </w:r>
            <w:r>
              <w:t xml:space="preserve"> Present</w:t>
            </w:r>
          </w:p>
        </w:tc>
        <w:tc>
          <w:tcPr>
            <w:tcW w:w="2253" w:type="dxa"/>
            <w:tcBorders>
              <w:bottom w:val="single" w:sz="4" w:space="0" w:color="auto"/>
            </w:tcBorders>
          </w:tcPr>
          <w:p w14:paraId="11FF2DDB" w14:textId="77777777" w:rsidR="00364BB3" w:rsidRDefault="00364BB3" w:rsidP="00D7349D">
            <w:pPr>
              <w:pStyle w:val="Paragraph"/>
              <w:ind w:firstLine="0"/>
            </w:pPr>
            <w:r>
              <w:t>0.2</w:t>
            </w:r>
          </w:p>
        </w:tc>
      </w:tr>
    </w:tbl>
    <w:p w14:paraId="54089B07" w14:textId="77777777" w:rsidR="00364BB3" w:rsidRPr="00F44289" w:rsidRDefault="00364BB3" w:rsidP="00364BB3">
      <w:pPr>
        <w:pStyle w:val="Paragraph"/>
        <w:ind w:firstLine="0"/>
      </w:pPr>
    </w:p>
    <w:p w14:paraId="69304377" w14:textId="77777777" w:rsidR="00364BB3" w:rsidRDefault="00364BB3" w:rsidP="00364BB3">
      <w:pPr>
        <w:pStyle w:val="Paragraph"/>
        <w:ind w:firstLine="0"/>
      </w:pPr>
      <w:r>
        <w:tab/>
        <w:t xml:space="preserve">The constrained analyses both filled the tree buffers. The constraint on all placoderms resulted in a score of 1,191 steps. The “core” placoderm constraint analysis resulted in a score of 1,188 steps. In the all-placoderms constraint, </w:t>
      </w:r>
      <w:r>
        <w:rPr>
          <w:i/>
          <w:iCs/>
        </w:rPr>
        <w:t>Kolymaspis</w:t>
      </w:r>
      <w:r>
        <w:t xml:space="preserve"> and </w:t>
      </w:r>
      <w:r>
        <w:rPr>
          <w:i/>
          <w:iCs/>
        </w:rPr>
        <w:t>Brindabellaspis</w:t>
      </w:r>
      <w:r>
        <w:t xml:space="preserve"> are nested deeply inside the placoderms, as the sister group of antiarchs. In the core-constraint tree, three main placoderm clades (and two smaller subclades/branches) are resolved in a basal polytomy. The former result is inconsistent with the hypothesis that the endoskeletal shoulder link in these taxa is homologous with conditions in jawless outgroups. However, in the latter analysis the result is equivocal and depends on the resolution of the polytomy.</w:t>
      </w:r>
    </w:p>
    <w:p w14:paraId="7B9929F5" w14:textId="77777777" w:rsidR="00364BB3" w:rsidRDefault="00364BB3" w:rsidP="00364BB3">
      <w:pPr>
        <w:pStyle w:val="Paragraph"/>
        <w:ind w:firstLine="0"/>
      </w:pPr>
    </w:p>
    <w:p w14:paraId="61D29069" w14:textId="1EC8B25B" w:rsidR="001D11FF" w:rsidRPr="001D11FF" w:rsidRDefault="00364BB3" w:rsidP="001D11FF">
      <w:pPr>
        <w:pStyle w:val="Paragraph"/>
        <w:ind w:firstLine="0"/>
        <w:rPr>
          <w:b/>
          <w:bCs/>
        </w:rPr>
      </w:pPr>
      <w:r w:rsidRPr="00056664">
        <w:rPr>
          <w:b/>
          <w:bCs/>
        </w:rPr>
        <w:t>3. Supplementary references</w:t>
      </w:r>
    </w:p>
    <w:p w14:paraId="73999AF6" w14:textId="6171B250" w:rsidR="00620D08" w:rsidRPr="001D11FF" w:rsidRDefault="00364BB3" w:rsidP="001D11FF">
      <w:pPr>
        <w:spacing w:before="120"/>
        <w:ind w:left="567" w:hanging="567"/>
        <w:rPr>
          <w:sz w:val="24"/>
          <w:szCs w:val="24"/>
          <w:lang w:val="en-GB"/>
        </w:rPr>
      </w:pPr>
      <w:r w:rsidRPr="001D11FF">
        <w:rPr>
          <w:sz w:val="24"/>
          <w:szCs w:val="24"/>
          <w:lang w:val="en-GB"/>
        </w:rPr>
        <w:t>5</w:t>
      </w:r>
      <w:r w:rsidR="001A230A" w:rsidRPr="001D11FF">
        <w:rPr>
          <w:sz w:val="24"/>
          <w:szCs w:val="24"/>
          <w:lang w:val="en-GB"/>
        </w:rPr>
        <w:t>5</w:t>
      </w:r>
      <w:r w:rsidRPr="001D11FF">
        <w:rPr>
          <w:sz w:val="24"/>
          <w:szCs w:val="24"/>
          <w:lang w:val="en-GB"/>
        </w:rPr>
        <w:t>.</w:t>
      </w:r>
      <w:r w:rsidRPr="001D11FF">
        <w:rPr>
          <w:sz w:val="24"/>
          <w:szCs w:val="24"/>
          <w:lang w:val="en-GB"/>
        </w:rPr>
        <w:tab/>
      </w:r>
      <w:proofErr w:type="spellStart"/>
      <w:r w:rsidRPr="001D11FF">
        <w:rPr>
          <w:sz w:val="24"/>
          <w:szCs w:val="24"/>
          <w:lang w:val="en-GB"/>
        </w:rPr>
        <w:t>Gagiev</w:t>
      </w:r>
      <w:proofErr w:type="spellEnd"/>
      <w:r w:rsidRPr="001D11FF">
        <w:rPr>
          <w:sz w:val="24"/>
          <w:szCs w:val="24"/>
          <w:lang w:val="en-GB"/>
        </w:rPr>
        <w:t xml:space="preserve">, M. H. </w:t>
      </w:r>
      <w:proofErr w:type="spellStart"/>
      <w:r w:rsidRPr="001D11FF">
        <w:rPr>
          <w:sz w:val="24"/>
          <w:szCs w:val="24"/>
          <w:lang w:val="en-GB"/>
        </w:rPr>
        <w:t>Stratigraphiya</w:t>
      </w:r>
      <w:proofErr w:type="spellEnd"/>
      <w:r w:rsidRPr="001D11FF">
        <w:rPr>
          <w:sz w:val="24"/>
          <w:szCs w:val="24"/>
          <w:lang w:val="en-GB"/>
        </w:rPr>
        <w:t xml:space="preserve"> </w:t>
      </w:r>
      <w:proofErr w:type="spellStart"/>
      <w:r w:rsidRPr="001D11FF">
        <w:rPr>
          <w:sz w:val="24"/>
          <w:szCs w:val="24"/>
          <w:lang w:val="en-GB"/>
        </w:rPr>
        <w:t>devona</w:t>
      </w:r>
      <w:proofErr w:type="spellEnd"/>
      <w:r w:rsidRPr="001D11FF">
        <w:rPr>
          <w:sz w:val="24"/>
          <w:szCs w:val="24"/>
          <w:lang w:val="en-GB"/>
        </w:rPr>
        <w:t xml:space="preserve"> </w:t>
      </w:r>
      <w:proofErr w:type="spellStart"/>
      <w:r w:rsidRPr="001D11FF">
        <w:rPr>
          <w:sz w:val="24"/>
          <w:szCs w:val="24"/>
          <w:lang w:val="en-GB"/>
        </w:rPr>
        <w:t>i</w:t>
      </w:r>
      <w:proofErr w:type="spellEnd"/>
      <w:r w:rsidRPr="001D11FF">
        <w:rPr>
          <w:sz w:val="24"/>
          <w:szCs w:val="24"/>
          <w:lang w:val="en-GB"/>
        </w:rPr>
        <w:t xml:space="preserve"> </w:t>
      </w:r>
      <w:proofErr w:type="spellStart"/>
      <w:r w:rsidRPr="001D11FF">
        <w:rPr>
          <w:sz w:val="24"/>
          <w:szCs w:val="24"/>
          <w:lang w:val="en-GB"/>
        </w:rPr>
        <w:t>nizhnego</w:t>
      </w:r>
      <w:proofErr w:type="spellEnd"/>
      <w:r w:rsidRPr="001D11FF">
        <w:rPr>
          <w:sz w:val="24"/>
          <w:szCs w:val="24"/>
          <w:lang w:val="en-GB"/>
        </w:rPr>
        <w:t xml:space="preserve"> </w:t>
      </w:r>
      <w:proofErr w:type="spellStart"/>
      <w:r w:rsidRPr="001D11FF">
        <w:rPr>
          <w:sz w:val="24"/>
          <w:szCs w:val="24"/>
          <w:lang w:val="en-GB"/>
        </w:rPr>
        <w:t>karbona</w:t>
      </w:r>
      <w:proofErr w:type="spellEnd"/>
      <w:r w:rsidRPr="001D11FF">
        <w:rPr>
          <w:sz w:val="24"/>
          <w:szCs w:val="24"/>
          <w:lang w:val="en-GB"/>
        </w:rPr>
        <w:t xml:space="preserve"> </w:t>
      </w:r>
      <w:proofErr w:type="spellStart"/>
      <w:r w:rsidRPr="001D11FF">
        <w:rPr>
          <w:sz w:val="24"/>
          <w:szCs w:val="24"/>
          <w:lang w:val="en-GB"/>
        </w:rPr>
        <w:t>Omuliovskogo</w:t>
      </w:r>
      <w:proofErr w:type="spellEnd"/>
      <w:r w:rsidRPr="001D11FF">
        <w:rPr>
          <w:sz w:val="24"/>
          <w:szCs w:val="24"/>
          <w:lang w:val="en-GB"/>
        </w:rPr>
        <w:t xml:space="preserve"> </w:t>
      </w:r>
      <w:proofErr w:type="spellStart"/>
      <w:r w:rsidRPr="001D11FF">
        <w:rPr>
          <w:sz w:val="24"/>
          <w:szCs w:val="24"/>
          <w:lang w:val="en-GB"/>
        </w:rPr>
        <w:t>podnyatiya</w:t>
      </w:r>
      <w:proofErr w:type="spellEnd"/>
      <w:r w:rsidRPr="001D11FF">
        <w:rPr>
          <w:sz w:val="24"/>
          <w:szCs w:val="24"/>
          <w:lang w:val="en-GB"/>
        </w:rPr>
        <w:t xml:space="preserve"> (</w:t>
      </w:r>
      <w:proofErr w:type="spellStart"/>
      <w:r w:rsidRPr="001D11FF">
        <w:rPr>
          <w:sz w:val="24"/>
          <w:szCs w:val="24"/>
          <w:lang w:val="en-GB"/>
        </w:rPr>
        <w:t>Severo</w:t>
      </w:r>
      <w:proofErr w:type="spellEnd"/>
      <w:r w:rsidRPr="001D11FF">
        <w:rPr>
          <w:sz w:val="24"/>
          <w:szCs w:val="24"/>
          <w:lang w:val="en-GB"/>
        </w:rPr>
        <w:t xml:space="preserve">-Vostok </w:t>
      </w:r>
      <w:proofErr w:type="spellStart"/>
      <w:proofErr w:type="gramStart"/>
      <w:r w:rsidRPr="001D11FF">
        <w:rPr>
          <w:sz w:val="24"/>
          <w:szCs w:val="24"/>
          <w:lang w:val="en-GB"/>
        </w:rPr>
        <w:t>Azii</w:t>
      </w:r>
      <w:proofErr w:type="spellEnd"/>
      <w:r w:rsidRPr="001D11FF">
        <w:rPr>
          <w:sz w:val="24"/>
          <w:szCs w:val="24"/>
          <w:lang w:val="en-GB"/>
        </w:rPr>
        <w:t>)[</w:t>
      </w:r>
      <w:proofErr w:type="gramEnd"/>
      <w:r w:rsidRPr="001D11FF">
        <w:rPr>
          <w:sz w:val="24"/>
          <w:szCs w:val="24"/>
          <w:lang w:val="en-GB"/>
        </w:rPr>
        <w:t xml:space="preserve">Stratigraphy of Devonian </w:t>
      </w:r>
      <w:proofErr w:type="spellStart"/>
      <w:r w:rsidRPr="001D11FF">
        <w:rPr>
          <w:sz w:val="24"/>
          <w:szCs w:val="24"/>
          <w:lang w:val="en-GB"/>
        </w:rPr>
        <w:t>аnd</w:t>
      </w:r>
      <w:proofErr w:type="spellEnd"/>
      <w:r w:rsidRPr="001D11FF">
        <w:rPr>
          <w:sz w:val="24"/>
          <w:szCs w:val="24"/>
          <w:lang w:val="en-GB"/>
        </w:rPr>
        <w:t xml:space="preserve"> </w:t>
      </w:r>
      <w:proofErr w:type="spellStart"/>
      <w:r w:rsidRPr="001D11FF">
        <w:rPr>
          <w:sz w:val="24"/>
          <w:szCs w:val="24"/>
          <w:lang w:val="en-GB"/>
        </w:rPr>
        <w:t>Loweг</w:t>
      </w:r>
      <w:proofErr w:type="spellEnd"/>
      <w:r w:rsidRPr="001D11FF">
        <w:rPr>
          <w:sz w:val="24"/>
          <w:szCs w:val="24"/>
          <w:lang w:val="en-GB"/>
        </w:rPr>
        <w:t xml:space="preserve"> Carboniferous of the </w:t>
      </w:r>
      <w:proofErr w:type="spellStart"/>
      <w:r w:rsidRPr="001D11FF">
        <w:rPr>
          <w:sz w:val="24"/>
          <w:szCs w:val="24"/>
          <w:lang w:val="en-GB"/>
        </w:rPr>
        <w:t>Omuliovka</w:t>
      </w:r>
      <w:proofErr w:type="spellEnd"/>
      <w:r w:rsidRPr="001D11FF">
        <w:rPr>
          <w:sz w:val="24"/>
          <w:szCs w:val="24"/>
          <w:lang w:val="en-GB"/>
        </w:rPr>
        <w:t xml:space="preserve"> Uplift (North-eastern Asia)]. Magadan: NEISRI FEB RAS, 196 р. (1995) [In Russian].</w:t>
      </w:r>
    </w:p>
    <w:sectPr w:rsidR="00620D08" w:rsidRPr="001D11FF" w:rsidSect="00E1583E">
      <w:headerReference w:type="default" r:id="rId7"/>
      <w:footerReference w:type="default" r:id="rId8"/>
      <w:headerReference w:type="first" r:id="rId9"/>
      <w:footerReference w:type="first" r:id="rId10"/>
      <w:pgSz w:w="11900" w:h="16820" w:code="1"/>
      <w:pgMar w:top="1298" w:right="1440" w:bottom="1298" w:left="1440" w:header="431" w:footer="720" w:gutter="0"/>
      <w:lnNumType w:countBy="1" w:distance="720"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20144" w14:textId="77777777" w:rsidR="001D11FF" w:rsidRDefault="001D11FF">
      <w:r>
        <w:separator/>
      </w:r>
    </w:p>
  </w:endnote>
  <w:endnote w:type="continuationSeparator" w:id="0">
    <w:p w14:paraId="7FFAD963" w14:textId="77777777" w:rsidR="001D11FF" w:rsidRDefault="001D1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B4C0E" w14:textId="77777777" w:rsidR="00F56C83" w:rsidRDefault="001D11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1</w:t>
    </w:r>
    <w:r>
      <w:rPr>
        <w:caps/>
        <w:noProof/>
        <w:color w:val="4472C4" w:themeColor="accent1"/>
      </w:rPr>
      <w:fldChar w:fldCharType="end"/>
    </w:r>
  </w:p>
  <w:p w14:paraId="6481A15B" w14:textId="77777777" w:rsidR="00F56C83" w:rsidRDefault="00F56C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D9D65" w14:textId="77777777" w:rsidR="00F56C83" w:rsidRDefault="001D11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1</w:t>
    </w:r>
    <w:r>
      <w:rPr>
        <w:caps/>
        <w:noProof/>
        <w:color w:val="4472C4" w:themeColor="accent1"/>
      </w:rPr>
      <w:fldChar w:fldCharType="end"/>
    </w:r>
  </w:p>
  <w:p w14:paraId="23AC3363" w14:textId="77777777" w:rsidR="00F56C83" w:rsidRDefault="00F56C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93B67" w14:textId="77777777" w:rsidR="001D11FF" w:rsidRDefault="001D11FF">
      <w:r>
        <w:separator/>
      </w:r>
    </w:p>
  </w:footnote>
  <w:footnote w:type="continuationSeparator" w:id="0">
    <w:p w14:paraId="5F3FCDB3" w14:textId="77777777" w:rsidR="001D11FF" w:rsidRDefault="001D1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5AF2" w14:textId="77777777" w:rsidR="00F56C83" w:rsidRDefault="00F56C83" w:rsidP="00387D83">
    <w:pPr>
      <w:pStyle w:val="Header"/>
      <w:tabs>
        <w:tab w:val="clear" w:pos="4320"/>
        <w:tab w:val="clear" w:pos="8640"/>
        <w:tab w:val="left" w:pos="32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F7F10" w14:textId="77777777" w:rsidR="00F56C83" w:rsidRPr="00204015" w:rsidRDefault="001D11FF" w:rsidP="00D73714">
    <w:pPr>
      <w:pStyle w:val="Header"/>
    </w:pPr>
    <w:r>
      <w:rPr>
        <w:noProof/>
        <w:lang w:val="en-GB" w:eastAsia="en-GB"/>
      </w:rPr>
      <w:drawing>
        <wp:anchor distT="0" distB="0" distL="114300" distR="114300" simplePos="0" relativeHeight="251659264" behindDoc="1" locked="0" layoutInCell="1" allowOverlap="1" wp14:anchorId="40CA519D" wp14:editId="2CA9BD3E">
          <wp:simplePos x="0" y="0"/>
          <wp:positionH relativeFrom="margin">
            <wp:align>left</wp:align>
          </wp:positionH>
          <wp:positionV relativeFrom="paragraph">
            <wp:posOffset>5288</wp:posOffset>
          </wp:positionV>
          <wp:extent cx="1045029" cy="457200"/>
          <wp:effectExtent l="0" t="0" r="3175" b="0"/>
          <wp:wrapTight wrapText="bothSides">
            <wp:wrapPolygon edited="0">
              <wp:start x="0" y="0"/>
              <wp:lineTo x="0" y="20700"/>
              <wp:lineTo x="21272" y="20700"/>
              <wp:lineTo x="2127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ience-AAAS-stacked-color.jpg"/>
                  <pic:cNvPicPr/>
                </pic:nvPicPr>
                <pic:blipFill>
                  <a:blip r:embed="rId1"/>
                  <a:stretch>
                    <a:fillRect/>
                  </a:stretch>
                </pic:blipFill>
                <pic:spPr>
                  <a:xfrm>
                    <a:off x="0" y="0"/>
                    <a:ext cx="1045029" cy="457200"/>
                  </a:xfrm>
                  <a:prstGeom prst="rect">
                    <a:avLst/>
                  </a:prstGeom>
                </pic:spPr>
              </pic:pic>
            </a:graphicData>
          </a:graphic>
          <wp14:sizeRelH relativeFrom="page">
            <wp14:pctWidth>0</wp14:pctWidth>
          </wp14:sizeRelH>
          <wp14:sizeRelV relativeFrom="page">
            <wp14:pctHeight>0</wp14:pctHeight>
          </wp14:sizeRelV>
        </wp:anchor>
      </w:drawing>
    </w:r>
    <w:r>
      <w:tab/>
    </w:r>
    <w:r w:rsidRPr="00204015">
      <w:t>Submitted Manuscript: Confidential</w:t>
    </w:r>
    <w:r>
      <w:tab/>
    </w:r>
  </w:p>
  <w:p w14:paraId="190A401D" w14:textId="77777777" w:rsidR="00F56C83" w:rsidRDefault="00F56C83" w:rsidP="00D737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BB3"/>
    <w:rsid w:val="000F688E"/>
    <w:rsid w:val="001A230A"/>
    <w:rsid w:val="001D11FF"/>
    <w:rsid w:val="00364BB3"/>
    <w:rsid w:val="00620D08"/>
    <w:rsid w:val="0076443A"/>
    <w:rsid w:val="00841027"/>
    <w:rsid w:val="00C03865"/>
    <w:rsid w:val="00F56C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459B2E"/>
  <w15:chartTrackingRefBased/>
  <w15:docId w15:val="{F89CDC40-093C-0D4D-9235-50FE56E8A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BB3"/>
    <w:rPr>
      <w:rFonts w:eastAsia="Calibri" w:cs="Times New Roman"/>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rsid w:val="00364BB3"/>
    <w:pPr>
      <w:spacing w:before="120" w:after="360"/>
      <w:jc w:val="center"/>
    </w:pPr>
    <w:rPr>
      <w:rFonts w:eastAsia="Times New Roman"/>
      <w:sz w:val="24"/>
      <w:szCs w:val="24"/>
    </w:rPr>
  </w:style>
  <w:style w:type="paragraph" w:customStyle="1" w:styleId="Paragraph">
    <w:name w:val="Paragraph"/>
    <w:basedOn w:val="Normal"/>
    <w:rsid w:val="00364BB3"/>
    <w:pPr>
      <w:spacing w:before="120"/>
      <w:ind w:firstLine="720"/>
    </w:pPr>
    <w:rPr>
      <w:rFonts w:eastAsia="Times New Roman"/>
      <w:sz w:val="24"/>
      <w:szCs w:val="24"/>
    </w:rPr>
  </w:style>
  <w:style w:type="paragraph" w:styleId="Footer">
    <w:name w:val="footer"/>
    <w:basedOn w:val="Normal"/>
    <w:link w:val="FooterChar"/>
    <w:uiPriority w:val="99"/>
    <w:rsid w:val="00364BB3"/>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364BB3"/>
    <w:rPr>
      <w:rFonts w:eastAsia="Times New Roman" w:cs="Times New Roman"/>
      <w:kern w:val="0"/>
      <w:sz w:val="20"/>
      <w:szCs w:val="20"/>
      <w:lang w:val="en-US"/>
      <w14:ligatures w14:val="none"/>
    </w:rPr>
  </w:style>
  <w:style w:type="paragraph" w:styleId="Header">
    <w:name w:val="header"/>
    <w:basedOn w:val="Normal"/>
    <w:link w:val="HeaderChar"/>
    <w:rsid w:val="00364BB3"/>
    <w:pPr>
      <w:tabs>
        <w:tab w:val="center" w:pos="4320"/>
        <w:tab w:val="right" w:pos="8640"/>
      </w:tabs>
    </w:pPr>
    <w:rPr>
      <w:rFonts w:eastAsia="Times New Roman"/>
    </w:rPr>
  </w:style>
  <w:style w:type="character" w:customStyle="1" w:styleId="HeaderChar">
    <w:name w:val="Header Char"/>
    <w:basedOn w:val="DefaultParagraphFont"/>
    <w:link w:val="Header"/>
    <w:rsid w:val="00364BB3"/>
    <w:rPr>
      <w:rFonts w:eastAsia="Times New Roman" w:cs="Times New Roman"/>
      <w:kern w:val="0"/>
      <w:sz w:val="20"/>
      <w:szCs w:val="20"/>
      <w:lang w:val="en-US"/>
      <w14:ligatures w14:val="none"/>
    </w:rPr>
  </w:style>
  <w:style w:type="character" w:styleId="Hyperlink">
    <w:name w:val="Hyperlink"/>
    <w:basedOn w:val="DefaultParagraphFont"/>
    <w:rsid w:val="00364BB3"/>
    <w:rPr>
      <w:color w:val="0000FF"/>
      <w:u w:val="single"/>
    </w:rPr>
  </w:style>
  <w:style w:type="table" w:styleId="TableGrid">
    <w:name w:val="Table Grid"/>
    <w:basedOn w:val="TableNormal"/>
    <w:uiPriority w:val="39"/>
    <w:rsid w:val="00364BB3"/>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64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brazeau@imperial.ac.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560</Words>
  <Characters>3195</Characters>
  <Application>Microsoft Office Word</Application>
  <DocSecurity>0</DocSecurity>
  <Lines>26</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Brazeau, Martin D</dc:creator>
  <cp:keywords/>
  <dc:description/>
  <cp:lastModifiedBy>Brazeau, Martin D</cp:lastModifiedBy>
  <cp:revision>7</cp:revision>
  <dcterms:created xsi:type="dcterms:W3CDTF">2023-08-27T10:03:00Z</dcterms:created>
  <dcterms:modified xsi:type="dcterms:W3CDTF">2023-09-13T09:11:00Z</dcterms:modified>
</cp:coreProperties>
</file>