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78915" w14:textId="77777777" w:rsidR="000F40F1" w:rsidRPr="000F40F1" w:rsidRDefault="000F40F1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F40F1">
        <w:rPr>
          <w:rFonts w:ascii="Arial" w:hAnsi="Arial" w:cs="Arial"/>
          <w:b/>
          <w:bCs/>
          <w:color w:val="000000" w:themeColor="text1"/>
          <w:sz w:val="28"/>
          <w:szCs w:val="28"/>
        </w:rPr>
        <w:t>Supplementary Information</w:t>
      </w:r>
    </w:p>
    <w:p w14:paraId="519DD7B6" w14:textId="77777777" w:rsidR="000F40F1" w:rsidRPr="000F40F1" w:rsidRDefault="000F40F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AB00B86" w14:textId="2079948E" w:rsidR="000F40F1" w:rsidRPr="000F40F1" w:rsidRDefault="000F40F1" w:rsidP="000F40F1">
      <w:pPr>
        <w:pBdr>
          <w:top w:val="nil"/>
          <w:left w:val="nil"/>
          <w:bottom w:val="nil"/>
          <w:right w:val="nil"/>
          <w:between w:val="nil"/>
        </w:pBdr>
        <w:spacing w:after="28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  <w:r w:rsidRPr="000F40F1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 xml:space="preserve">Genome organization around nuclear speckles drives mRNA splicing </w:t>
      </w:r>
      <w:proofErr w:type="gramStart"/>
      <w:r w:rsidRPr="000F40F1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efficiency</w:t>
      </w:r>
      <w:proofErr w:type="gramEnd"/>
    </w:p>
    <w:p w14:paraId="2EB6F935" w14:textId="77777777" w:rsidR="000F40F1" w:rsidRPr="000F40F1" w:rsidRDefault="000F40F1" w:rsidP="000F40F1">
      <w:pPr>
        <w:pStyle w:val="Default"/>
        <w:jc w:val="both"/>
        <w:rPr>
          <w:rStyle w:val="A11"/>
          <w:rFonts w:ascii="Arial" w:hAnsi="Arial" w:cs="Arial"/>
          <w:color w:val="000000" w:themeColor="text1"/>
          <w:sz w:val="22"/>
          <w:szCs w:val="22"/>
        </w:rPr>
      </w:pPr>
      <w:r w:rsidRPr="000F40F1">
        <w:rPr>
          <w:rFonts w:ascii="Arial" w:hAnsi="Arial" w:cs="Arial"/>
          <w:color w:val="000000" w:themeColor="text1"/>
          <w:sz w:val="22"/>
          <w:szCs w:val="22"/>
        </w:rPr>
        <w:t>Prashant Bhat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1,2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Amy Chow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Benjamin Emert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Olivia Ettlin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Sofia A. Quinodoz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1,3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Mackenzie Strehle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0F40F1">
        <w:rPr>
          <w:rFonts w:ascii="Arial" w:hAnsi="Arial" w:cs="Arial"/>
          <w:color w:val="000000" w:themeColor="text1"/>
          <w:sz w:val="22"/>
          <w:szCs w:val="22"/>
        </w:rPr>
        <w:t>Yodai</w:t>
      </w:r>
      <w:proofErr w:type="spellEnd"/>
      <w:r w:rsidRPr="000F40F1">
        <w:rPr>
          <w:rFonts w:ascii="Arial" w:hAnsi="Arial" w:cs="Arial"/>
          <w:color w:val="000000" w:themeColor="text1"/>
          <w:sz w:val="22"/>
          <w:szCs w:val="22"/>
        </w:rPr>
        <w:t xml:space="preserve"> Takei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Alex Burr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Isabel Goronzy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1,2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Allen Chen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Wesley Huang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Jose Lorenzo M. Ferrer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Elizabeth Soehalim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Say-Tar Goh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Tara Chari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Delaney K. Sullivan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1,2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, Mario R. Blanco</w:t>
      </w: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Pr="000F40F1" w:rsidDel="00952A1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Mitchell Guttman</w:t>
      </w:r>
      <w:proofErr w:type="gramStart"/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1,†</w:t>
      </w:r>
      <w:proofErr w:type="gramEnd"/>
    </w:p>
    <w:p w14:paraId="3C8344D0" w14:textId="77777777" w:rsidR="000F40F1" w:rsidRPr="000F40F1" w:rsidRDefault="000F40F1" w:rsidP="000F40F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2F3C23F" w14:textId="77777777" w:rsidR="000F40F1" w:rsidRPr="000F40F1" w:rsidRDefault="000F40F1" w:rsidP="000F40F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C6FA6D5" w14:textId="77777777" w:rsidR="000F40F1" w:rsidRPr="000F40F1" w:rsidRDefault="000F40F1" w:rsidP="000F40F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25FF8D8" w14:textId="77777777" w:rsidR="000F40F1" w:rsidRPr="000F40F1" w:rsidRDefault="000F40F1" w:rsidP="000F40F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33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40F1">
        <w:rPr>
          <w:rFonts w:ascii="Arial" w:hAnsi="Arial" w:cs="Arial"/>
          <w:color w:val="000000" w:themeColor="text1"/>
          <w:sz w:val="22"/>
          <w:szCs w:val="22"/>
        </w:rPr>
        <w:t>Division of Biology and Biological Engineering, California Institute of Technology, Pasadena CA 91125, USA</w:t>
      </w:r>
    </w:p>
    <w:p w14:paraId="46DA4A8A" w14:textId="77777777" w:rsidR="000F40F1" w:rsidRPr="000F40F1" w:rsidRDefault="000F40F1" w:rsidP="000F40F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33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40F1">
        <w:rPr>
          <w:rFonts w:ascii="Arial" w:hAnsi="Arial" w:cs="Arial"/>
          <w:color w:val="000000" w:themeColor="text1"/>
          <w:sz w:val="22"/>
          <w:szCs w:val="22"/>
        </w:rPr>
        <w:t>David Geffen School of Medicine, University of California, Los Angeles, Los Angeles CA 90095, USA</w:t>
      </w:r>
    </w:p>
    <w:p w14:paraId="3F6A6254" w14:textId="77777777" w:rsidR="000F40F1" w:rsidRPr="000F40F1" w:rsidRDefault="000F40F1" w:rsidP="000F40F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33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40F1">
        <w:rPr>
          <w:rFonts w:ascii="Arial" w:hAnsi="Arial" w:cs="Arial"/>
          <w:color w:val="000000" w:themeColor="text1"/>
          <w:sz w:val="22"/>
          <w:szCs w:val="22"/>
        </w:rPr>
        <w:t>Current address: Department of Chemical and Biological Engineering, Princeton University, Princeton, NJ 08544, USA</w:t>
      </w:r>
    </w:p>
    <w:p w14:paraId="6F4B1451" w14:textId="77777777" w:rsidR="000F40F1" w:rsidRPr="000F40F1" w:rsidRDefault="000F40F1" w:rsidP="000F40F1">
      <w:pPr>
        <w:autoSpaceDE w:val="0"/>
        <w:autoSpaceDN w:val="0"/>
        <w:adjustRightInd w:val="0"/>
        <w:spacing w:line="276" w:lineRule="auto"/>
        <w:ind w:right="334"/>
        <w:jc w:val="both"/>
        <w:rPr>
          <w:rFonts w:ascii="Arial" w:hAnsi="Arial" w:cs="Arial"/>
          <w:color w:val="000000" w:themeColor="text1"/>
          <w:sz w:val="22"/>
          <w:szCs w:val="22"/>
          <w:vertAlign w:val="superscript"/>
        </w:rPr>
      </w:pPr>
    </w:p>
    <w:p w14:paraId="69DEE0DB" w14:textId="77777777" w:rsidR="000F40F1" w:rsidRPr="000F40F1" w:rsidRDefault="000F40F1" w:rsidP="000F40F1">
      <w:pPr>
        <w:autoSpaceDE w:val="0"/>
        <w:autoSpaceDN w:val="0"/>
        <w:adjustRightInd w:val="0"/>
        <w:spacing w:line="276" w:lineRule="auto"/>
        <w:ind w:right="334"/>
        <w:jc w:val="both"/>
        <w:rPr>
          <w:rFonts w:ascii="Arial" w:hAnsi="Arial" w:cs="Arial"/>
          <w:color w:val="000000" w:themeColor="text1"/>
          <w:sz w:val="22"/>
          <w:szCs w:val="22"/>
          <w:vertAlign w:val="superscript"/>
        </w:rPr>
      </w:pPr>
    </w:p>
    <w:p w14:paraId="2E237047" w14:textId="77777777" w:rsidR="000F40F1" w:rsidRDefault="000F40F1" w:rsidP="000F40F1">
      <w:pPr>
        <w:rPr>
          <w:rFonts w:ascii="Arial" w:hAnsi="Arial" w:cs="Arial"/>
          <w:color w:val="000000" w:themeColor="text1"/>
          <w:sz w:val="22"/>
          <w:szCs w:val="22"/>
        </w:rPr>
      </w:pPr>
      <w:r w:rsidRPr="000F40F1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† </w:t>
      </w:r>
      <w:r w:rsidRPr="000F40F1">
        <w:rPr>
          <w:rFonts w:ascii="Arial" w:hAnsi="Arial" w:cs="Arial"/>
          <w:color w:val="000000" w:themeColor="text1"/>
          <w:sz w:val="22"/>
          <w:szCs w:val="22"/>
        </w:rPr>
        <w:t>To whom correspondence should be addressed (mguttman@caltech.edu)</w:t>
      </w:r>
    </w:p>
    <w:p w14:paraId="12EA92A7" w14:textId="0F97C209" w:rsidR="000F40F1" w:rsidRDefault="000F40F1" w:rsidP="000F40F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3D7BDD2A" w14:textId="77777777" w:rsidR="00E225C3" w:rsidRPr="008A2469" w:rsidRDefault="00E225C3" w:rsidP="00E225C3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8A2469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Video 1 | Co-localization of RNA FISH spots (cyan) and SRRM1 (red) speckles in 3D. </w:t>
      </w:r>
      <w:r w:rsidRPr="008A246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MS2-containing reporter RNA preferentially co-localizes with nuclear speckles when co-expressed with SRRM1+MCP using RNA FISH coupled with fluorescence microscopy of </w:t>
      </w:r>
      <w:proofErr w:type="spellStart"/>
      <w:r w:rsidRPr="008A2469">
        <w:rPr>
          <w:rFonts w:ascii="Arial" w:eastAsia="Times New Roman" w:hAnsi="Arial" w:cs="Arial"/>
          <w:color w:val="000000" w:themeColor="text1"/>
          <w:sz w:val="22"/>
          <w:szCs w:val="22"/>
        </w:rPr>
        <w:t>mCherry</w:t>
      </w:r>
      <w:proofErr w:type="spellEnd"/>
      <w:r w:rsidRPr="008A2469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(for SRRM1).</w:t>
      </w:r>
    </w:p>
    <w:p w14:paraId="1095869A" w14:textId="77777777" w:rsidR="0030420A" w:rsidRDefault="0030420A" w:rsidP="0030420A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</w:p>
    <w:p w14:paraId="5551C946" w14:textId="7CC7E440" w:rsidR="0030420A" w:rsidRPr="002366BD" w:rsidRDefault="0030420A" w:rsidP="0030420A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2366B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Supplementa</w:t>
      </w:r>
      <w:r w:rsidR="005B01D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ry</w:t>
      </w:r>
      <w:r w:rsidRPr="002366B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Tables</w:t>
      </w:r>
    </w:p>
    <w:p w14:paraId="3DA3760B" w14:textId="5C054BAA" w:rsidR="0030420A" w:rsidRPr="002366BD" w:rsidRDefault="00C85A5A" w:rsidP="0030420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>Supplementary Table 1</w:t>
      </w:r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| Speckle distances computed from </w:t>
      </w:r>
      <w:proofErr w:type="spellStart"/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seqFISH</w:t>
      </w:r>
      <w:proofErr w:type="spellEnd"/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or TSA-seq and correlation with SPRITE.</w:t>
      </w:r>
    </w:p>
    <w:p w14:paraId="42F46840" w14:textId="5F4C1C1E" w:rsidR="0030420A" w:rsidRPr="002366BD" w:rsidRDefault="00C85A5A" w:rsidP="0030420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>Supplementary Table 2</w:t>
      </w:r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| Speckle distances computed from SPRITE and associated speckle hubs in mouse and human.</w:t>
      </w:r>
    </w:p>
    <w:p w14:paraId="35503A70" w14:textId="22DA1A63" w:rsidR="0030420A" w:rsidRPr="002366BD" w:rsidRDefault="00C85A5A" w:rsidP="0030420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Supplementary Table 3 </w:t>
      </w:r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| snRNA density, gene length, and expression metrics for each genomic bin.</w:t>
      </w:r>
    </w:p>
    <w:p w14:paraId="61DEB6B3" w14:textId="782C1B64" w:rsidR="0030420A" w:rsidRPr="002366BD" w:rsidRDefault="00C85A5A" w:rsidP="0030420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Supplementary Table 4 </w:t>
      </w:r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| Splicing efficiency measured by chromatin RNA-seq, 5EU-seq, and RD SPRITE.</w:t>
      </w:r>
    </w:p>
    <w:p w14:paraId="3813CCF7" w14:textId="43FB9EDC" w:rsidR="0030420A" w:rsidRPr="002366BD" w:rsidRDefault="00C85A5A" w:rsidP="0030420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Supplementary Table 5 </w:t>
      </w:r>
      <w:r w:rsidR="0030420A"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| Differences in Pol II and SPRITE speckle contact between different cell types.</w:t>
      </w:r>
    </w:p>
    <w:p w14:paraId="6D724F1C" w14:textId="77777777" w:rsidR="0030420A" w:rsidRPr="000F40F1" w:rsidRDefault="0030420A" w:rsidP="000F40F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E1A519E" w14:textId="77777777" w:rsidR="002366BD" w:rsidRDefault="002366BD" w:rsidP="002366BD">
      <w:pPr>
        <w:snapToGri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FBF8BA9" w14:textId="77777777" w:rsidR="005B01DD" w:rsidRDefault="005B01D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20EC5E9A" w14:textId="393CE23A" w:rsidR="0030420A" w:rsidRPr="002366BD" w:rsidRDefault="0030420A" w:rsidP="002366BD">
      <w:pPr>
        <w:snapToGri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Supplementary Figures</w:t>
      </w:r>
    </w:p>
    <w:p w14:paraId="34B29815" w14:textId="43E9A16A" w:rsidR="002366BD" w:rsidRPr="002366BD" w:rsidRDefault="002366BD" w:rsidP="002366BD">
      <w:pPr>
        <w:snapToGri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366BD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005E37C2" wp14:editId="398DB2DE">
            <wp:extent cx="3721100" cy="4914900"/>
            <wp:effectExtent l="0" t="0" r="0" b="0"/>
            <wp:docPr id="399779706" name="Picture 1" descr="A close-up of several images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779706" name="Picture 1" descr="A close-up of several images of a cel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B1653" w14:textId="5383EB25" w:rsidR="000268F0" w:rsidRDefault="002366BD" w:rsidP="002366BD">
      <w:pPr>
        <w:snapToGrid w:val="0"/>
        <w:spacing w:after="24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1 | SF3a66 immunofluorescence pre and post segmentation. a</w:t>
      </w:r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r w:rsidRPr="002366B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b,</w:t>
      </w:r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Two representative images of raw SF3a66 immunofluorescence from single z-sections (pre-segmentation). </w:t>
      </w:r>
      <w:r w:rsidRPr="002366BD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n</w:t>
      </w:r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= 446 cells from 2 biological replicates re-analyzed from Takei et al 2021</w:t>
      </w:r>
      <w:sdt>
        <w:sdtPr>
          <w:rPr>
            <w:rFonts w:ascii="Arial" w:eastAsia="Times New Roman" w:hAnsi="Arial" w:cs="Arial"/>
            <w:color w:val="000000"/>
            <w:sz w:val="22"/>
            <w:szCs w:val="22"/>
            <w:vertAlign w:val="superscript"/>
          </w:rPr>
          <w:tag w:val="MENDELEY_CITATION_v3_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"/>
          <w:id w:val="2087644064"/>
          <w:placeholder>
            <w:docPart w:val="C9138D9BB740654A8622E52B9F373A72"/>
          </w:placeholder>
        </w:sdtPr>
        <w:sdtContent>
          <w:r w:rsidRPr="002366BD">
            <w:rPr>
              <w:rFonts w:ascii="Arial" w:eastAsia="Times New Roman" w:hAnsi="Arial" w:cs="Arial"/>
              <w:color w:val="000000"/>
              <w:sz w:val="22"/>
              <w:szCs w:val="22"/>
              <w:vertAlign w:val="superscript"/>
            </w:rPr>
            <w:t>38</w:t>
          </w:r>
        </w:sdtContent>
      </w:sdt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Pr="002366B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c, d,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Post segmentation </w:t>
      </w:r>
      <w:proofErr w:type="spellStart"/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>thresholded</w:t>
      </w:r>
      <w:proofErr w:type="spellEnd"/>
      <w:r w:rsidRPr="002366B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speckles with z-score &gt; 2 for images in A and B, respectively.</w:t>
      </w:r>
    </w:p>
    <w:p w14:paraId="06E0C51C" w14:textId="77777777" w:rsidR="000268F0" w:rsidRDefault="000268F0">
      <w:pPr>
        <w:rPr>
          <w:rFonts w:ascii="Arial" w:eastAsia="Times New Roman" w:hAnsi="Arial" w:cs="Arial"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br w:type="page"/>
      </w:r>
    </w:p>
    <w:p w14:paraId="78092CB7" w14:textId="486F3A03" w:rsidR="000268F0" w:rsidRDefault="001F6E5C" w:rsidP="000268F0">
      <w:pPr>
        <w:snapToGrid w:val="0"/>
        <w:spacing w:after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F6E5C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drawing>
          <wp:inline distT="0" distB="0" distL="0" distR="0" wp14:anchorId="6E11643F" wp14:editId="6356B617">
            <wp:extent cx="5943600" cy="4726940"/>
            <wp:effectExtent l="0" t="0" r="0" b="0"/>
            <wp:docPr id="2029118482" name="Picture 1" descr="A diagram of a cell sorting proce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18482" name="Picture 1" descr="A diagram of a cell sorting process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68F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0268F0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0268F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|</w:t>
      </w:r>
      <w:r w:rsidR="000268F0"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268F0">
        <w:rPr>
          <w:rFonts w:ascii="Arial" w:hAnsi="Arial" w:cs="Arial"/>
          <w:b/>
          <w:bCs/>
          <w:color w:val="000000" w:themeColor="text1"/>
          <w:sz w:val="22"/>
          <w:szCs w:val="22"/>
        </w:rPr>
        <w:t>Gating strategy for flow cytometry</w:t>
      </w:r>
      <w:r w:rsidR="000268F0"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experiments</w:t>
      </w:r>
      <w:r w:rsidR="000268F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proofErr w:type="gramStart"/>
      <w:r w:rsidR="000268F0"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a,</w:t>
      </w:r>
      <w:proofErr w:type="gramEnd"/>
      <w:r w:rsidR="000268F0">
        <w:rPr>
          <w:rFonts w:ascii="Arial" w:hAnsi="Arial" w:cs="Arial"/>
          <w:color w:val="000000" w:themeColor="text1"/>
          <w:sz w:val="22"/>
          <w:szCs w:val="22"/>
        </w:rPr>
        <w:t xml:space="preserve"> Representative gating strategy for cell sorting of mouse ES cells for </w:t>
      </w:r>
      <w:proofErr w:type="spellStart"/>
      <w:r w:rsidR="000268F0">
        <w:rPr>
          <w:rFonts w:ascii="Arial" w:hAnsi="Arial" w:cs="Arial"/>
          <w:color w:val="000000" w:themeColor="text1"/>
          <w:sz w:val="22"/>
          <w:szCs w:val="22"/>
        </w:rPr>
        <w:t>CHoP</w:t>
      </w:r>
      <w:proofErr w:type="spellEnd"/>
      <w:r w:rsidR="000268F0">
        <w:rPr>
          <w:rFonts w:ascii="Arial" w:hAnsi="Arial" w:cs="Arial"/>
          <w:color w:val="000000" w:themeColor="text1"/>
          <w:sz w:val="22"/>
          <w:szCs w:val="22"/>
        </w:rPr>
        <w:t xml:space="preserve">-In integration experiments. </w:t>
      </w:r>
      <w:r w:rsidR="000268F0"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b,</w:t>
      </w:r>
      <w:r w:rsidR="000268F0">
        <w:rPr>
          <w:rFonts w:ascii="Arial" w:hAnsi="Arial" w:cs="Arial"/>
          <w:color w:val="000000" w:themeColor="text1"/>
          <w:sz w:val="22"/>
          <w:szCs w:val="22"/>
        </w:rPr>
        <w:t xml:space="preserve"> Representative gating strategy for the analysis of HEK293T cells for MS2-MCP transient transfection assays.</w:t>
      </w:r>
    </w:p>
    <w:p w14:paraId="4F1AD5AB" w14:textId="77777777" w:rsidR="002366BD" w:rsidRPr="002366BD" w:rsidRDefault="002366BD" w:rsidP="002366BD">
      <w:pPr>
        <w:snapToGrid w:val="0"/>
        <w:spacing w:after="24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74E24389" w14:textId="77777777" w:rsidR="002366BD" w:rsidRPr="002366BD" w:rsidRDefault="002366B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6E92F828" w14:textId="20049A8E" w:rsidR="000268F0" w:rsidRDefault="000268F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893AE62" w14:textId="77777777" w:rsidR="000268F0" w:rsidRPr="002366BD" w:rsidRDefault="000268F0" w:rsidP="000268F0">
      <w:pPr>
        <w:snapToGri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366BD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2E45F617" wp14:editId="4CFE8D1F">
            <wp:extent cx="5943600" cy="5288280"/>
            <wp:effectExtent l="0" t="0" r="0" b="0"/>
            <wp:docPr id="1722635526" name="Picture 1" descr="A chart of a variety of spliced sit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635526" name="Picture 1" descr="A chart of a variety of spliced site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B4CC" w14:textId="445EDF37" w:rsidR="000268F0" w:rsidRDefault="000268F0" w:rsidP="000268F0">
      <w:pPr>
        <w:snapToGrid w:val="0"/>
        <w:spacing w:after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|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2D FACS scatter plots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of MS2 MCP assay experiments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2D FACS scatter plots shown for IRF7 leveled intron reporter with the following proteins with and without the MCP tag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a,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SRRM1.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b,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SRSF1.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c,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SRSF3.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d,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LBR. </w:t>
      </w:r>
      <w:r w:rsidRPr="002366BD">
        <w:rPr>
          <w:rFonts w:ascii="Arial" w:hAnsi="Arial" w:cs="Arial"/>
          <w:b/>
          <w:bCs/>
          <w:color w:val="000000" w:themeColor="text1"/>
          <w:sz w:val="22"/>
          <w:szCs w:val="22"/>
        </w:rPr>
        <w:t>e,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∆NS SRRM1.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2D FACS scatter plots shown for CORO1B leveled intron reporter with the following proteins with and without the MCP ta</w:t>
      </w:r>
      <w:r>
        <w:rPr>
          <w:rFonts w:ascii="Arial" w:hAnsi="Arial" w:cs="Arial"/>
          <w:color w:val="000000" w:themeColor="text1"/>
          <w:sz w:val="22"/>
          <w:szCs w:val="22"/>
        </w:rPr>
        <w:t>g: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a,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SRRM1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b,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LBR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2D FACS scatter plots shown for FRG1 differential intron reporter with the following proteins with and without the MCP tag</w:t>
      </w:r>
      <w:r>
        <w:rPr>
          <w:rFonts w:ascii="Arial" w:hAnsi="Arial" w:cs="Arial"/>
          <w:color w:val="000000" w:themeColor="text1"/>
          <w:sz w:val="22"/>
          <w:szCs w:val="22"/>
        </w:rPr>
        <w:t>: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a,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SRRM1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b, </w:t>
      </w:r>
      <w:r w:rsidRPr="002366BD">
        <w:rPr>
          <w:rFonts w:ascii="Arial" w:hAnsi="Arial" w:cs="Arial"/>
          <w:color w:val="000000" w:themeColor="text1"/>
          <w:sz w:val="22"/>
          <w:szCs w:val="22"/>
        </w:rPr>
        <w:t>LBR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485938" w14:textId="77777777" w:rsidR="000268F0" w:rsidRDefault="000268F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D29EE6" w14:textId="77777777" w:rsidR="002366BD" w:rsidRPr="002366BD" w:rsidRDefault="002366BD" w:rsidP="002366BD">
      <w:pPr>
        <w:snapToGrid w:val="0"/>
        <w:spacing w:after="24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EADE6F9" w14:textId="77777777" w:rsidR="002366BD" w:rsidRPr="002366BD" w:rsidRDefault="002366BD" w:rsidP="002366BD">
      <w:pPr>
        <w:snapToGrid w:val="0"/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82CBB4" w14:textId="77777777" w:rsidR="002366BD" w:rsidRPr="002366BD" w:rsidRDefault="002366BD" w:rsidP="002366BD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</w:p>
    <w:p w14:paraId="37FBC69F" w14:textId="77777777" w:rsidR="00BB016B" w:rsidRPr="002366BD" w:rsidRDefault="00BB016B">
      <w:pPr>
        <w:rPr>
          <w:rFonts w:ascii="Arial" w:hAnsi="Arial" w:cs="Arial"/>
          <w:sz w:val="22"/>
          <w:szCs w:val="22"/>
        </w:rPr>
      </w:pPr>
    </w:p>
    <w:sectPr w:rsidR="00BB016B" w:rsidRPr="002366BD" w:rsidSect="00415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hitney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59E1"/>
    <w:multiLevelType w:val="hybridMultilevel"/>
    <w:tmpl w:val="BDE8F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66D21"/>
    <w:multiLevelType w:val="hybridMultilevel"/>
    <w:tmpl w:val="C21C34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73124"/>
    <w:multiLevelType w:val="hybridMultilevel"/>
    <w:tmpl w:val="299CC3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770D00"/>
    <w:multiLevelType w:val="hybridMultilevel"/>
    <w:tmpl w:val="B0CA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681126">
    <w:abstractNumId w:val="1"/>
  </w:num>
  <w:num w:numId="2" w16cid:durableId="554124788">
    <w:abstractNumId w:val="0"/>
  </w:num>
  <w:num w:numId="3" w16cid:durableId="806439682">
    <w:abstractNumId w:val="2"/>
  </w:num>
  <w:num w:numId="4" w16cid:durableId="334115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BD"/>
    <w:rsid w:val="000268F0"/>
    <w:rsid w:val="0007020F"/>
    <w:rsid w:val="000E4A18"/>
    <w:rsid w:val="000F40F1"/>
    <w:rsid w:val="001F6E5C"/>
    <w:rsid w:val="002366BD"/>
    <w:rsid w:val="0030420A"/>
    <w:rsid w:val="003B0CB1"/>
    <w:rsid w:val="0041546F"/>
    <w:rsid w:val="004D23AA"/>
    <w:rsid w:val="00550C63"/>
    <w:rsid w:val="005B01DD"/>
    <w:rsid w:val="00627D55"/>
    <w:rsid w:val="0065013C"/>
    <w:rsid w:val="00706EE2"/>
    <w:rsid w:val="007E45BE"/>
    <w:rsid w:val="00992A2F"/>
    <w:rsid w:val="00BB016B"/>
    <w:rsid w:val="00C75CE0"/>
    <w:rsid w:val="00C85A5A"/>
    <w:rsid w:val="00E225C3"/>
    <w:rsid w:val="00F6597C"/>
    <w:rsid w:val="00F91C59"/>
    <w:rsid w:val="00FB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C0F0"/>
  <w15:chartTrackingRefBased/>
  <w15:docId w15:val="{C99D09D2-85A2-7845-958F-EF5C70C9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66BD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6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6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6B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366BD"/>
    <w:rPr>
      <w:sz w:val="16"/>
      <w:szCs w:val="16"/>
    </w:rPr>
  </w:style>
  <w:style w:type="paragraph" w:customStyle="1" w:styleId="Default">
    <w:name w:val="Default"/>
    <w:rsid w:val="000F40F1"/>
    <w:pPr>
      <w:autoSpaceDE w:val="0"/>
      <w:autoSpaceDN w:val="0"/>
      <w:adjustRightInd w:val="0"/>
    </w:pPr>
    <w:rPr>
      <w:rFonts w:ascii="Whitney" w:hAnsi="Whitney" w:cs="Whitney"/>
      <w:color w:val="000000"/>
      <w:kern w:val="0"/>
      <w14:ligatures w14:val="none"/>
    </w:rPr>
  </w:style>
  <w:style w:type="character" w:customStyle="1" w:styleId="A11">
    <w:name w:val="A11"/>
    <w:uiPriority w:val="99"/>
    <w:rsid w:val="000F40F1"/>
    <w:rPr>
      <w:rFonts w:cs="Whitney"/>
      <w:color w:val="000000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0F40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F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138D9BB740654A8622E52B9F373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4559B-69FB-AC45-85B9-065BA3A0CA79}"/>
      </w:docPartPr>
      <w:docPartBody>
        <w:p w:rsidR="004529AB" w:rsidRDefault="001D7E4E" w:rsidP="001D7E4E">
          <w:pPr>
            <w:pStyle w:val="C9138D9BB740654A8622E52B9F373A72"/>
          </w:pPr>
          <w:r w:rsidRPr="00C21C9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hitney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4E"/>
    <w:rsid w:val="000738E1"/>
    <w:rsid w:val="001D7E4E"/>
    <w:rsid w:val="002D74F6"/>
    <w:rsid w:val="004529AB"/>
    <w:rsid w:val="0085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7E4E"/>
    <w:rPr>
      <w:color w:val="808080"/>
    </w:rPr>
  </w:style>
  <w:style w:type="paragraph" w:customStyle="1" w:styleId="C9138D9BB740654A8622E52B9F373A72">
    <w:name w:val="C9138D9BB740654A8622E52B9F373A72"/>
    <w:rsid w:val="001D7E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Bhat</dc:creator>
  <cp:keywords/>
  <dc:description/>
  <cp:lastModifiedBy>Prashant Bhat</cp:lastModifiedBy>
  <cp:revision>2</cp:revision>
  <dcterms:created xsi:type="dcterms:W3CDTF">2024-04-26T18:22:00Z</dcterms:created>
  <dcterms:modified xsi:type="dcterms:W3CDTF">2024-04-26T18:22:00Z</dcterms:modified>
</cp:coreProperties>
</file>