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rPr/>
      </w:pPr>
      <w:bookmarkStart w:colFirst="0" w:colLast="0" w:name="_lsnv90vuol5p" w:id="0"/>
      <w:bookmarkEnd w:id="0"/>
      <w:r w:rsidDel="00000000" w:rsidR="00000000" w:rsidRPr="00000000">
        <w:rPr>
          <w:rtl w:val="0"/>
        </w:rPr>
        <w:t xml:space="preserve">Supplementary discussion</w:t>
      </w:r>
    </w:p>
    <w:p w:rsidR="00000000" w:rsidDel="00000000" w:rsidP="00000000" w:rsidRDefault="00000000" w:rsidRPr="00000000" w14:paraId="00000002">
      <w:pPr>
        <w:pStyle w:val="Heading2"/>
        <w:spacing w:after="240" w:before="240" w:line="360" w:lineRule="auto"/>
        <w:jc w:val="both"/>
        <w:rPr>
          <w:rFonts w:ascii="Times New Roman" w:cs="Times New Roman" w:eastAsia="Times New Roman" w:hAnsi="Times New Roman"/>
          <w:b w:val="1"/>
          <w:i w:val="1"/>
          <w:sz w:val="24"/>
          <w:szCs w:val="24"/>
        </w:rPr>
      </w:pPr>
      <w:bookmarkStart w:colFirst="0" w:colLast="0" w:name="_k1kkrr4d26tv" w:id="1"/>
      <w:bookmarkEnd w:id="1"/>
      <w:r w:rsidDel="00000000" w:rsidR="00000000" w:rsidRPr="00000000">
        <w:rPr>
          <w:rFonts w:ascii="Times New Roman" w:cs="Times New Roman" w:eastAsia="Times New Roman" w:hAnsi="Times New Roman"/>
          <w:b w:val="1"/>
          <w:i w:val="1"/>
          <w:sz w:val="24"/>
          <w:szCs w:val="24"/>
          <w:rtl w:val="0"/>
        </w:rPr>
        <w:t xml:space="preserve">Hair follicle </w:t>
      </w:r>
      <w:r w:rsidDel="00000000" w:rsidR="00000000" w:rsidRPr="00000000">
        <w:rPr>
          <w:rtl w:val="0"/>
        </w:rPr>
        <w:t xml:space="preserve"> dermal sheath cells</w:t>
      </w:r>
      <w:r w:rsidDel="00000000" w:rsidR="00000000" w:rsidRPr="00000000">
        <w:rPr>
          <w:rtl w:val="0"/>
        </w:rPr>
      </w:r>
    </w:p>
    <w:p w:rsidR="00000000" w:rsidDel="00000000" w:rsidP="00000000" w:rsidRDefault="00000000" w:rsidRPr="00000000" w14:paraId="00000003">
      <w:pPr>
        <w:spacing w:after="240" w:before="24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pre-Dc and Dc are only present in prenatal skin and not in human and mouse adult skin</w:t>
      </w:r>
      <w:hyperlink r:id="rId6">
        <w:r w:rsidDel="00000000" w:rsidR="00000000" w:rsidRPr="00000000">
          <w:rPr>
            <w:rFonts w:ascii="Times New Roman" w:cs="Times New Roman" w:eastAsia="Times New Roman" w:hAnsi="Times New Roman"/>
            <w:b w:val="0"/>
            <w:color w:val="000000"/>
            <w:sz w:val="24"/>
            <w:szCs w:val="24"/>
            <w:u w:val="none"/>
            <w:vertAlign w:val="superscript"/>
            <w:rtl w:val="0"/>
          </w:rPr>
          <w:t xml:space="preserve">1</w:t>
        </w:r>
      </w:hyperlink>
      <w:r w:rsidDel="00000000" w:rsidR="00000000" w:rsidRPr="00000000">
        <w:rPr>
          <w:rFonts w:ascii="Times New Roman" w:cs="Times New Roman" w:eastAsia="Times New Roman" w:hAnsi="Times New Roman"/>
          <w:sz w:val="24"/>
          <w:szCs w:val="24"/>
          <w:rtl w:val="0"/>
        </w:rPr>
        <w:t xml:space="preserve">, with self-renewing dermal cells maintaining the Dp during adult hair follicle cycling</w:t>
      </w:r>
      <w:hyperlink r:id="rId7">
        <w:r w:rsidDel="00000000" w:rsidR="00000000" w:rsidRPr="00000000">
          <w:rPr>
            <w:rFonts w:ascii="Times New Roman" w:cs="Times New Roman" w:eastAsia="Times New Roman" w:hAnsi="Times New Roman"/>
            <w:b w:val="0"/>
            <w:color w:val="000000"/>
            <w:sz w:val="24"/>
            <w:szCs w:val="24"/>
            <w:u w:val="none"/>
            <w:vertAlign w:val="superscript"/>
            <w:rtl w:val="0"/>
          </w:rPr>
          <w:t xml:space="preserve">2,3</w:t>
        </w:r>
      </w:hyperlink>
      <w:r w:rsidDel="00000000" w:rsidR="00000000" w:rsidRPr="00000000">
        <w:rPr>
          <w:rFonts w:ascii="Times New Roman" w:cs="Times New Roman" w:eastAsia="Times New Roman" w:hAnsi="Times New Roman"/>
          <w:sz w:val="24"/>
          <w:szCs w:val="24"/>
          <w:rtl w:val="0"/>
        </w:rPr>
        <w:t xml:space="preserve">. These self-renewing dermal cells are located within the dermal sheath, a structure of layered connective tissue surrounding the hair follicle</w:t>
      </w:r>
      <w:hyperlink r:id="rId8">
        <w:r w:rsidDel="00000000" w:rsidR="00000000" w:rsidRPr="00000000">
          <w:rPr>
            <w:rFonts w:ascii="Times New Roman" w:cs="Times New Roman" w:eastAsia="Times New Roman" w:hAnsi="Times New Roman"/>
            <w:b w:val="0"/>
            <w:color w:val="000000"/>
            <w:sz w:val="24"/>
            <w:szCs w:val="24"/>
            <w:u w:val="none"/>
            <w:vertAlign w:val="superscript"/>
            <w:rtl w:val="0"/>
          </w:rPr>
          <w:t xml:space="preserve">4</w:t>
        </w:r>
      </w:hyperlink>
      <w:r w:rsidDel="00000000" w:rsidR="00000000" w:rsidRPr="00000000">
        <w:rPr>
          <w:rFonts w:ascii="Times New Roman" w:cs="Times New Roman" w:eastAsia="Times New Roman" w:hAnsi="Times New Roman"/>
          <w:sz w:val="24"/>
          <w:szCs w:val="24"/>
          <w:rtl w:val="0"/>
        </w:rPr>
        <w:t xml:space="preserve">. We did not detect a distinct cluster of dermal sheath cells in 7-17 PCW prenatal skin, although this has been identified in a previous single cell analysis of human fetal scalp from 16 and 17 PCW</w:t>
      </w:r>
      <w:hyperlink r:id="rId9">
        <w:r w:rsidDel="00000000" w:rsidR="00000000" w:rsidRPr="00000000">
          <w:rPr>
            <w:rFonts w:ascii="Times New Roman" w:cs="Times New Roman" w:eastAsia="Times New Roman" w:hAnsi="Times New Roman"/>
            <w:b w:val="0"/>
            <w:color w:val="000000"/>
            <w:sz w:val="24"/>
            <w:szCs w:val="24"/>
            <w:u w:val="none"/>
            <w:vertAlign w:val="superscript"/>
            <w:rtl w:val="0"/>
          </w:rPr>
          <w:t xml:space="preserve">5</w:t>
        </w:r>
      </w:hyperlink>
      <w:r w:rsidDel="00000000" w:rsidR="00000000" w:rsidRPr="00000000">
        <w:rPr>
          <w:rFonts w:ascii="Times New Roman" w:cs="Times New Roman" w:eastAsia="Times New Roman" w:hAnsi="Times New Roman"/>
          <w:sz w:val="24"/>
          <w:szCs w:val="24"/>
          <w:rtl w:val="0"/>
        </w:rPr>
        <w:t xml:space="preserve">. This is consistent with the earlier development of hair follicles in the scalp compared to trunk skin</w:t>
      </w:r>
      <w:hyperlink r:id="rId10">
        <w:r w:rsidDel="00000000" w:rsidR="00000000" w:rsidRPr="00000000">
          <w:rPr>
            <w:rFonts w:ascii="Times New Roman" w:cs="Times New Roman" w:eastAsia="Times New Roman" w:hAnsi="Times New Roman"/>
            <w:b w:val="0"/>
            <w:color w:val="000000"/>
            <w:sz w:val="24"/>
            <w:szCs w:val="24"/>
            <w:u w:val="none"/>
            <w:vertAlign w:val="superscript"/>
            <w:rtl w:val="0"/>
          </w:rPr>
          <w:t xml:space="preserve">6,7</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4">
      <w:pPr>
        <w:pStyle w:val="Heading2"/>
        <w:rPr/>
      </w:pPr>
      <w:bookmarkStart w:colFirst="0" w:colLast="0" w:name="_tdme04l1zddc" w:id="2"/>
      <w:bookmarkEnd w:id="2"/>
      <w:r w:rsidDel="00000000" w:rsidR="00000000" w:rsidRPr="00000000">
        <w:rPr>
          <w:rtl w:val="0"/>
        </w:rPr>
        <w:t xml:space="preserve">In vitro persistence and functions of macrophages co-cultured with skin organoids</w:t>
      </w:r>
    </w:p>
    <w:p w:rsidR="00000000" w:rsidDel="00000000" w:rsidP="00000000" w:rsidRDefault="00000000" w:rsidRPr="00000000" w14:paraId="00000005">
      <w:pPr>
        <w:spacing w:after="240" w:before="24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Induced pluripotent stem cell (iPSC)-derived macrophages survived at least five weeks in the skin organoid, in contrast to 1-2 weeks in liquid culture supplemented with macrophage colony-stimulating factor</w:t>
      </w:r>
      <w:hyperlink r:id="rId11">
        <w:r w:rsidDel="00000000" w:rsidR="00000000" w:rsidRPr="00000000">
          <w:rPr>
            <w:rFonts w:ascii="Times New Roman" w:cs="Times New Roman" w:eastAsia="Times New Roman" w:hAnsi="Times New Roman"/>
            <w:b w:val="0"/>
            <w:color w:val="000000"/>
            <w:sz w:val="24"/>
            <w:szCs w:val="24"/>
            <w:u w:val="none"/>
            <w:vertAlign w:val="superscript"/>
            <w:rtl w:val="0"/>
          </w:rPr>
          <w:t xml:space="preserve">8</w:t>
        </w:r>
      </w:hyperlink>
      <w:r w:rsidDel="00000000" w:rsidR="00000000" w:rsidRPr="00000000">
        <w:rPr>
          <w:rFonts w:ascii="Times New Roman" w:cs="Times New Roman" w:eastAsia="Times New Roman" w:hAnsi="Times New Roman"/>
          <w:sz w:val="24"/>
          <w:szCs w:val="24"/>
          <w:rtl w:val="0"/>
        </w:rPr>
        <w:t xml:space="preserve">. Increased viability of macrophages has been  previously noted in co-culture with self-assembling skin equivalents</w:t>
      </w:r>
      <w:hyperlink r:id="rId12">
        <w:r w:rsidDel="00000000" w:rsidR="00000000" w:rsidRPr="00000000">
          <w:rPr>
            <w:rFonts w:ascii="Times New Roman" w:cs="Times New Roman" w:eastAsia="Times New Roman" w:hAnsi="Times New Roman"/>
            <w:b w:val="0"/>
            <w:color w:val="000000"/>
            <w:sz w:val="24"/>
            <w:szCs w:val="24"/>
            <w:u w:val="none"/>
            <w:vertAlign w:val="superscript"/>
            <w:rtl w:val="0"/>
          </w:rPr>
          <w:t xml:space="preserve">9</w:t>
        </w:r>
      </w:hyperlink>
      <w:r w:rsidDel="00000000" w:rsidR="00000000" w:rsidRPr="00000000">
        <w:rPr>
          <w:rFonts w:ascii="Times New Roman" w:cs="Times New Roman" w:eastAsia="Times New Roman" w:hAnsi="Times New Roman"/>
          <w:sz w:val="24"/>
          <w:szCs w:val="24"/>
          <w:rtl w:val="0"/>
        </w:rPr>
        <w:t xml:space="preserve">, highlighting the importance of tissue environment in sustaining macrophage residency and longevity. The development of other structures such as hair follicles, melanocytes, neural and interfollicular epidermal and dermal cells in the skin organoid were unaffected by the absence of immune cells. This is likely due to the specific timing and supplementation of growth factors to promote skin and hair follicle differentiation in the hair-bearing skin organoid model. Indeed, the requirement for macrophages for adequate development of both ectoderm and mesoderm-derived structures, including peripheral neural cells and blood vessels, has been demonstrated by depleting macrophages in mouse models </w:t>
      </w:r>
      <w:hyperlink r:id="rId13">
        <w:r w:rsidDel="00000000" w:rsidR="00000000" w:rsidRPr="00000000">
          <w:rPr>
            <w:rFonts w:ascii="Times New Roman" w:cs="Times New Roman" w:eastAsia="Times New Roman" w:hAnsi="Times New Roman"/>
            <w:b w:val="0"/>
            <w:color w:val="000000"/>
            <w:sz w:val="24"/>
            <w:szCs w:val="24"/>
            <w:u w:val="none"/>
            <w:vertAlign w:val="superscript"/>
            <w:rtl w:val="0"/>
          </w:rPr>
          <w:t xml:space="preserve">10–13</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6">
      <w:pPr>
        <w:spacing w:after="240" w:before="240"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pStyle w:val="Heading1"/>
        <w:rPr>
          <w:rFonts w:ascii="Times New Roman" w:cs="Times New Roman" w:eastAsia="Times New Roman" w:hAnsi="Times New Roman"/>
          <w:b w:val="1"/>
          <w:sz w:val="24"/>
          <w:szCs w:val="24"/>
        </w:rPr>
      </w:pPr>
      <w:bookmarkStart w:colFirst="0" w:colLast="0" w:name="_eo5vy543294" w:id="3"/>
      <w:bookmarkEnd w:id="3"/>
      <w:r w:rsidDel="00000000" w:rsidR="00000000" w:rsidRPr="00000000">
        <w:rPr>
          <w:rtl w:val="0"/>
        </w:rPr>
        <w:t xml:space="preserve">Supplementary r</w:t>
      </w:r>
      <w:r w:rsidDel="00000000" w:rsidR="00000000" w:rsidRPr="00000000">
        <w:rPr>
          <w:rtl w:val="0"/>
        </w:rPr>
        <w:t xml:space="preserve">eferences</w:t>
      </w: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480" w:lineRule="auto"/>
        <w:ind w:left="480" w:right="0" w:hanging="48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tab/>
      </w:r>
      <w:hyperlink r:id="rId14">
        <w:r w:rsidDel="00000000" w:rsidR="00000000" w:rsidRPr="00000000">
          <w:rPr>
            <w:rFonts w:ascii="Times New Roman" w:cs="Times New Roman" w:eastAsia="Times New Roman" w:hAnsi="Times New Roman"/>
            <w:color w:val="000000"/>
            <w:sz w:val="24"/>
            <w:szCs w:val="24"/>
            <w:u w:val="none"/>
            <w:rtl w:val="0"/>
          </w:rPr>
          <w:t xml:space="preserve">Mok, K.-W. </w:t>
        </w:r>
      </w:hyperlink>
      <w:hyperlink r:id="rId15">
        <w:r w:rsidDel="00000000" w:rsidR="00000000" w:rsidRPr="00000000">
          <w:rPr>
            <w:rFonts w:ascii="Times New Roman" w:cs="Times New Roman" w:eastAsia="Times New Roman" w:hAnsi="Times New Roman"/>
            <w:i w:val="1"/>
            <w:color w:val="000000"/>
            <w:sz w:val="24"/>
            <w:szCs w:val="24"/>
            <w:u w:val="none"/>
            <w:rtl w:val="0"/>
          </w:rPr>
          <w:t xml:space="preserve">et al.</w:t>
        </w:r>
      </w:hyperlink>
      <w:hyperlink r:id="rId16">
        <w:r w:rsidDel="00000000" w:rsidR="00000000" w:rsidRPr="00000000">
          <w:rPr>
            <w:rFonts w:ascii="Times New Roman" w:cs="Times New Roman" w:eastAsia="Times New Roman" w:hAnsi="Times New Roman"/>
            <w:color w:val="000000"/>
            <w:sz w:val="24"/>
            <w:szCs w:val="24"/>
            <w:u w:val="none"/>
            <w:rtl w:val="0"/>
          </w:rPr>
          <w:t xml:space="preserve"> Dermal Condensate Niche Fate Specification Occurs Prior to Formation and Is Placode Progenitor Dependent. </w:t>
        </w:r>
      </w:hyperlink>
      <w:hyperlink r:id="rId17">
        <w:r w:rsidDel="00000000" w:rsidR="00000000" w:rsidRPr="00000000">
          <w:rPr>
            <w:rFonts w:ascii="Times New Roman" w:cs="Times New Roman" w:eastAsia="Times New Roman" w:hAnsi="Times New Roman"/>
            <w:i w:val="1"/>
            <w:color w:val="000000"/>
            <w:sz w:val="24"/>
            <w:szCs w:val="24"/>
            <w:u w:val="none"/>
            <w:rtl w:val="0"/>
          </w:rPr>
          <w:t xml:space="preserve">Dev. Cell</w:t>
        </w:r>
      </w:hyperlink>
      <w:hyperlink r:id="rId18">
        <w:r w:rsidDel="00000000" w:rsidR="00000000" w:rsidRPr="00000000">
          <w:rPr>
            <w:rFonts w:ascii="Times New Roman" w:cs="Times New Roman" w:eastAsia="Times New Roman" w:hAnsi="Times New Roman"/>
            <w:color w:val="000000"/>
            <w:sz w:val="24"/>
            <w:szCs w:val="24"/>
            <w:u w:val="none"/>
            <w:rtl w:val="0"/>
          </w:rPr>
          <w:t xml:space="preserve"> 48, 32–48.e5 (2019).</w:t>
        </w:r>
      </w:hyperlink>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80" w:right="0" w:hanging="48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tab/>
      </w:r>
      <w:hyperlink r:id="rId19">
        <w:r w:rsidDel="00000000" w:rsidR="00000000" w:rsidRPr="00000000">
          <w:rPr>
            <w:rFonts w:ascii="Times New Roman" w:cs="Times New Roman" w:eastAsia="Times New Roman" w:hAnsi="Times New Roman"/>
            <w:color w:val="000000"/>
            <w:sz w:val="24"/>
            <w:szCs w:val="24"/>
            <w:u w:val="none"/>
            <w:rtl w:val="0"/>
          </w:rPr>
          <w:t xml:space="preserve">Rahmani, W. </w:t>
        </w:r>
      </w:hyperlink>
      <w:hyperlink r:id="rId20">
        <w:r w:rsidDel="00000000" w:rsidR="00000000" w:rsidRPr="00000000">
          <w:rPr>
            <w:rFonts w:ascii="Times New Roman" w:cs="Times New Roman" w:eastAsia="Times New Roman" w:hAnsi="Times New Roman"/>
            <w:i w:val="1"/>
            <w:color w:val="000000"/>
            <w:sz w:val="24"/>
            <w:szCs w:val="24"/>
            <w:u w:val="none"/>
            <w:rtl w:val="0"/>
          </w:rPr>
          <w:t xml:space="preserve">et al.</w:t>
        </w:r>
      </w:hyperlink>
      <w:hyperlink r:id="rId21">
        <w:r w:rsidDel="00000000" w:rsidR="00000000" w:rsidRPr="00000000">
          <w:rPr>
            <w:rFonts w:ascii="Times New Roman" w:cs="Times New Roman" w:eastAsia="Times New Roman" w:hAnsi="Times New Roman"/>
            <w:color w:val="000000"/>
            <w:sz w:val="24"/>
            <w:szCs w:val="24"/>
            <w:u w:val="none"/>
            <w:rtl w:val="0"/>
          </w:rPr>
          <w:t xml:space="preserve"> Hair follicle dermal stem cells regenerate the dermal sheath, repopulate the dermal papilla, and modulate hair type. </w:t>
        </w:r>
      </w:hyperlink>
      <w:hyperlink r:id="rId22">
        <w:r w:rsidDel="00000000" w:rsidR="00000000" w:rsidRPr="00000000">
          <w:rPr>
            <w:rFonts w:ascii="Times New Roman" w:cs="Times New Roman" w:eastAsia="Times New Roman" w:hAnsi="Times New Roman"/>
            <w:i w:val="1"/>
            <w:color w:val="000000"/>
            <w:sz w:val="24"/>
            <w:szCs w:val="24"/>
            <w:u w:val="none"/>
            <w:rtl w:val="0"/>
          </w:rPr>
          <w:t xml:space="preserve">Dev. Cell</w:t>
        </w:r>
      </w:hyperlink>
      <w:hyperlink r:id="rId23">
        <w:r w:rsidDel="00000000" w:rsidR="00000000" w:rsidRPr="00000000">
          <w:rPr>
            <w:rFonts w:ascii="Times New Roman" w:cs="Times New Roman" w:eastAsia="Times New Roman" w:hAnsi="Times New Roman"/>
            <w:color w:val="000000"/>
            <w:sz w:val="24"/>
            <w:szCs w:val="24"/>
            <w:u w:val="none"/>
            <w:rtl w:val="0"/>
          </w:rPr>
          <w:t xml:space="preserve"> 31, 543–558 (2014).</w:t>
        </w:r>
      </w:hyperlink>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80" w:right="0" w:hanging="48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tab/>
      </w:r>
      <w:hyperlink r:id="rId24">
        <w:r w:rsidDel="00000000" w:rsidR="00000000" w:rsidRPr="00000000">
          <w:rPr>
            <w:rFonts w:ascii="Times New Roman" w:cs="Times New Roman" w:eastAsia="Times New Roman" w:hAnsi="Times New Roman"/>
            <w:color w:val="000000"/>
            <w:sz w:val="24"/>
            <w:szCs w:val="24"/>
            <w:u w:val="none"/>
            <w:rtl w:val="0"/>
          </w:rPr>
          <w:t xml:space="preserve">Wang, B. </w:t>
        </w:r>
      </w:hyperlink>
      <w:hyperlink r:id="rId25">
        <w:r w:rsidDel="00000000" w:rsidR="00000000" w:rsidRPr="00000000">
          <w:rPr>
            <w:rFonts w:ascii="Times New Roman" w:cs="Times New Roman" w:eastAsia="Times New Roman" w:hAnsi="Times New Roman"/>
            <w:i w:val="1"/>
            <w:color w:val="000000"/>
            <w:sz w:val="24"/>
            <w:szCs w:val="24"/>
            <w:u w:val="none"/>
            <w:rtl w:val="0"/>
          </w:rPr>
          <w:t xml:space="preserve">et al.</w:t>
        </w:r>
      </w:hyperlink>
      <w:hyperlink r:id="rId26">
        <w:r w:rsidDel="00000000" w:rsidR="00000000" w:rsidRPr="00000000">
          <w:rPr>
            <w:rFonts w:ascii="Times New Roman" w:cs="Times New Roman" w:eastAsia="Times New Roman" w:hAnsi="Times New Roman"/>
            <w:color w:val="000000"/>
            <w:sz w:val="24"/>
            <w:szCs w:val="24"/>
            <w:u w:val="none"/>
            <w:rtl w:val="0"/>
          </w:rPr>
          <w:t xml:space="preserve"> Human hair follicle-derived mesenchymal stem cells: Isolation, expansion, and differentiation. </w:t>
        </w:r>
      </w:hyperlink>
      <w:hyperlink r:id="rId27">
        <w:r w:rsidDel="00000000" w:rsidR="00000000" w:rsidRPr="00000000">
          <w:rPr>
            <w:rFonts w:ascii="Times New Roman" w:cs="Times New Roman" w:eastAsia="Times New Roman" w:hAnsi="Times New Roman"/>
            <w:i w:val="1"/>
            <w:color w:val="000000"/>
            <w:sz w:val="24"/>
            <w:szCs w:val="24"/>
            <w:u w:val="none"/>
            <w:rtl w:val="0"/>
          </w:rPr>
          <w:t xml:space="preserve">World J. Stem Cells</w:t>
        </w:r>
      </w:hyperlink>
      <w:hyperlink r:id="rId28">
        <w:r w:rsidDel="00000000" w:rsidR="00000000" w:rsidRPr="00000000">
          <w:rPr>
            <w:rFonts w:ascii="Times New Roman" w:cs="Times New Roman" w:eastAsia="Times New Roman" w:hAnsi="Times New Roman"/>
            <w:color w:val="000000"/>
            <w:sz w:val="24"/>
            <w:szCs w:val="24"/>
            <w:u w:val="none"/>
            <w:rtl w:val="0"/>
          </w:rPr>
          <w:t xml:space="preserve"> 12, 462–470 (2020).</w:t>
        </w:r>
      </w:hyperlink>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80" w:right="0" w:hanging="48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tab/>
      </w:r>
      <w:hyperlink r:id="rId29">
        <w:r w:rsidDel="00000000" w:rsidR="00000000" w:rsidRPr="00000000">
          <w:rPr>
            <w:rFonts w:ascii="Times New Roman" w:cs="Times New Roman" w:eastAsia="Times New Roman" w:hAnsi="Times New Roman"/>
            <w:color w:val="000000"/>
            <w:sz w:val="24"/>
            <w:szCs w:val="24"/>
            <w:u w:val="none"/>
            <w:rtl w:val="0"/>
          </w:rPr>
          <w:t xml:space="preserve">Martino, P. A., Heitman, N. &amp; Rendl, M. The dermal sheath: An emerging component of the hair follicle stem cell niche. </w:t>
        </w:r>
      </w:hyperlink>
      <w:hyperlink r:id="rId30">
        <w:r w:rsidDel="00000000" w:rsidR="00000000" w:rsidRPr="00000000">
          <w:rPr>
            <w:rFonts w:ascii="Times New Roman" w:cs="Times New Roman" w:eastAsia="Times New Roman" w:hAnsi="Times New Roman"/>
            <w:i w:val="1"/>
            <w:color w:val="000000"/>
            <w:sz w:val="24"/>
            <w:szCs w:val="24"/>
            <w:u w:val="none"/>
            <w:rtl w:val="0"/>
          </w:rPr>
          <w:t xml:space="preserve">Exp. Dermatol.</w:t>
        </w:r>
      </w:hyperlink>
      <w:hyperlink r:id="rId31">
        <w:r w:rsidDel="00000000" w:rsidR="00000000" w:rsidRPr="00000000">
          <w:rPr>
            <w:rFonts w:ascii="Times New Roman" w:cs="Times New Roman" w:eastAsia="Times New Roman" w:hAnsi="Times New Roman"/>
            <w:color w:val="000000"/>
            <w:sz w:val="24"/>
            <w:szCs w:val="24"/>
            <w:u w:val="none"/>
            <w:rtl w:val="0"/>
          </w:rPr>
          <w:t xml:space="preserve"> 30, 512–521 (2021).</w:t>
        </w:r>
      </w:hyperlink>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80" w:right="0" w:hanging="48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tab/>
      </w:r>
      <w:hyperlink r:id="rId32">
        <w:r w:rsidDel="00000000" w:rsidR="00000000" w:rsidRPr="00000000">
          <w:rPr>
            <w:rFonts w:ascii="Times New Roman" w:cs="Times New Roman" w:eastAsia="Times New Roman" w:hAnsi="Times New Roman"/>
            <w:color w:val="000000"/>
            <w:sz w:val="24"/>
            <w:szCs w:val="24"/>
            <w:u w:val="none"/>
            <w:rtl w:val="0"/>
          </w:rPr>
          <w:t xml:space="preserve">Weber, E. L., Lai, Y.-C., Lei, M., Jiang, T.-X. &amp; Chuong, C.-M. Human Fetal Scalp Dermal Papilla Enriched Genes and the Role of R-Spondin-1 in the Restoration of Hair Neogenesis in Adult Mouse Cells. </w:t>
        </w:r>
      </w:hyperlink>
      <w:hyperlink r:id="rId33">
        <w:r w:rsidDel="00000000" w:rsidR="00000000" w:rsidRPr="00000000">
          <w:rPr>
            <w:rFonts w:ascii="Times New Roman" w:cs="Times New Roman" w:eastAsia="Times New Roman" w:hAnsi="Times New Roman"/>
            <w:i w:val="1"/>
            <w:color w:val="000000"/>
            <w:sz w:val="24"/>
            <w:szCs w:val="24"/>
            <w:u w:val="none"/>
            <w:rtl w:val="0"/>
          </w:rPr>
          <w:t xml:space="preserve">Front Cell Dev Biol</w:t>
        </w:r>
      </w:hyperlink>
      <w:hyperlink r:id="rId34">
        <w:r w:rsidDel="00000000" w:rsidR="00000000" w:rsidRPr="00000000">
          <w:rPr>
            <w:rFonts w:ascii="Times New Roman" w:cs="Times New Roman" w:eastAsia="Times New Roman" w:hAnsi="Times New Roman"/>
            <w:color w:val="000000"/>
            <w:sz w:val="24"/>
            <w:szCs w:val="24"/>
            <w:u w:val="none"/>
            <w:rtl w:val="0"/>
          </w:rPr>
          <w:t xml:space="preserve"> 8, 583434 (2020).</w:t>
        </w:r>
      </w:hyperlink>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80" w:right="0" w:hanging="48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tab/>
      </w:r>
      <w:hyperlink r:id="rId35">
        <w:r w:rsidDel="00000000" w:rsidR="00000000" w:rsidRPr="00000000">
          <w:rPr>
            <w:rFonts w:ascii="Times New Roman" w:cs="Times New Roman" w:eastAsia="Times New Roman" w:hAnsi="Times New Roman"/>
            <w:color w:val="000000"/>
            <w:sz w:val="24"/>
            <w:szCs w:val="24"/>
            <w:u w:val="none"/>
            <w:rtl w:val="0"/>
          </w:rPr>
          <w:t xml:space="preserve">Muller, M., Jasmin, J. R., Monteil, R. A. &amp; Loubiere, R. Embryology of the hair follicle. </w:t>
        </w:r>
      </w:hyperlink>
      <w:hyperlink r:id="rId36">
        <w:r w:rsidDel="00000000" w:rsidR="00000000" w:rsidRPr="00000000">
          <w:rPr>
            <w:rFonts w:ascii="Times New Roman" w:cs="Times New Roman" w:eastAsia="Times New Roman" w:hAnsi="Times New Roman"/>
            <w:i w:val="1"/>
            <w:color w:val="000000"/>
            <w:sz w:val="24"/>
            <w:szCs w:val="24"/>
            <w:u w:val="none"/>
            <w:rtl w:val="0"/>
          </w:rPr>
          <w:t xml:space="preserve">Early Hum. Dev.</w:t>
        </w:r>
      </w:hyperlink>
      <w:hyperlink r:id="rId37">
        <w:r w:rsidDel="00000000" w:rsidR="00000000" w:rsidRPr="00000000">
          <w:rPr>
            <w:rFonts w:ascii="Times New Roman" w:cs="Times New Roman" w:eastAsia="Times New Roman" w:hAnsi="Times New Roman"/>
            <w:color w:val="000000"/>
            <w:sz w:val="24"/>
            <w:szCs w:val="24"/>
            <w:u w:val="none"/>
            <w:rtl w:val="0"/>
          </w:rPr>
          <w:t xml:space="preserve"> 26, 159–166 (1991).</w:t>
        </w:r>
      </w:hyperlink>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80" w:right="0" w:hanging="48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tab/>
      </w:r>
      <w:hyperlink r:id="rId38">
        <w:r w:rsidDel="00000000" w:rsidR="00000000" w:rsidRPr="00000000">
          <w:rPr>
            <w:rFonts w:ascii="Times New Roman" w:cs="Times New Roman" w:eastAsia="Times New Roman" w:hAnsi="Times New Roman"/>
            <w:color w:val="000000"/>
            <w:sz w:val="24"/>
            <w:szCs w:val="24"/>
            <w:u w:val="none"/>
            <w:rtl w:val="0"/>
          </w:rPr>
          <w:t xml:space="preserve">Grubbs, H., Nassereddin, A. &amp; Morrison, M. Embryology, Hair. </w:t>
        </w:r>
      </w:hyperlink>
      <w:hyperlink r:id="rId39">
        <w:r w:rsidDel="00000000" w:rsidR="00000000" w:rsidRPr="00000000">
          <w:rPr>
            <w:rFonts w:ascii="Times New Roman" w:cs="Times New Roman" w:eastAsia="Times New Roman" w:hAnsi="Times New Roman"/>
            <w:i w:val="1"/>
            <w:color w:val="000000"/>
            <w:sz w:val="24"/>
            <w:szCs w:val="24"/>
            <w:u w:val="none"/>
            <w:rtl w:val="0"/>
          </w:rPr>
          <w:t xml:space="preserve">StatPearls [Internet]</w:t>
        </w:r>
      </w:hyperlink>
      <w:hyperlink r:id="rId40">
        <w:r w:rsidDel="00000000" w:rsidR="00000000" w:rsidRPr="00000000">
          <w:rPr>
            <w:rFonts w:ascii="Times New Roman" w:cs="Times New Roman" w:eastAsia="Times New Roman" w:hAnsi="Times New Roman"/>
            <w:color w:val="000000"/>
            <w:sz w:val="24"/>
            <w:szCs w:val="24"/>
            <w:u w:val="none"/>
            <w:rtl w:val="0"/>
          </w:rPr>
          <w:t xml:space="preserve"> </w:t>
        </w:r>
      </w:hyperlink>
      <w:hyperlink r:id="rId41">
        <w:r w:rsidDel="00000000" w:rsidR="00000000" w:rsidRPr="00000000">
          <w:rPr>
            <w:rFonts w:ascii="Times New Roman" w:cs="Times New Roman" w:eastAsia="Times New Roman" w:hAnsi="Times New Roman"/>
            <w:color w:val="000000"/>
            <w:sz w:val="24"/>
            <w:szCs w:val="24"/>
            <w:u w:val="none"/>
            <w:rtl w:val="0"/>
          </w:rPr>
          <w:t xml:space="preserve">https://www.ncbi.nlm.nih.gov/books/NBK534794/</w:t>
        </w:r>
      </w:hyperlink>
      <w:hyperlink r:id="rId42">
        <w:r w:rsidDel="00000000" w:rsidR="00000000" w:rsidRPr="00000000">
          <w:rPr>
            <w:rFonts w:ascii="Times New Roman" w:cs="Times New Roman" w:eastAsia="Times New Roman" w:hAnsi="Times New Roman"/>
            <w:color w:val="000000"/>
            <w:sz w:val="24"/>
            <w:szCs w:val="24"/>
            <w:u w:val="none"/>
            <w:rtl w:val="0"/>
          </w:rPr>
          <w:t xml:space="preserve"> (2022).</w:t>
        </w:r>
      </w:hyperlink>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80" w:right="0" w:hanging="48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tab/>
      </w:r>
      <w:hyperlink r:id="rId43">
        <w:r w:rsidDel="00000000" w:rsidR="00000000" w:rsidRPr="00000000">
          <w:rPr>
            <w:rFonts w:ascii="Times New Roman" w:cs="Times New Roman" w:eastAsia="Times New Roman" w:hAnsi="Times New Roman"/>
            <w:color w:val="000000"/>
            <w:sz w:val="24"/>
            <w:szCs w:val="24"/>
            <w:u w:val="none"/>
            <w:rtl w:val="0"/>
          </w:rPr>
          <w:t xml:space="preserve">Alsinet, C. </w:t>
        </w:r>
      </w:hyperlink>
      <w:hyperlink r:id="rId44">
        <w:r w:rsidDel="00000000" w:rsidR="00000000" w:rsidRPr="00000000">
          <w:rPr>
            <w:rFonts w:ascii="Times New Roman" w:cs="Times New Roman" w:eastAsia="Times New Roman" w:hAnsi="Times New Roman"/>
            <w:i w:val="1"/>
            <w:color w:val="000000"/>
            <w:sz w:val="24"/>
            <w:szCs w:val="24"/>
            <w:u w:val="none"/>
            <w:rtl w:val="0"/>
          </w:rPr>
          <w:t xml:space="preserve">et al.</w:t>
        </w:r>
      </w:hyperlink>
      <w:hyperlink r:id="rId45">
        <w:r w:rsidDel="00000000" w:rsidR="00000000" w:rsidRPr="00000000">
          <w:rPr>
            <w:rFonts w:ascii="Times New Roman" w:cs="Times New Roman" w:eastAsia="Times New Roman" w:hAnsi="Times New Roman"/>
            <w:color w:val="000000"/>
            <w:sz w:val="24"/>
            <w:szCs w:val="24"/>
            <w:u w:val="none"/>
            <w:rtl w:val="0"/>
          </w:rPr>
          <w:t xml:space="preserve"> Robust temporal map of human in vitro myelopoiesis using single-cell genomics. </w:t>
        </w:r>
      </w:hyperlink>
      <w:hyperlink r:id="rId46">
        <w:r w:rsidDel="00000000" w:rsidR="00000000" w:rsidRPr="00000000">
          <w:rPr>
            <w:rFonts w:ascii="Times New Roman" w:cs="Times New Roman" w:eastAsia="Times New Roman" w:hAnsi="Times New Roman"/>
            <w:i w:val="1"/>
            <w:color w:val="000000"/>
            <w:sz w:val="24"/>
            <w:szCs w:val="24"/>
            <w:u w:val="none"/>
            <w:rtl w:val="0"/>
          </w:rPr>
          <w:t xml:space="preserve">Nat. Commun.</w:t>
        </w:r>
      </w:hyperlink>
      <w:hyperlink r:id="rId47">
        <w:r w:rsidDel="00000000" w:rsidR="00000000" w:rsidRPr="00000000">
          <w:rPr>
            <w:rFonts w:ascii="Times New Roman" w:cs="Times New Roman" w:eastAsia="Times New Roman" w:hAnsi="Times New Roman"/>
            <w:color w:val="000000"/>
            <w:sz w:val="24"/>
            <w:szCs w:val="24"/>
            <w:u w:val="none"/>
            <w:rtl w:val="0"/>
          </w:rPr>
          <w:t xml:space="preserve"> 13, 2885 (2022).</w:t>
        </w:r>
      </w:hyperlink>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80" w:right="0" w:hanging="48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tab/>
      </w:r>
      <w:hyperlink r:id="rId48">
        <w:r w:rsidDel="00000000" w:rsidR="00000000" w:rsidRPr="00000000">
          <w:rPr>
            <w:rFonts w:ascii="Times New Roman" w:cs="Times New Roman" w:eastAsia="Times New Roman" w:hAnsi="Times New Roman"/>
            <w:color w:val="000000"/>
            <w:sz w:val="24"/>
            <w:szCs w:val="24"/>
            <w:u w:val="none"/>
            <w:rtl w:val="0"/>
          </w:rPr>
          <w:t xml:space="preserve">Huang, M. </w:t>
        </w:r>
      </w:hyperlink>
      <w:hyperlink r:id="rId49">
        <w:r w:rsidDel="00000000" w:rsidR="00000000" w:rsidRPr="00000000">
          <w:rPr>
            <w:rFonts w:ascii="Times New Roman" w:cs="Times New Roman" w:eastAsia="Times New Roman" w:hAnsi="Times New Roman"/>
            <w:i w:val="1"/>
            <w:color w:val="000000"/>
            <w:sz w:val="24"/>
            <w:szCs w:val="24"/>
            <w:u w:val="none"/>
            <w:rtl w:val="0"/>
          </w:rPr>
          <w:t xml:space="preserve">et al.</w:t>
        </w:r>
      </w:hyperlink>
      <w:hyperlink r:id="rId50">
        <w:r w:rsidDel="00000000" w:rsidR="00000000" w:rsidRPr="00000000">
          <w:rPr>
            <w:rFonts w:ascii="Times New Roman" w:cs="Times New Roman" w:eastAsia="Times New Roman" w:hAnsi="Times New Roman"/>
            <w:color w:val="000000"/>
            <w:sz w:val="24"/>
            <w:szCs w:val="24"/>
            <w:u w:val="none"/>
            <w:rtl w:val="0"/>
          </w:rPr>
          <w:t xml:space="preserve"> Self-Assembled Human Skin Equivalents Model Macrophage Activation of Cutaneous Fibrogenesis in Systemic Sclerosis. </w:t>
        </w:r>
      </w:hyperlink>
      <w:hyperlink r:id="rId51">
        <w:r w:rsidDel="00000000" w:rsidR="00000000" w:rsidRPr="00000000">
          <w:rPr>
            <w:rFonts w:ascii="Times New Roman" w:cs="Times New Roman" w:eastAsia="Times New Roman" w:hAnsi="Times New Roman"/>
            <w:i w:val="1"/>
            <w:color w:val="000000"/>
            <w:sz w:val="24"/>
            <w:szCs w:val="24"/>
            <w:u w:val="none"/>
            <w:rtl w:val="0"/>
          </w:rPr>
          <w:t xml:space="preserve">Arthritis Rheumatol</w:t>
        </w:r>
      </w:hyperlink>
      <w:hyperlink r:id="rId52">
        <w:r w:rsidDel="00000000" w:rsidR="00000000" w:rsidRPr="00000000">
          <w:rPr>
            <w:rFonts w:ascii="Times New Roman" w:cs="Times New Roman" w:eastAsia="Times New Roman" w:hAnsi="Times New Roman"/>
            <w:color w:val="000000"/>
            <w:sz w:val="24"/>
            <w:szCs w:val="24"/>
            <w:u w:val="none"/>
            <w:rtl w:val="0"/>
          </w:rPr>
          <w:t xml:space="preserve"> 74, 1245–1256 (2022).</w:t>
        </w:r>
      </w:hyperlink>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80" w:right="0" w:hanging="48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tab/>
      </w:r>
      <w:hyperlink r:id="rId53">
        <w:r w:rsidDel="00000000" w:rsidR="00000000" w:rsidRPr="00000000">
          <w:rPr>
            <w:rFonts w:ascii="Times New Roman" w:cs="Times New Roman" w:eastAsia="Times New Roman" w:hAnsi="Times New Roman"/>
            <w:color w:val="000000"/>
            <w:sz w:val="24"/>
            <w:szCs w:val="24"/>
            <w:u w:val="none"/>
            <w:rtl w:val="0"/>
          </w:rPr>
          <w:t xml:space="preserve">Angelim, M. K. S. C. </w:t>
        </w:r>
      </w:hyperlink>
      <w:hyperlink r:id="rId54">
        <w:r w:rsidDel="00000000" w:rsidR="00000000" w:rsidRPr="00000000">
          <w:rPr>
            <w:rFonts w:ascii="Times New Roman" w:cs="Times New Roman" w:eastAsia="Times New Roman" w:hAnsi="Times New Roman"/>
            <w:i w:val="1"/>
            <w:color w:val="000000"/>
            <w:sz w:val="24"/>
            <w:szCs w:val="24"/>
            <w:u w:val="none"/>
            <w:rtl w:val="0"/>
          </w:rPr>
          <w:t xml:space="preserve">et al.</w:t>
        </w:r>
      </w:hyperlink>
      <w:hyperlink r:id="rId55">
        <w:r w:rsidDel="00000000" w:rsidR="00000000" w:rsidRPr="00000000">
          <w:rPr>
            <w:rFonts w:ascii="Times New Roman" w:cs="Times New Roman" w:eastAsia="Times New Roman" w:hAnsi="Times New Roman"/>
            <w:color w:val="000000"/>
            <w:sz w:val="24"/>
            <w:szCs w:val="24"/>
            <w:u w:val="none"/>
            <w:rtl w:val="0"/>
          </w:rPr>
          <w:t xml:space="preserve"> Embryonic macrophages and microglia ablation alter the development of dorsal root ganglion sensory neurons in mouse embryos. </w:t>
        </w:r>
      </w:hyperlink>
      <w:hyperlink r:id="rId56">
        <w:r w:rsidDel="00000000" w:rsidR="00000000" w:rsidRPr="00000000">
          <w:rPr>
            <w:rFonts w:ascii="Times New Roman" w:cs="Times New Roman" w:eastAsia="Times New Roman" w:hAnsi="Times New Roman"/>
            <w:i w:val="1"/>
            <w:color w:val="000000"/>
            <w:sz w:val="24"/>
            <w:szCs w:val="24"/>
            <w:u w:val="none"/>
            <w:rtl w:val="0"/>
          </w:rPr>
          <w:t xml:space="preserve">Glia</w:t>
        </w:r>
      </w:hyperlink>
      <w:hyperlink r:id="rId57">
        <w:r w:rsidDel="00000000" w:rsidR="00000000" w:rsidRPr="00000000">
          <w:rPr>
            <w:rFonts w:ascii="Times New Roman" w:cs="Times New Roman" w:eastAsia="Times New Roman" w:hAnsi="Times New Roman"/>
            <w:color w:val="000000"/>
            <w:sz w:val="24"/>
            <w:szCs w:val="24"/>
            <w:u w:val="none"/>
            <w:rtl w:val="0"/>
          </w:rPr>
          <w:t xml:space="preserve"> 66, 2470–2486 (2018).</w:t>
        </w:r>
      </w:hyperlink>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80" w:right="0" w:hanging="48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tab/>
      </w:r>
      <w:hyperlink r:id="rId58">
        <w:r w:rsidDel="00000000" w:rsidR="00000000" w:rsidRPr="00000000">
          <w:rPr>
            <w:rFonts w:ascii="Times New Roman" w:cs="Times New Roman" w:eastAsia="Times New Roman" w:hAnsi="Times New Roman"/>
            <w:color w:val="000000"/>
            <w:sz w:val="24"/>
            <w:szCs w:val="24"/>
            <w:u w:val="none"/>
            <w:rtl w:val="0"/>
          </w:rPr>
          <w:t xml:space="preserve">DeFalco, T., Bhattacharya, I., Williams, A. V., Sams, D. M. &amp; Capel, B. Yolk-sac-derived macrophages regulate fetal testis vascularization and morphogenesis. </w:t>
        </w:r>
      </w:hyperlink>
      <w:hyperlink r:id="rId59">
        <w:r w:rsidDel="00000000" w:rsidR="00000000" w:rsidRPr="00000000">
          <w:rPr>
            <w:rFonts w:ascii="Times New Roman" w:cs="Times New Roman" w:eastAsia="Times New Roman" w:hAnsi="Times New Roman"/>
            <w:i w:val="1"/>
            <w:color w:val="000000"/>
            <w:sz w:val="24"/>
            <w:szCs w:val="24"/>
            <w:u w:val="none"/>
            <w:rtl w:val="0"/>
          </w:rPr>
          <w:t xml:space="preserve">Proc. Natl. Acad. Sci. U. S. A.</w:t>
        </w:r>
      </w:hyperlink>
      <w:hyperlink r:id="rId60">
        <w:r w:rsidDel="00000000" w:rsidR="00000000" w:rsidRPr="00000000">
          <w:rPr>
            <w:rFonts w:ascii="Times New Roman" w:cs="Times New Roman" w:eastAsia="Times New Roman" w:hAnsi="Times New Roman"/>
            <w:color w:val="000000"/>
            <w:sz w:val="24"/>
            <w:szCs w:val="24"/>
            <w:u w:val="none"/>
            <w:rtl w:val="0"/>
          </w:rPr>
          <w:t xml:space="preserve"> 111, E2384–93 (2014).</w:t>
        </w:r>
      </w:hyperlink>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80" w:right="0" w:hanging="48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tab/>
      </w:r>
      <w:hyperlink r:id="rId61">
        <w:r w:rsidDel="00000000" w:rsidR="00000000" w:rsidRPr="00000000">
          <w:rPr>
            <w:rFonts w:ascii="Times New Roman" w:cs="Times New Roman" w:eastAsia="Times New Roman" w:hAnsi="Times New Roman"/>
            <w:color w:val="000000"/>
            <w:sz w:val="24"/>
            <w:szCs w:val="24"/>
            <w:u w:val="none"/>
            <w:rtl w:val="0"/>
          </w:rPr>
          <w:t xml:space="preserve">Kubota, Y. </w:t>
        </w:r>
      </w:hyperlink>
      <w:hyperlink r:id="rId62">
        <w:r w:rsidDel="00000000" w:rsidR="00000000" w:rsidRPr="00000000">
          <w:rPr>
            <w:rFonts w:ascii="Times New Roman" w:cs="Times New Roman" w:eastAsia="Times New Roman" w:hAnsi="Times New Roman"/>
            <w:i w:val="1"/>
            <w:color w:val="000000"/>
            <w:sz w:val="24"/>
            <w:szCs w:val="24"/>
            <w:u w:val="none"/>
            <w:rtl w:val="0"/>
          </w:rPr>
          <w:t xml:space="preserve">et al.</w:t>
        </w:r>
      </w:hyperlink>
      <w:hyperlink r:id="rId63">
        <w:r w:rsidDel="00000000" w:rsidR="00000000" w:rsidRPr="00000000">
          <w:rPr>
            <w:rFonts w:ascii="Times New Roman" w:cs="Times New Roman" w:eastAsia="Times New Roman" w:hAnsi="Times New Roman"/>
            <w:color w:val="000000"/>
            <w:sz w:val="24"/>
            <w:szCs w:val="24"/>
            <w:u w:val="none"/>
            <w:rtl w:val="0"/>
          </w:rPr>
          <w:t xml:space="preserve"> M-CSF inhibition selectively targets pathological angiogenesis and lymphangiogenesis. </w:t>
        </w:r>
      </w:hyperlink>
      <w:hyperlink r:id="rId64">
        <w:r w:rsidDel="00000000" w:rsidR="00000000" w:rsidRPr="00000000">
          <w:rPr>
            <w:rFonts w:ascii="Times New Roman" w:cs="Times New Roman" w:eastAsia="Times New Roman" w:hAnsi="Times New Roman"/>
            <w:i w:val="1"/>
            <w:color w:val="000000"/>
            <w:sz w:val="24"/>
            <w:szCs w:val="24"/>
            <w:u w:val="none"/>
            <w:rtl w:val="0"/>
          </w:rPr>
          <w:t xml:space="preserve">J. Exp. Med.</w:t>
        </w:r>
      </w:hyperlink>
      <w:hyperlink r:id="rId65">
        <w:r w:rsidDel="00000000" w:rsidR="00000000" w:rsidRPr="00000000">
          <w:rPr>
            <w:rFonts w:ascii="Times New Roman" w:cs="Times New Roman" w:eastAsia="Times New Roman" w:hAnsi="Times New Roman"/>
            <w:color w:val="000000"/>
            <w:sz w:val="24"/>
            <w:szCs w:val="24"/>
            <w:u w:val="none"/>
            <w:rtl w:val="0"/>
          </w:rPr>
          <w:t xml:space="preserve"> 206, 1089–1102 (2009).</w:t>
        </w:r>
      </w:hyperlink>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480" w:lineRule="auto"/>
        <w:ind w:left="480" w:right="0" w:hanging="48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w:t>
        <w:tab/>
      </w:r>
      <w:hyperlink r:id="rId66">
        <w:r w:rsidDel="00000000" w:rsidR="00000000" w:rsidRPr="00000000">
          <w:rPr>
            <w:rFonts w:ascii="Times New Roman" w:cs="Times New Roman" w:eastAsia="Times New Roman" w:hAnsi="Times New Roman"/>
            <w:color w:val="000000"/>
            <w:sz w:val="24"/>
            <w:szCs w:val="24"/>
            <w:u w:val="none"/>
            <w:rtl w:val="0"/>
          </w:rPr>
          <w:t xml:space="preserve">Martin, P. &amp; Gurevich, D. B. Macrophage regulation of angiogenesis in health and disease. </w:t>
        </w:r>
      </w:hyperlink>
      <w:hyperlink r:id="rId67">
        <w:r w:rsidDel="00000000" w:rsidR="00000000" w:rsidRPr="00000000">
          <w:rPr>
            <w:rFonts w:ascii="Times New Roman" w:cs="Times New Roman" w:eastAsia="Times New Roman" w:hAnsi="Times New Roman"/>
            <w:i w:val="1"/>
            <w:color w:val="000000"/>
            <w:sz w:val="24"/>
            <w:szCs w:val="24"/>
            <w:u w:val="none"/>
            <w:rtl w:val="0"/>
          </w:rPr>
          <w:t xml:space="preserve">Semin. Cell Dev. Biol.</w:t>
        </w:r>
      </w:hyperlink>
      <w:hyperlink r:id="rId68">
        <w:r w:rsidDel="00000000" w:rsidR="00000000" w:rsidRPr="00000000">
          <w:rPr>
            <w:rFonts w:ascii="Times New Roman" w:cs="Times New Roman" w:eastAsia="Times New Roman" w:hAnsi="Times New Roman"/>
            <w:color w:val="000000"/>
            <w:sz w:val="24"/>
            <w:szCs w:val="24"/>
            <w:u w:val="none"/>
            <w:rtl w:val="0"/>
          </w:rPr>
          <w:t xml:space="preserve"> 119, 101–110 (2021).</w:t>
        </w:r>
      </w:hyperlink>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240" w:before="240" w:line="480" w:lineRule="auto"/>
      <w:jc w:val="both"/>
    </w:pPr>
    <w:rPr>
      <w:rFonts w:ascii="Times New Roman" w:cs="Times New Roman" w:eastAsia="Times New Roman" w:hAnsi="Times New Roman"/>
      <w:b w:val="1"/>
      <w:sz w:val="24"/>
      <w:szCs w:val="24"/>
    </w:rPr>
  </w:style>
  <w:style w:type="paragraph" w:styleId="Heading2">
    <w:name w:val="heading 2"/>
    <w:basedOn w:val="Normal"/>
    <w:next w:val="Normal"/>
    <w:pPr>
      <w:keepNext w:val="1"/>
      <w:keepLines w:val="1"/>
      <w:spacing w:after="240" w:before="240" w:line="360" w:lineRule="auto"/>
      <w:jc w:val="both"/>
    </w:pPr>
    <w:rPr>
      <w:rFonts w:ascii="Times New Roman" w:cs="Times New Roman" w:eastAsia="Times New Roman" w:hAnsi="Times New Roman"/>
      <w:b w:val="1"/>
      <w:i w:val="1"/>
      <w:sz w:val="24"/>
      <w:szCs w:val="24"/>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hyperlink" Target="http://paperpile.com/b/TIfLRC/KEQE" TargetMode="External"/><Relationship Id="rId42" Type="http://schemas.openxmlformats.org/officeDocument/2006/relationships/hyperlink" Target="http://paperpile.com/b/TIfLRC/KEQE" TargetMode="External"/><Relationship Id="rId41" Type="http://schemas.openxmlformats.org/officeDocument/2006/relationships/hyperlink" Target="https://www.ncbi.nlm.nih.gov/books/NBK534794/" TargetMode="External"/><Relationship Id="rId44" Type="http://schemas.openxmlformats.org/officeDocument/2006/relationships/hyperlink" Target="http://paperpile.com/b/TIfLRC/VK9i" TargetMode="External"/><Relationship Id="rId43" Type="http://schemas.openxmlformats.org/officeDocument/2006/relationships/hyperlink" Target="http://paperpile.com/b/TIfLRC/VK9i" TargetMode="External"/><Relationship Id="rId46" Type="http://schemas.openxmlformats.org/officeDocument/2006/relationships/hyperlink" Target="http://paperpile.com/b/TIfLRC/VK9i" TargetMode="External"/><Relationship Id="rId45" Type="http://schemas.openxmlformats.org/officeDocument/2006/relationships/hyperlink" Target="http://paperpile.com/b/TIfLRC/VK9i"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aperpile.com/c/TIfLRC/1EKl" TargetMode="External"/><Relationship Id="rId48" Type="http://schemas.openxmlformats.org/officeDocument/2006/relationships/hyperlink" Target="http://paperpile.com/b/TIfLRC/HLbt" TargetMode="External"/><Relationship Id="rId47" Type="http://schemas.openxmlformats.org/officeDocument/2006/relationships/hyperlink" Target="http://paperpile.com/b/TIfLRC/VK9i" TargetMode="External"/><Relationship Id="rId49" Type="http://schemas.openxmlformats.org/officeDocument/2006/relationships/hyperlink" Target="http://paperpile.com/b/TIfLRC/HLbt" TargetMode="External"/><Relationship Id="rId5" Type="http://schemas.openxmlformats.org/officeDocument/2006/relationships/styles" Target="styles.xml"/><Relationship Id="rId6" Type="http://schemas.openxmlformats.org/officeDocument/2006/relationships/hyperlink" Target="https://paperpile.com/c/TIfLRC/pzg6" TargetMode="External"/><Relationship Id="rId7" Type="http://schemas.openxmlformats.org/officeDocument/2006/relationships/hyperlink" Target="https://paperpile.com/c/TIfLRC/rYUo+xCg5" TargetMode="External"/><Relationship Id="rId8" Type="http://schemas.openxmlformats.org/officeDocument/2006/relationships/hyperlink" Target="https://paperpile.com/c/TIfLRC/1YdS" TargetMode="External"/><Relationship Id="rId31" Type="http://schemas.openxmlformats.org/officeDocument/2006/relationships/hyperlink" Target="http://paperpile.com/b/TIfLRC/1YdS" TargetMode="External"/><Relationship Id="rId30" Type="http://schemas.openxmlformats.org/officeDocument/2006/relationships/hyperlink" Target="http://paperpile.com/b/TIfLRC/1YdS" TargetMode="External"/><Relationship Id="rId33" Type="http://schemas.openxmlformats.org/officeDocument/2006/relationships/hyperlink" Target="http://paperpile.com/b/TIfLRC/1EKl" TargetMode="External"/><Relationship Id="rId32" Type="http://schemas.openxmlformats.org/officeDocument/2006/relationships/hyperlink" Target="http://paperpile.com/b/TIfLRC/1EKl" TargetMode="External"/><Relationship Id="rId35" Type="http://schemas.openxmlformats.org/officeDocument/2006/relationships/hyperlink" Target="http://paperpile.com/b/TIfLRC/Rhj9" TargetMode="External"/><Relationship Id="rId34" Type="http://schemas.openxmlformats.org/officeDocument/2006/relationships/hyperlink" Target="http://paperpile.com/b/TIfLRC/1EKl" TargetMode="External"/><Relationship Id="rId37" Type="http://schemas.openxmlformats.org/officeDocument/2006/relationships/hyperlink" Target="http://paperpile.com/b/TIfLRC/Rhj9" TargetMode="External"/><Relationship Id="rId36" Type="http://schemas.openxmlformats.org/officeDocument/2006/relationships/hyperlink" Target="http://paperpile.com/b/TIfLRC/Rhj9" TargetMode="External"/><Relationship Id="rId39" Type="http://schemas.openxmlformats.org/officeDocument/2006/relationships/hyperlink" Target="http://paperpile.com/b/TIfLRC/KEQE" TargetMode="External"/><Relationship Id="rId38" Type="http://schemas.openxmlformats.org/officeDocument/2006/relationships/hyperlink" Target="http://paperpile.com/b/TIfLRC/KEQE" TargetMode="External"/><Relationship Id="rId62" Type="http://schemas.openxmlformats.org/officeDocument/2006/relationships/hyperlink" Target="http://paperpile.com/b/TIfLRC/H860" TargetMode="External"/><Relationship Id="rId61" Type="http://schemas.openxmlformats.org/officeDocument/2006/relationships/hyperlink" Target="http://paperpile.com/b/TIfLRC/H860" TargetMode="External"/><Relationship Id="rId20" Type="http://schemas.openxmlformats.org/officeDocument/2006/relationships/hyperlink" Target="http://paperpile.com/b/TIfLRC/rYUo" TargetMode="External"/><Relationship Id="rId64" Type="http://schemas.openxmlformats.org/officeDocument/2006/relationships/hyperlink" Target="http://paperpile.com/b/TIfLRC/H860" TargetMode="External"/><Relationship Id="rId63" Type="http://schemas.openxmlformats.org/officeDocument/2006/relationships/hyperlink" Target="http://paperpile.com/b/TIfLRC/H860" TargetMode="External"/><Relationship Id="rId22" Type="http://schemas.openxmlformats.org/officeDocument/2006/relationships/hyperlink" Target="http://paperpile.com/b/TIfLRC/rYUo" TargetMode="External"/><Relationship Id="rId66" Type="http://schemas.openxmlformats.org/officeDocument/2006/relationships/hyperlink" Target="http://paperpile.com/b/TIfLRC/fAwS" TargetMode="External"/><Relationship Id="rId21" Type="http://schemas.openxmlformats.org/officeDocument/2006/relationships/hyperlink" Target="http://paperpile.com/b/TIfLRC/rYUo" TargetMode="External"/><Relationship Id="rId65" Type="http://schemas.openxmlformats.org/officeDocument/2006/relationships/hyperlink" Target="http://paperpile.com/b/TIfLRC/H860" TargetMode="External"/><Relationship Id="rId24" Type="http://schemas.openxmlformats.org/officeDocument/2006/relationships/hyperlink" Target="http://paperpile.com/b/TIfLRC/xCg5" TargetMode="External"/><Relationship Id="rId68" Type="http://schemas.openxmlformats.org/officeDocument/2006/relationships/hyperlink" Target="http://paperpile.com/b/TIfLRC/fAwS" TargetMode="External"/><Relationship Id="rId23" Type="http://schemas.openxmlformats.org/officeDocument/2006/relationships/hyperlink" Target="http://paperpile.com/b/TIfLRC/rYUo" TargetMode="External"/><Relationship Id="rId67" Type="http://schemas.openxmlformats.org/officeDocument/2006/relationships/hyperlink" Target="http://paperpile.com/b/TIfLRC/fAwS" TargetMode="External"/><Relationship Id="rId60" Type="http://schemas.openxmlformats.org/officeDocument/2006/relationships/hyperlink" Target="http://paperpile.com/b/TIfLRC/kKFD" TargetMode="External"/><Relationship Id="rId26" Type="http://schemas.openxmlformats.org/officeDocument/2006/relationships/hyperlink" Target="http://paperpile.com/b/TIfLRC/xCg5" TargetMode="External"/><Relationship Id="rId25" Type="http://schemas.openxmlformats.org/officeDocument/2006/relationships/hyperlink" Target="http://paperpile.com/b/TIfLRC/xCg5" TargetMode="External"/><Relationship Id="rId28" Type="http://schemas.openxmlformats.org/officeDocument/2006/relationships/hyperlink" Target="http://paperpile.com/b/TIfLRC/xCg5" TargetMode="External"/><Relationship Id="rId27" Type="http://schemas.openxmlformats.org/officeDocument/2006/relationships/hyperlink" Target="http://paperpile.com/b/TIfLRC/xCg5" TargetMode="External"/><Relationship Id="rId29" Type="http://schemas.openxmlformats.org/officeDocument/2006/relationships/hyperlink" Target="http://paperpile.com/b/TIfLRC/1YdS" TargetMode="External"/><Relationship Id="rId51" Type="http://schemas.openxmlformats.org/officeDocument/2006/relationships/hyperlink" Target="http://paperpile.com/b/TIfLRC/HLbt" TargetMode="External"/><Relationship Id="rId50" Type="http://schemas.openxmlformats.org/officeDocument/2006/relationships/hyperlink" Target="http://paperpile.com/b/TIfLRC/HLbt" TargetMode="External"/><Relationship Id="rId53" Type="http://schemas.openxmlformats.org/officeDocument/2006/relationships/hyperlink" Target="http://paperpile.com/b/TIfLRC/f7q4" TargetMode="External"/><Relationship Id="rId52" Type="http://schemas.openxmlformats.org/officeDocument/2006/relationships/hyperlink" Target="http://paperpile.com/b/TIfLRC/HLbt" TargetMode="External"/><Relationship Id="rId11" Type="http://schemas.openxmlformats.org/officeDocument/2006/relationships/hyperlink" Target="https://paperpile.com/c/TIfLRC/VK9i" TargetMode="External"/><Relationship Id="rId55" Type="http://schemas.openxmlformats.org/officeDocument/2006/relationships/hyperlink" Target="http://paperpile.com/b/TIfLRC/f7q4" TargetMode="External"/><Relationship Id="rId10" Type="http://schemas.openxmlformats.org/officeDocument/2006/relationships/hyperlink" Target="https://paperpile.com/c/TIfLRC/Rhj9+KEQE" TargetMode="External"/><Relationship Id="rId54" Type="http://schemas.openxmlformats.org/officeDocument/2006/relationships/hyperlink" Target="http://paperpile.com/b/TIfLRC/f7q4" TargetMode="External"/><Relationship Id="rId13" Type="http://schemas.openxmlformats.org/officeDocument/2006/relationships/hyperlink" Target="https://paperpile.com/c/TIfLRC/f7q4+kKFD+H860+fAwS" TargetMode="External"/><Relationship Id="rId57" Type="http://schemas.openxmlformats.org/officeDocument/2006/relationships/hyperlink" Target="http://paperpile.com/b/TIfLRC/f7q4" TargetMode="External"/><Relationship Id="rId12" Type="http://schemas.openxmlformats.org/officeDocument/2006/relationships/hyperlink" Target="https://paperpile.com/c/TIfLRC/HLbt" TargetMode="External"/><Relationship Id="rId56" Type="http://schemas.openxmlformats.org/officeDocument/2006/relationships/hyperlink" Target="http://paperpile.com/b/TIfLRC/f7q4" TargetMode="External"/><Relationship Id="rId15" Type="http://schemas.openxmlformats.org/officeDocument/2006/relationships/hyperlink" Target="http://paperpile.com/b/TIfLRC/pzg6" TargetMode="External"/><Relationship Id="rId59" Type="http://schemas.openxmlformats.org/officeDocument/2006/relationships/hyperlink" Target="http://paperpile.com/b/TIfLRC/kKFD" TargetMode="External"/><Relationship Id="rId14" Type="http://schemas.openxmlformats.org/officeDocument/2006/relationships/hyperlink" Target="http://paperpile.com/b/TIfLRC/pzg6" TargetMode="External"/><Relationship Id="rId58" Type="http://schemas.openxmlformats.org/officeDocument/2006/relationships/hyperlink" Target="http://paperpile.com/b/TIfLRC/kKFD" TargetMode="External"/><Relationship Id="rId17" Type="http://schemas.openxmlformats.org/officeDocument/2006/relationships/hyperlink" Target="http://paperpile.com/b/TIfLRC/pzg6" TargetMode="External"/><Relationship Id="rId16" Type="http://schemas.openxmlformats.org/officeDocument/2006/relationships/hyperlink" Target="http://paperpile.com/b/TIfLRC/pzg6" TargetMode="External"/><Relationship Id="rId19" Type="http://schemas.openxmlformats.org/officeDocument/2006/relationships/hyperlink" Target="http://paperpile.com/b/TIfLRC/rYUo" TargetMode="External"/><Relationship Id="rId18" Type="http://schemas.openxmlformats.org/officeDocument/2006/relationships/hyperlink" Target="http://paperpile.com/b/TIfLRC/pzg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