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4002A" w:rsidRPr="008C4668" w:rsidRDefault="0084002A" w:rsidP="0084002A">
      <w:pPr>
        <w:suppressLineNumbers/>
        <w:jc w:val="center"/>
        <w:rPr>
          <w:rFonts w:ascii="Arial" w:hAnsi="Arial" w:cs="Arial"/>
          <w:b/>
          <w:bCs/>
          <w:sz w:val="22"/>
          <w:szCs w:val="22"/>
        </w:rPr>
      </w:pPr>
      <w:r w:rsidRPr="008C4668">
        <w:rPr>
          <w:rFonts w:ascii="Arial" w:hAnsi="Arial" w:cs="Arial"/>
          <w:b/>
          <w:bCs/>
          <w:noProof/>
          <w:sz w:val="22"/>
          <w:szCs w:val="22"/>
        </w:rPr>
        <w:drawing>
          <wp:inline distT="0" distB="0" distL="0" distR="0" wp14:anchorId="3E872844" wp14:editId="62209025">
            <wp:extent cx="5943600" cy="52120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 cstate="print">
                      <a:extLst>
                        <a:ext uri="{28A0092B-C50C-407E-A947-70E740481C1C}">
                          <a14:useLocalDpi xmlns:a14="http://schemas.microsoft.com/office/drawing/2010/main" val="0"/>
                        </a:ext>
                      </a:extLst>
                    </a:blip>
                    <a:srcRect r="392"/>
                    <a:stretch/>
                  </pic:blipFill>
                  <pic:spPr bwMode="auto">
                    <a:xfrm>
                      <a:off x="0" y="0"/>
                      <a:ext cx="5943600" cy="5212080"/>
                    </a:xfrm>
                    <a:prstGeom prst="rect">
                      <a:avLst/>
                    </a:prstGeom>
                    <a:ln>
                      <a:noFill/>
                    </a:ln>
                    <a:extLst>
                      <a:ext uri="{53640926-AAD7-44D8-BBD7-CCE9431645EC}">
                        <a14:shadowObscured xmlns:a14="http://schemas.microsoft.com/office/drawing/2010/main"/>
                      </a:ext>
                    </a:extLst>
                  </pic:spPr>
                </pic:pic>
              </a:graphicData>
            </a:graphic>
          </wp:inline>
        </w:drawing>
      </w:r>
    </w:p>
    <w:p w:rsidR="0084002A" w:rsidRDefault="0084002A" w:rsidP="0084002A">
      <w:pPr>
        <w:suppressLineNumbers/>
        <w:jc w:val="both"/>
        <w:rPr>
          <w:rFonts w:ascii="Arial" w:hAnsi="Arial" w:cs="Arial"/>
          <w:b/>
          <w:bCs/>
          <w:sz w:val="22"/>
          <w:szCs w:val="22"/>
        </w:rPr>
      </w:pPr>
    </w:p>
    <w:p w:rsidR="00D9698D" w:rsidRPr="008C4668" w:rsidRDefault="00D9698D" w:rsidP="00D9698D">
      <w:pPr>
        <w:suppressLineNumbers/>
        <w:spacing w:before="80"/>
        <w:jc w:val="both"/>
        <w:rPr>
          <w:rFonts w:ascii="Arial" w:hAnsi="Arial" w:cs="Arial"/>
          <w:b/>
          <w:bCs/>
          <w:sz w:val="22"/>
          <w:szCs w:val="22"/>
        </w:rPr>
      </w:pPr>
      <w:r>
        <w:rPr>
          <w:rFonts w:ascii="Arial" w:hAnsi="Arial" w:cs="Arial"/>
          <w:b/>
          <w:bCs/>
          <w:sz w:val="22"/>
          <w:szCs w:val="22"/>
        </w:rPr>
        <w:t>Supplementary Fig. 1:</w:t>
      </w:r>
      <w:r w:rsidRPr="008C4668">
        <w:rPr>
          <w:rFonts w:ascii="Arial" w:hAnsi="Arial" w:cs="Arial"/>
          <w:b/>
          <w:bCs/>
          <w:sz w:val="22"/>
          <w:szCs w:val="22"/>
        </w:rPr>
        <w:t xml:space="preserve"> Modifications to PETRI-seq introduced in this study.</w:t>
      </w:r>
    </w:p>
    <w:p w:rsidR="00D9698D" w:rsidRPr="008C4668" w:rsidRDefault="00D9698D" w:rsidP="00D9698D">
      <w:pPr>
        <w:suppressLineNumbers/>
        <w:spacing w:before="80"/>
        <w:jc w:val="both"/>
        <w:rPr>
          <w:rFonts w:ascii="Arial" w:hAnsi="Arial" w:cs="Arial"/>
          <w:sz w:val="22"/>
          <w:szCs w:val="22"/>
        </w:rPr>
      </w:pPr>
      <w:r w:rsidRPr="000E55EA">
        <w:rPr>
          <w:rFonts w:ascii="Arial" w:hAnsi="Arial" w:cs="Arial"/>
          <w:b/>
          <w:bCs/>
          <w:sz w:val="22"/>
          <w:szCs w:val="22"/>
        </w:rPr>
        <w:t>a</w:t>
      </w:r>
      <w:r>
        <w:rPr>
          <w:rFonts w:ascii="Arial" w:hAnsi="Arial" w:cs="Arial"/>
          <w:sz w:val="22"/>
          <w:szCs w:val="22"/>
        </w:rPr>
        <w:t>,</w:t>
      </w:r>
      <w:r w:rsidRPr="008C4668">
        <w:rPr>
          <w:rFonts w:ascii="Arial" w:hAnsi="Arial" w:cs="Arial"/>
          <w:sz w:val="22"/>
          <w:szCs w:val="22"/>
        </w:rPr>
        <w:t xml:space="preserve"> Schematic of PETRI-seq protocol</w:t>
      </w:r>
      <w:r w:rsidR="00315F9A">
        <w:rPr>
          <w:rFonts w:ascii="Arial" w:hAnsi="Arial" w:cs="Arial"/>
          <w:sz w:val="22"/>
          <w:szCs w:val="22"/>
        </w:rPr>
        <w:t xml:space="preserve"> </w:t>
      </w:r>
      <w:r w:rsidRPr="008C4668">
        <w:rPr>
          <w:rFonts w:ascii="Arial" w:hAnsi="Arial" w:cs="Arial"/>
          <w:sz w:val="22"/>
          <w:szCs w:val="22"/>
        </w:rPr>
        <w:t xml:space="preserve">with modifications shown. Arrows on the right indicate new validated stopping points after cell fixation and after cell preparation (see </w:t>
      </w:r>
      <w:r>
        <w:rPr>
          <w:rFonts w:ascii="Arial" w:hAnsi="Arial" w:cs="Arial"/>
          <w:sz w:val="22"/>
          <w:szCs w:val="22"/>
        </w:rPr>
        <w:t>M</w:t>
      </w:r>
      <w:r w:rsidRPr="008C4668">
        <w:rPr>
          <w:rFonts w:ascii="Arial" w:hAnsi="Arial" w:cs="Arial"/>
          <w:sz w:val="22"/>
          <w:szCs w:val="22"/>
        </w:rPr>
        <w:t xml:space="preserve">ethods for details). Stopping points after lysis were previously described. We have added a Cas9-driven rRNA depletion step to library preparation. After library amplification by PCR, crRNAs targeting rRNA are added with Cas9 to cleave those fragments. Cleaved fragments are preferentially removed during </w:t>
      </w:r>
      <w:proofErr w:type="spellStart"/>
      <w:r w:rsidRPr="008C4668">
        <w:rPr>
          <w:rFonts w:ascii="Arial" w:hAnsi="Arial" w:cs="Arial"/>
          <w:sz w:val="22"/>
          <w:szCs w:val="22"/>
        </w:rPr>
        <w:t>AMPure</w:t>
      </w:r>
      <w:proofErr w:type="spellEnd"/>
      <w:r w:rsidRPr="008C4668">
        <w:rPr>
          <w:rFonts w:ascii="Arial" w:hAnsi="Arial" w:cs="Arial"/>
          <w:sz w:val="22"/>
          <w:szCs w:val="22"/>
        </w:rPr>
        <w:t xml:space="preserve"> bead cleanup because they are short. Also, they will not be able to bind the Illumina flow cell.</w:t>
      </w:r>
      <w:r>
        <w:rPr>
          <w:rFonts w:ascii="Arial" w:hAnsi="Arial" w:cs="Arial"/>
          <w:sz w:val="22"/>
          <w:szCs w:val="22"/>
        </w:rPr>
        <w:t xml:space="preserve"> </w:t>
      </w:r>
      <w:r>
        <w:rPr>
          <w:rFonts w:ascii="Arial" w:hAnsi="Arial" w:cs="Arial"/>
          <w:b/>
          <w:bCs/>
          <w:sz w:val="22"/>
          <w:szCs w:val="22"/>
        </w:rPr>
        <w:t>b</w:t>
      </w:r>
      <w:r w:rsidRPr="000E55EA">
        <w:rPr>
          <w:rFonts w:ascii="Arial" w:hAnsi="Arial" w:cs="Arial"/>
          <w:sz w:val="22"/>
          <w:szCs w:val="22"/>
        </w:rPr>
        <w:t>,</w:t>
      </w:r>
      <w:r w:rsidRPr="008C4668">
        <w:rPr>
          <w:rFonts w:ascii="Arial" w:hAnsi="Arial" w:cs="Arial"/>
          <w:sz w:val="22"/>
          <w:szCs w:val="22"/>
        </w:rPr>
        <w:t xml:space="preserve"> rRNA depletion by Cas9 increases the percent of reads mapping to mRNA from mean 7.6% to 24.6% (p</w:t>
      </w:r>
      <w:r>
        <w:rPr>
          <w:rFonts w:ascii="Arial" w:hAnsi="Arial" w:cs="Arial"/>
          <w:sz w:val="22"/>
          <w:szCs w:val="22"/>
        </w:rPr>
        <w:t>=0.001</w:t>
      </w:r>
      <w:r w:rsidRPr="008C4668">
        <w:rPr>
          <w:rFonts w:ascii="Arial" w:hAnsi="Arial" w:cs="Arial"/>
          <w:sz w:val="22"/>
          <w:szCs w:val="22"/>
        </w:rPr>
        <w:t xml:space="preserve">; one-sided Mann-Whitney U test; n=10 depleted libraries, n=5 non-depleted). </w:t>
      </w:r>
      <w:r>
        <w:rPr>
          <w:rFonts w:ascii="Arial" w:hAnsi="Arial" w:cs="Arial"/>
          <w:sz w:val="22"/>
          <w:szCs w:val="22"/>
        </w:rPr>
        <w:t>Mean and standard deviation are shown with small dots for each replicate library</w:t>
      </w:r>
      <w:r w:rsidRPr="008C4668">
        <w:rPr>
          <w:rFonts w:ascii="Arial" w:hAnsi="Arial" w:cs="Arial"/>
          <w:sz w:val="22"/>
          <w:szCs w:val="22"/>
        </w:rPr>
        <w:t>.</w:t>
      </w:r>
      <w:r>
        <w:rPr>
          <w:rFonts w:ascii="Arial" w:hAnsi="Arial" w:cs="Arial"/>
          <w:sz w:val="22"/>
          <w:szCs w:val="22"/>
        </w:rPr>
        <w:t xml:space="preserve"> </w:t>
      </w:r>
      <w:r w:rsidRPr="000E55EA">
        <w:rPr>
          <w:rFonts w:ascii="Arial" w:hAnsi="Arial" w:cs="Arial"/>
          <w:b/>
          <w:bCs/>
          <w:sz w:val="22"/>
          <w:szCs w:val="22"/>
        </w:rPr>
        <w:t>c</w:t>
      </w:r>
      <w:r>
        <w:rPr>
          <w:rFonts w:ascii="Arial" w:hAnsi="Arial" w:cs="Arial"/>
          <w:sz w:val="22"/>
          <w:szCs w:val="22"/>
        </w:rPr>
        <w:t>,</w:t>
      </w:r>
      <w:r w:rsidRPr="008C4668">
        <w:rPr>
          <w:rFonts w:ascii="Arial" w:hAnsi="Arial" w:cs="Arial"/>
          <w:sz w:val="22"/>
          <w:szCs w:val="22"/>
        </w:rPr>
        <w:t xml:space="preserve"> mRNA abundance in depleted libraries is highly correlated with non-depleted libraries</w:t>
      </w:r>
      <w:r>
        <w:rPr>
          <w:rFonts w:ascii="Arial" w:hAnsi="Arial" w:cs="Arial"/>
          <w:sz w:val="22"/>
          <w:szCs w:val="22"/>
        </w:rPr>
        <w:t xml:space="preserve"> (Pearson’s r = 0.97)</w:t>
      </w:r>
      <w:r w:rsidRPr="008C4668">
        <w:rPr>
          <w:rFonts w:ascii="Arial" w:hAnsi="Arial" w:cs="Arial"/>
          <w:sz w:val="22"/>
          <w:szCs w:val="22"/>
        </w:rPr>
        <w:t xml:space="preserve">. Unique molecular identifier (UMI) counts per million are shown for 4035 </w:t>
      </w:r>
      <w:r w:rsidRPr="008C4668">
        <w:rPr>
          <w:rFonts w:ascii="Arial" w:hAnsi="Arial" w:cs="Arial"/>
          <w:i/>
          <w:iCs/>
          <w:sz w:val="22"/>
          <w:szCs w:val="22"/>
        </w:rPr>
        <w:t xml:space="preserve">E. coli </w:t>
      </w:r>
      <w:r w:rsidRPr="008C4668">
        <w:rPr>
          <w:rFonts w:ascii="Arial" w:hAnsi="Arial" w:cs="Arial"/>
          <w:sz w:val="22"/>
          <w:szCs w:val="22"/>
        </w:rPr>
        <w:t>genes.</w:t>
      </w:r>
    </w:p>
    <w:p w:rsidR="0084002A" w:rsidRDefault="0084002A" w:rsidP="0084002A">
      <w:pPr>
        <w:suppressLineNumbers/>
        <w:spacing w:before="80"/>
        <w:jc w:val="center"/>
        <w:rPr>
          <w:rFonts w:ascii="Arial" w:hAnsi="Arial" w:cs="Arial"/>
          <w:sz w:val="22"/>
          <w:szCs w:val="22"/>
        </w:rPr>
      </w:pPr>
    </w:p>
    <w:p w:rsidR="0084002A" w:rsidRDefault="0084002A" w:rsidP="0084002A">
      <w:pPr>
        <w:suppressLineNumbers/>
        <w:spacing w:before="80"/>
        <w:jc w:val="center"/>
        <w:rPr>
          <w:rFonts w:ascii="Arial" w:hAnsi="Arial" w:cs="Arial"/>
          <w:sz w:val="22"/>
          <w:szCs w:val="22"/>
        </w:rPr>
      </w:pPr>
    </w:p>
    <w:p w:rsidR="0084002A" w:rsidRDefault="0084002A" w:rsidP="0084002A">
      <w:pPr>
        <w:suppressLineNumbers/>
        <w:spacing w:before="80"/>
        <w:jc w:val="center"/>
        <w:rPr>
          <w:rFonts w:ascii="Arial" w:hAnsi="Arial" w:cs="Arial"/>
          <w:sz w:val="22"/>
          <w:szCs w:val="22"/>
        </w:rPr>
      </w:pPr>
    </w:p>
    <w:p w:rsidR="0084002A" w:rsidRDefault="0084002A" w:rsidP="0084002A">
      <w:pPr>
        <w:suppressLineNumbers/>
        <w:spacing w:before="80"/>
        <w:jc w:val="center"/>
        <w:rPr>
          <w:rFonts w:ascii="Arial" w:hAnsi="Arial" w:cs="Arial"/>
          <w:sz w:val="22"/>
          <w:szCs w:val="22"/>
        </w:rPr>
      </w:pPr>
      <w:r>
        <w:rPr>
          <w:rFonts w:ascii="Arial" w:hAnsi="Arial" w:cs="Arial"/>
          <w:noProof/>
          <w:sz w:val="22"/>
          <w:szCs w:val="22"/>
        </w:rPr>
        <w:lastRenderedPageBreak/>
        <w:drawing>
          <wp:inline distT="0" distB="0" distL="0" distR="0" wp14:anchorId="10193B4C" wp14:editId="33047DFE">
            <wp:extent cx="2471596" cy="3611343"/>
            <wp:effectExtent l="0" t="0" r="5080" b="0"/>
            <wp:docPr id="572201470"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01470" name="Picture 1" descr="A diagram of a graph&#10;&#10;Description automatically generated"/>
                    <pic:cNvPicPr/>
                  </pic:nvPicPr>
                  <pic:blipFill rotWithShape="1">
                    <a:blip r:embed="rId5">
                      <a:extLst>
                        <a:ext uri="{28A0092B-C50C-407E-A947-70E740481C1C}">
                          <a14:useLocalDpi xmlns:a14="http://schemas.microsoft.com/office/drawing/2010/main" val="0"/>
                        </a:ext>
                      </a:extLst>
                    </a:blip>
                    <a:srcRect t="-2533" b="-2046"/>
                    <a:stretch/>
                  </pic:blipFill>
                  <pic:spPr bwMode="auto">
                    <a:xfrm>
                      <a:off x="0" y="0"/>
                      <a:ext cx="2489756" cy="3637878"/>
                    </a:xfrm>
                    <a:prstGeom prst="rect">
                      <a:avLst/>
                    </a:prstGeom>
                    <a:ln>
                      <a:noFill/>
                    </a:ln>
                    <a:extLst>
                      <a:ext uri="{53640926-AAD7-44D8-BBD7-CCE9431645EC}">
                        <a14:shadowObscured xmlns:a14="http://schemas.microsoft.com/office/drawing/2010/main"/>
                      </a:ext>
                    </a:extLst>
                  </pic:spPr>
                </pic:pic>
              </a:graphicData>
            </a:graphic>
          </wp:inline>
        </w:drawing>
      </w:r>
    </w:p>
    <w:p w:rsidR="0084002A" w:rsidRDefault="0084002A" w:rsidP="0084002A">
      <w:pPr>
        <w:suppressLineNumbers/>
        <w:spacing w:before="80"/>
        <w:jc w:val="center"/>
        <w:rPr>
          <w:rFonts w:ascii="Arial" w:hAnsi="Arial" w:cs="Arial"/>
          <w:sz w:val="22"/>
          <w:szCs w:val="22"/>
        </w:rPr>
      </w:pPr>
    </w:p>
    <w:p w:rsidR="00D9698D" w:rsidRPr="00DB2C46" w:rsidRDefault="00D9698D" w:rsidP="00D9698D">
      <w:pPr>
        <w:suppressLineNumbers/>
        <w:spacing w:before="80"/>
        <w:jc w:val="both"/>
        <w:rPr>
          <w:rFonts w:ascii="Arial" w:hAnsi="Arial" w:cs="Arial"/>
          <w:b/>
          <w:bCs/>
          <w:sz w:val="22"/>
          <w:szCs w:val="22"/>
        </w:rPr>
      </w:pPr>
      <w:r>
        <w:rPr>
          <w:rFonts w:ascii="Arial" w:hAnsi="Arial" w:cs="Arial"/>
          <w:b/>
          <w:bCs/>
          <w:sz w:val="22"/>
          <w:szCs w:val="22"/>
        </w:rPr>
        <w:t>Supplementary Fig. 2:</w:t>
      </w:r>
      <w:r w:rsidRPr="008C4668">
        <w:rPr>
          <w:rFonts w:ascii="Arial" w:hAnsi="Arial" w:cs="Arial"/>
          <w:b/>
          <w:bCs/>
          <w:sz w:val="22"/>
          <w:szCs w:val="22"/>
        </w:rPr>
        <w:t xml:space="preserve"> </w:t>
      </w:r>
      <w:r>
        <w:rPr>
          <w:rFonts w:ascii="Arial" w:hAnsi="Arial" w:cs="Arial"/>
          <w:b/>
          <w:bCs/>
          <w:i/>
          <w:iCs/>
          <w:sz w:val="22"/>
          <w:szCs w:val="22"/>
        </w:rPr>
        <w:t xml:space="preserve">in silico </w:t>
      </w:r>
      <w:r>
        <w:rPr>
          <w:rFonts w:ascii="Arial" w:hAnsi="Arial" w:cs="Arial"/>
          <w:b/>
          <w:bCs/>
          <w:sz w:val="22"/>
          <w:szCs w:val="22"/>
        </w:rPr>
        <w:t>prediction of YqgE molecular</w:t>
      </w:r>
      <w:r>
        <w:rPr>
          <w:rFonts w:ascii="Arial" w:hAnsi="Arial" w:cs="Arial"/>
          <w:b/>
          <w:bCs/>
          <w:i/>
          <w:iCs/>
          <w:sz w:val="22"/>
          <w:szCs w:val="22"/>
        </w:rPr>
        <w:t xml:space="preserve"> </w:t>
      </w:r>
      <w:r>
        <w:rPr>
          <w:rFonts w:ascii="Arial" w:hAnsi="Arial" w:cs="Arial"/>
          <w:b/>
          <w:bCs/>
          <w:sz w:val="22"/>
          <w:szCs w:val="22"/>
        </w:rPr>
        <w:t>function.</w:t>
      </w:r>
    </w:p>
    <w:p w:rsidR="00D9698D" w:rsidRDefault="00D9698D" w:rsidP="00D9698D">
      <w:pPr>
        <w:suppressLineNumbers/>
        <w:rPr>
          <w:rFonts w:ascii="Arial" w:hAnsi="Arial" w:cs="Arial"/>
          <w:sz w:val="22"/>
          <w:szCs w:val="22"/>
        </w:rPr>
      </w:pPr>
      <w:r>
        <w:rPr>
          <w:rFonts w:ascii="Arial" w:hAnsi="Arial" w:cs="Arial"/>
          <w:sz w:val="22"/>
          <w:szCs w:val="22"/>
        </w:rPr>
        <w:t xml:space="preserve">Flow chart of GO terms predicted for YqgE molecular function using COFACTOR. Colored boxes indicate predicted GO terms with confidence score for that prediction. Non-colored boxes show the pre-defined GO hierarchy. </w:t>
      </w: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suppressLineNumbers/>
        <w:rPr>
          <w:rFonts w:ascii="Arial" w:hAnsi="Arial" w:cs="Arial"/>
          <w:sz w:val="22"/>
          <w:szCs w:val="22"/>
        </w:rPr>
      </w:pPr>
    </w:p>
    <w:p w:rsidR="00D9698D" w:rsidRDefault="00D9698D" w:rsidP="00D9698D">
      <w:pPr>
        <w:rPr>
          <w:rFonts w:ascii="Arial" w:hAnsi="Arial" w:cs="Arial"/>
          <w:sz w:val="22"/>
          <w:szCs w:val="22"/>
        </w:rPr>
      </w:pPr>
      <w:r>
        <w:rPr>
          <w:rFonts w:ascii="Arial" w:hAnsi="Arial" w:cs="Arial"/>
          <w:sz w:val="22"/>
          <w:szCs w:val="22"/>
        </w:rPr>
        <w:br w:type="page"/>
      </w:r>
    </w:p>
    <w:p w:rsidR="00D9698D" w:rsidRPr="008C4668" w:rsidRDefault="00D9698D" w:rsidP="00D9698D">
      <w:pPr>
        <w:suppressLineNumbers/>
        <w:rPr>
          <w:rFonts w:ascii="Arial" w:hAnsi="Arial" w:cs="Arial"/>
          <w:sz w:val="22"/>
          <w:szCs w:val="22"/>
        </w:rPr>
      </w:pPr>
      <w:r>
        <w:rPr>
          <w:rFonts w:ascii="Arial" w:hAnsi="Arial" w:cs="Arial"/>
          <w:b/>
          <w:bCs/>
          <w:sz w:val="22"/>
          <w:szCs w:val="22"/>
        </w:rPr>
        <w:lastRenderedPageBreak/>
        <w:t xml:space="preserve">Supplementary </w:t>
      </w:r>
      <w:r w:rsidRPr="008C4668">
        <w:rPr>
          <w:rFonts w:ascii="Arial" w:hAnsi="Arial" w:cs="Arial"/>
          <w:b/>
          <w:bCs/>
          <w:sz w:val="22"/>
          <w:szCs w:val="22"/>
        </w:rPr>
        <w:t xml:space="preserve">Table </w:t>
      </w:r>
      <w:r>
        <w:rPr>
          <w:rFonts w:ascii="Arial" w:hAnsi="Arial" w:cs="Arial"/>
          <w:b/>
          <w:bCs/>
          <w:sz w:val="22"/>
          <w:szCs w:val="22"/>
        </w:rPr>
        <w:t>1:</w:t>
      </w:r>
      <w:r w:rsidRPr="008C4668">
        <w:rPr>
          <w:rFonts w:ascii="Arial" w:hAnsi="Arial" w:cs="Arial"/>
          <w:b/>
          <w:bCs/>
          <w:sz w:val="22"/>
          <w:szCs w:val="22"/>
        </w:rPr>
        <w:t xml:space="preserve"> Mean gene expression by cell cluster.</w:t>
      </w:r>
    </w:p>
    <w:p w:rsidR="00D9698D" w:rsidRPr="008C4668" w:rsidRDefault="00D9698D" w:rsidP="00D9698D">
      <w:pPr>
        <w:suppressLineNumbers/>
        <w:jc w:val="both"/>
        <w:rPr>
          <w:rFonts w:ascii="Arial" w:hAnsi="Arial" w:cs="Arial"/>
          <w:sz w:val="22"/>
          <w:szCs w:val="22"/>
        </w:rPr>
      </w:pPr>
      <w:r w:rsidRPr="008C4668">
        <w:rPr>
          <w:rFonts w:ascii="Arial" w:hAnsi="Arial" w:cs="Arial"/>
          <w:sz w:val="22"/>
          <w:szCs w:val="22"/>
        </w:rPr>
        <w:t xml:space="preserve">Average expression of all </w:t>
      </w:r>
      <w:r w:rsidRPr="008C4668">
        <w:rPr>
          <w:rFonts w:ascii="Arial" w:hAnsi="Arial" w:cs="Arial"/>
          <w:i/>
          <w:iCs/>
          <w:sz w:val="22"/>
          <w:szCs w:val="22"/>
        </w:rPr>
        <w:t xml:space="preserve">E. coli </w:t>
      </w:r>
      <w:r w:rsidRPr="008C4668">
        <w:rPr>
          <w:rFonts w:ascii="Arial" w:hAnsi="Arial" w:cs="Arial"/>
          <w:sz w:val="22"/>
          <w:szCs w:val="22"/>
        </w:rPr>
        <w:t xml:space="preserve">gene is listed by cell cluster, as shown in </w:t>
      </w:r>
      <w:r>
        <w:rPr>
          <w:rFonts w:ascii="Arial" w:hAnsi="Arial" w:cs="Arial"/>
          <w:sz w:val="22"/>
          <w:szCs w:val="22"/>
        </w:rPr>
        <w:t>Fig.</w:t>
      </w:r>
      <w:r w:rsidRPr="008C4668">
        <w:rPr>
          <w:rFonts w:ascii="Arial" w:hAnsi="Arial" w:cs="Arial"/>
          <w:sz w:val="22"/>
          <w:szCs w:val="22"/>
        </w:rPr>
        <w:t xml:space="preserve"> 1</w:t>
      </w:r>
      <w:r>
        <w:rPr>
          <w:rFonts w:ascii="Arial" w:hAnsi="Arial" w:cs="Arial"/>
          <w:sz w:val="22"/>
          <w:szCs w:val="22"/>
        </w:rPr>
        <w:t>f</w:t>
      </w:r>
      <w:r w:rsidRPr="008C4668">
        <w:rPr>
          <w:rFonts w:ascii="Arial" w:hAnsi="Arial" w:cs="Arial"/>
          <w:sz w:val="22"/>
          <w:szCs w:val="22"/>
        </w:rPr>
        <w:t xml:space="preserve">. As in </w:t>
      </w:r>
      <w:r>
        <w:rPr>
          <w:rFonts w:ascii="Arial" w:hAnsi="Arial" w:cs="Arial"/>
          <w:sz w:val="22"/>
          <w:szCs w:val="22"/>
        </w:rPr>
        <w:t>Fig.</w:t>
      </w:r>
      <w:r w:rsidRPr="008C4668">
        <w:rPr>
          <w:rFonts w:ascii="Arial" w:hAnsi="Arial" w:cs="Arial"/>
          <w:sz w:val="22"/>
          <w:szCs w:val="22"/>
        </w:rPr>
        <w:t xml:space="preserve"> 1, only </w:t>
      </w:r>
      <w:r w:rsidRPr="008C4668">
        <w:rPr>
          <w:rFonts w:ascii="Arial" w:hAnsi="Arial" w:cs="Arial"/>
          <w:i/>
          <w:iCs/>
          <w:sz w:val="22"/>
          <w:szCs w:val="22"/>
        </w:rPr>
        <w:t>metG*</w:t>
      </w:r>
      <w:r w:rsidRPr="008C4668">
        <w:rPr>
          <w:rFonts w:ascii="Arial" w:hAnsi="Arial" w:cs="Arial"/>
          <w:sz w:val="22"/>
          <w:szCs w:val="22"/>
        </w:rPr>
        <w:t xml:space="preserve"> and wildtype cells are included. </w:t>
      </w:r>
    </w:p>
    <w:p w:rsidR="00D9698D" w:rsidRDefault="00D9698D" w:rsidP="00D9698D">
      <w:pPr>
        <w:suppressLineNumbers/>
        <w:rPr>
          <w:rFonts w:ascii="Arial" w:hAnsi="Arial" w:cs="Arial"/>
          <w:sz w:val="22"/>
          <w:szCs w:val="22"/>
        </w:rPr>
      </w:pPr>
    </w:p>
    <w:p w:rsidR="00D9698D" w:rsidRDefault="00D9698D" w:rsidP="00D9698D">
      <w:pPr>
        <w:suppressLineNumbers/>
        <w:jc w:val="both"/>
        <w:rPr>
          <w:rFonts w:ascii="Arial" w:hAnsi="Arial" w:cs="Arial"/>
          <w:b/>
          <w:bCs/>
          <w:sz w:val="22"/>
          <w:szCs w:val="22"/>
        </w:rPr>
      </w:pPr>
      <w:r>
        <w:rPr>
          <w:rFonts w:ascii="Arial" w:hAnsi="Arial" w:cs="Arial"/>
          <w:b/>
          <w:bCs/>
          <w:sz w:val="22"/>
          <w:szCs w:val="22"/>
        </w:rPr>
        <w:t xml:space="preserve">Supplementary </w:t>
      </w:r>
      <w:r w:rsidRPr="008C4668">
        <w:rPr>
          <w:rFonts w:ascii="Arial" w:hAnsi="Arial" w:cs="Arial"/>
          <w:b/>
          <w:bCs/>
          <w:sz w:val="22"/>
          <w:szCs w:val="22"/>
        </w:rPr>
        <w:t xml:space="preserve">Table </w:t>
      </w:r>
      <w:r>
        <w:rPr>
          <w:rFonts w:ascii="Arial" w:hAnsi="Arial" w:cs="Arial"/>
          <w:b/>
          <w:bCs/>
          <w:sz w:val="22"/>
          <w:szCs w:val="22"/>
        </w:rPr>
        <w:t>2: Differential expression analysis of bulk proteomics.</w:t>
      </w:r>
    </w:p>
    <w:p w:rsidR="00D9698D" w:rsidRPr="00A753A9" w:rsidRDefault="00D9698D" w:rsidP="00D9698D">
      <w:pPr>
        <w:suppressLineNumbers/>
        <w:jc w:val="both"/>
        <w:rPr>
          <w:rFonts w:ascii="Arial" w:hAnsi="Arial" w:cs="Arial"/>
          <w:sz w:val="22"/>
          <w:szCs w:val="22"/>
        </w:rPr>
      </w:pPr>
      <w:r>
        <w:rPr>
          <w:rFonts w:ascii="Arial" w:hAnsi="Arial" w:cs="Arial"/>
          <w:sz w:val="22"/>
          <w:szCs w:val="22"/>
        </w:rPr>
        <w:t>Ratio [average log</w:t>
      </w:r>
      <w:r w:rsidRPr="00A753A9">
        <w:rPr>
          <w:rFonts w:ascii="Arial" w:hAnsi="Arial" w:cs="Arial"/>
          <w:sz w:val="22"/>
          <w:szCs w:val="22"/>
          <w:vertAlign w:val="subscript"/>
        </w:rPr>
        <w:t>2</w:t>
      </w:r>
      <w:r>
        <w:rPr>
          <w:rFonts w:ascii="Arial" w:hAnsi="Arial" w:cs="Arial"/>
          <w:sz w:val="22"/>
          <w:szCs w:val="22"/>
        </w:rPr>
        <w:t xml:space="preserve">(fold-change)], </w:t>
      </w:r>
      <w:proofErr w:type="spellStart"/>
      <w:r>
        <w:rPr>
          <w:rFonts w:ascii="Arial" w:hAnsi="Arial" w:cs="Arial"/>
          <w:sz w:val="22"/>
          <w:szCs w:val="22"/>
        </w:rPr>
        <w:t>p.val</w:t>
      </w:r>
      <w:proofErr w:type="spellEnd"/>
      <w:r>
        <w:rPr>
          <w:rFonts w:ascii="Arial" w:hAnsi="Arial" w:cs="Arial"/>
          <w:sz w:val="22"/>
          <w:szCs w:val="22"/>
        </w:rPr>
        <w:t xml:space="preserve"> (raw p-value), </w:t>
      </w:r>
      <w:proofErr w:type="spellStart"/>
      <w:r>
        <w:rPr>
          <w:rFonts w:ascii="Arial" w:hAnsi="Arial" w:cs="Arial"/>
          <w:sz w:val="22"/>
          <w:szCs w:val="22"/>
        </w:rPr>
        <w:t>p.adj</w:t>
      </w:r>
      <w:proofErr w:type="spellEnd"/>
      <w:r>
        <w:rPr>
          <w:rFonts w:ascii="Arial" w:hAnsi="Arial" w:cs="Arial"/>
          <w:sz w:val="22"/>
          <w:szCs w:val="22"/>
        </w:rPr>
        <w:t xml:space="preserve"> (adjusted p-value), and significance (</w:t>
      </w:r>
      <w:r w:rsidRPr="00A753A9">
        <w:rPr>
          <w:rFonts w:ascii="Arial" w:hAnsi="Arial" w:cs="Arial"/>
          <w:sz w:val="22"/>
          <w:szCs w:val="22"/>
        </w:rPr>
        <w:t>α</w:t>
      </w:r>
      <w:r>
        <w:rPr>
          <w:rFonts w:ascii="Arial" w:hAnsi="Arial" w:cs="Arial"/>
          <w:sz w:val="22"/>
          <w:szCs w:val="22"/>
        </w:rPr>
        <w:t xml:space="preserve">=0.05) of proteins measured in wildtype MG1655 overnight (“X35_O_N”), </w:t>
      </w:r>
      <w:r>
        <w:rPr>
          <w:rFonts w:ascii="Arial" w:hAnsi="Arial" w:cs="Arial"/>
          <w:i/>
          <w:iCs/>
          <w:sz w:val="22"/>
          <w:szCs w:val="22"/>
        </w:rPr>
        <w:t xml:space="preserve">metG* </w:t>
      </w:r>
      <w:r>
        <w:rPr>
          <w:rFonts w:ascii="Arial" w:hAnsi="Arial" w:cs="Arial"/>
          <w:sz w:val="22"/>
          <w:szCs w:val="22"/>
        </w:rPr>
        <w:t xml:space="preserve">overnight (“X40_O_N”), MG1655 exponential (“X35_exp”), </w:t>
      </w:r>
      <w:r>
        <w:rPr>
          <w:rFonts w:ascii="Arial" w:hAnsi="Arial" w:cs="Arial"/>
          <w:i/>
          <w:iCs/>
          <w:sz w:val="22"/>
          <w:szCs w:val="22"/>
        </w:rPr>
        <w:t xml:space="preserve">metG* </w:t>
      </w:r>
      <w:r>
        <w:rPr>
          <w:rFonts w:ascii="Arial" w:hAnsi="Arial" w:cs="Arial"/>
          <w:sz w:val="22"/>
          <w:szCs w:val="22"/>
        </w:rPr>
        <w:t>lag/</w:t>
      </w:r>
      <w:proofErr w:type="spellStart"/>
      <w:r>
        <w:rPr>
          <w:rFonts w:ascii="Arial" w:hAnsi="Arial" w:cs="Arial"/>
          <w:sz w:val="22"/>
          <w:szCs w:val="22"/>
        </w:rPr>
        <w:t>persisters</w:t>
      </w:r>
      <w:proofErr w:type="spellEnd"/>
      <w:r>
        <w:rPr>
          <w:rFonts w:ascii="Arial" w:hAnsi="Arial" w:cs="Arial"/>
          <w:sz w:val="22"/>
          <w:szCs w:val="22"/>
        </w:rPr>
        <w:t xml:space="preserve"> (“X40_lag”), and </w:t>
      </w:r>
      <w:r>
        <w:rPr>
          <w:rFonts w:ascii="Arial" w:hAnsi="Arial" w:cs="Arial"/>
          <w:i/>
          <w:iCs/>
          <w:sz w:val="22"/>
          <w:szCs w:val="22"/>
        </w:rPr>
        <w:t>metG*</w:t>
      </w:r>
      <w:r>
        <w:rPr>
          <w:rFonts w:ascii="Arial" w:hAnsi="Arial" w:cs="Arial"/>
          <w:sz w:val="22"/>
          <w:szCs w:val="22"/>
        </w:rPr>
        <w:t>-</w:t>
      </w:r>
      <w:r w:rsidRPr="00A753A9">
        <w:rPr>
          <w:rFonts w:ascii="Arial" w:hAnsi="Arial" w:cs="Arial"/>
          <w:sz w:val="22"/>
          <w:szCs w:val="22"/>
        </w:rPr>
        <w:t xml:space="preserve"> </w:t>
      </w:r>
      <w:proofErr w:type="spellStart"/>
      <w:r w:rsidRPr="00E90853">
        <w:rPr>
          <w:rFonts w:ascii="Arial" w:hAnsi="Arial" w:cs="Arial"/>
          <w:sz w:val="22"/>
          <w:szCs w:val="22"/>
        </w:rPr>
        <w:t>Δ</w:t>
      </w:r>
      <w:r>
        <w:rPr>
          <w:rFonts w:ascii="Arial" w:hAnsi="Arial" w:cs="Arial"/>
          <w:i/>
          <w:iCs/>
          <w:sz w:val="22"/>
          <w:szCs w:val="22"/>
        </w:rPr>
        <w:t>lon</w:t>
      </w:r>
      <w:r>
        <w:rPr>
          <w:rFonts w:ascii="Arial" w:hAnsi="Arial" w:cs="Arial"/>
          <w:sz w:val="22"/>
          <w:szCs w:val="22"/>
        </w:rPr>
        <w:t>-</w:t>
      </w:r>
      <w:r w:rsidRPr="00E90853">
        <w:rPr>
          <w:rFonts w:ascii="Arial" w:hAnsi="Arial" w:cs="Arial"/>
          <w:sz w:val="22"/>
          <w:szCs w:val="22"/>
        </w:rPr>
        <w:t>Δ</w:t>
      </w:r>
      <w:r>
        <w:rPr>
          <w:rFonts w:ascii="Arial" w:hAnsi="Arial" w:cs="Arial"/>
          <w:i/>
          <w:iCs/>
          <w:sz w:val="22"/>
          <w:szCs w:val="22"/>
        </w:rPr>
        <w:t>sulA</w:t>
      </w:r>
      <w:proofErr w:type="spellEnd"/>
      <w:r>
        <w:rPr>
          <w:rFonts w:ascii="Arial" w:hAnsi="Arial" w:cs="Arial"/>
          <w:i/>
          <w:iCs/>
          <w:sz w:val="22"/>
          <w:szCs w:val="22"/>
        </w:rPr>
        <w:t xml:space="preserve"> </w:t>
      </w:r>
      <w:r>
        <w:rPr>
          <w:rFonts w:ascii="Arial" w:hAnsi="Arial" w:cs="Arial"/>
          <w:sz w:val="22"/>
          <w:szCs w:val="22"/>
        </w:rPr>
        <w:t>overnight (“X161_O_N”). As detailed in the Methods, this table was produced with the DEP R package.</w:t>
      </w:r>
    </w:p>
    <w:p w:rsidR="00D9698D" w:rsidRDefault="00D9698D" w:rsidP="00D9698D">
      <w:pPr>
        <w:suppressLineNumbers/>
        <w:rPr>
          <w:rFonts w:ascii="Arial" w:hAnsi="Arial" w:cs="Arial"/>
          <w:sz w:val="22"/>
          <w:szCs w:val="22"/>
        </w:rPr>
      </w:pPr>
    </w:p>
    <w:p w:rsidR="00D9698D" w:rsidRPr="008C4668" w:rsidRDefault="00D9698D" w:rsidP="00D9698D">
      <w:pPr>
        <w:suppressLineNumbers/>
        <w:jc w:val="both"/>
        <w:rPr>
          <w:rFonts w:ascii="Arial" w:hAnsi="Arial" w:cs="Arial"/>
          <w:b/>
          <w:bCs/>
          <w:sz w:val="22"/>
          <w:szCs w:val="22"/>
        </w:rPr>
      </w:pPr>
      <w:r>
        <w:rPr>
          <w:rFonts w:ascii="Arial" w:hAnsi="Arial" w:cs="Arial"/>
          <w:b/>
          <w:bCs/>
          <w:sz w:val="22"/>
          <w:szCs w:val="22"/>
        </w:rPr>
        <w:t>Supplementary Table 3:</w:t>
      </w:r>
      <w:r w:rsidRPr="008C4668">
        <w:rPr>
          <w:rFonts w:ascii="Arial" w:hAnsi="Arial" w:cs="Arial"/>
          <w:b/>
          <w:bCs/>
          <w:sz w:val="22"/>
          <w:szCs w:val="22"/>
        </w:rPr>
        <w:t xml:space="preserve"> List of all PETRI-seq samples included in this study.</w:t>
      </w:r>
    </w:p>
    <w:p w:rsidR="00D9698D" w:rsidRPr="008C4668" w:rsidRDefault="00D9698D" w:rsidP="00D9698D">
      <w:pPr>
        <w:suppressLineNumbers/>
        <w:jc w:val="both"/>
        <w:rPr>
          <w:rFonts w:ascii="Arial" w:hAnsi="Arial" w:cs="Arial"/>
          <w:sz w:val="22"/>
          <w:szCs w:val="22"/>
        </w:rPr>
      </w:pPr>
      <w:r w:rsidRPr="008C4668">
        <w:rPr>
          <w:rFonts w:ascii="Arial" w:hAnsi="Arial" w:cs="Arial"/>
          <w:sz w:val="22"/>
          <w:szCs w:val="22"/>
        </w:rPr>
        <w:t xml:space="preserve">Details for every PETRI-seq sample. </w:t>
      </w:r>
      <w:r>
        <w:rPr>
          <w:rFonts w:ascii="Arial" w:hAnsi="Arial" w:cs="Arial"/>
          <w:sz w:val="22"/>
          <w:szCs w:val="22"/>
        </w:rPr>
        <w:t xml:space="preserve">Two spreadsheets are included: </w:t>
      </w:r>
      <w:r>
        <w:rPr>
          <w:rFonts w:ascii="Arial" w:hAnsi="Arial" w:cs="Arial"/>
          <w:i/>
          <w:iCs/>
          <w:sz w:val="22"/>
          <w:szCs w:val="22"/>
        </w:rPr>
        <w:t xml:space="preserve">libraries </w:t>
      </w:r>
      <w:r>
        <w:rPr>
          <w:rFonts w:ascii="Arial" w:hAnsi="Arial" w:cs="Arial"/>
          <w:sz w:val="22"/>
          <w:szCs w:val="22"/>
        </w:rPr>
        <w:t xml:space="preserve">and </w:t>
      </w:r>
      <w:proofErr w:type="spellStart"/>
      <w:r>
        <w:rPr>
          <w:rFonts w:ascii="Arial" w:hAnsi="Arial" w:cs="Arial"/>
          <w:i/>
          <w:iCs/>
          <w:sz w:val="22"/>
          <w:szCs w:val="22"/>
        </w:rPr>
        <w:t>libraries_by_figure</w:t>
      </w:r>
      <w:proofErr w:type="spellEnd"/>
      <w:r>
        <w:rPr>
          <w:rFonts w:ascii="Arial" w:hAnsi="Arial" w:cs="Arial"/>
          <w:sz w:val="22"/>
          <w:szCs w:val="22"/>
        </w:rPr>
        <w:t xml:space="preserve">. </w:t>
      </w:r>
      <w:r>
        <w:rPr>
          <w:rFonts w:ascii="Arial" w:hAnsi="Arial" w:cs="Arial"/>
          <w:i/>
          <w:iCs/>
          <w:sz w:val="22"/>
          <w:szCs w:val="22"/>
        </w:rPr>
        <w:t xml:space="preserve">libraries </w:t>
      </w:r>
      <w:proofErr w:type="gramStart"/>
      <w:r w:rsidRPr="008C4668">
        <w:rPr>
          <w:rFonts w:ascii="Arial" w:hAnsi="Arial" w:cs="Arial"/>
          <w:sz w:val="22"/>
          <w:szCs w:val="22"/>
        </w:rPr>
        <w:t>includes</w:t>
      </w:r>
      <w:proofErr w:type="gramEnd"/>
      <w:r w:rsidRPr="008C4668">
        <w:rPr>
          <w:rFonts w:ascii="Arial" w:hAnsi="Arial" w:cs="Arial"/>
          <w:sz w:val="22"/>
          <w:szCs w:val="22"/>
        </w:rPr>
        <w:t xml:space="preserve"> sample name, description, and number of cells included. </w:t>
      </w:r>
      <w:r>
        <w:rPr>
          <w:rFonts w:ascii="Arial" w:hAnsi="Arial" w:cs="Arial"/>
          <w:sz w:val="22"/>
          <w:szCs w:val="22"/>
        </w:rPr>
        <w:t xml:space="preserve">In the </w:t>
      </w:r>
      <w:proofErr w:type="spellStart"/>
      <w:r>
        <w:rPr>
          <w:rFonts w:ascii="Arial" w:hAnsi="Arial" w:cs="Arial"/>
          <w:i/>
          <w:iCs/>
          <w:sz w:val="22"/>
          <w:szCs w:val="22"/>
        </w:rPr>
        <w:t>libraries_by_figure</w:t>
      </w:r>
      <w:proofErr w:type="spellEnd"/>
      <w:r>
        <w:rPr>
          <w:rFonts w:ascii="Arial" w:hAnsi="Arial" w:cs="Arial"/>
          <w:i/>
          <w:iCs/>
          <w:sz w:val="22"/>
          <w:szCs w:val="22"/>
        </w:rPr>
        <w:t xml:space="preserve"> </w:t>
      </w:r>
      <w:r>
        <w:rPr>
          <w:rFonts w:ascii="Arial" w:hAnsi="Arial" w:cs="Arial"/>
          <w:sz w:val="22"/>
          <w:szCs w:val="22"/>
        </w:rPr>
        <w:t xml:space="preserve">tab, all figures and tables that use PETRI-seq samples are listed. Names of samples included in those figures are listed. As </w:t>
      </w:r>
      <w:r w:rsidRPr="008C4668">
        <w:rPr>
          <w:rFonts w:ascii="Arial" w:hAnsi="Arial" w:cs="Arial"/>
          <w:sz w:val="22"/>
          <w:szCs w:val="22"/>
        </w:rPr>
        <w:t xml:space="preserve">noted in </w:t>
      </w:r>
      <w:r>
        <w:rPr>
          <w:rFonts w:ascii="Arial" w:hAnsi="Arial" w:cs="Arial"/>
          <w:sz w:val="22"/>
          <w:szCs w:val="22"/>
        </w:rPr>
        <w:t>M</w:t>
      </w:r>
      <w:r w:rsidRPr="008C4668">
        <w:rPr>
          <w:rFonts w:ascii="Arial" w:hAnsi="Arial" w:cs="Arial"/>
          <w:sz w:val="22"/>
          <w:szCs w:val="22"/>
        </w:rPr>
        <w:t xml:space="preserve">ethods, all </w:t>
      </w:r>
      <w:r>
        <w:rPr>
          <w:rFonts w:ascii="Arial" w:hAnsi="Arial" w:cs="Arial"/>
          <w:sz w:val="22"/>
          <w:szCs w:val="22"/>
        </w:rPr>
        <w:t xml:space="preserve">MG1655 </w:t>
      </w:r>
      <w:r w:rsidRPr="008C4668">
        <w:rPr>
          <w:rFonts w:ascii="Arial" w:hAnsi="Arial" w:cs="Arial"/>
          <w:sz w:val="22"/>
          <w:szCs w:val="22"/>
        </w:rPr>
        <w:t xml:space="preserve">samples shown in this table were included for calculation of principal components, UMAP, and cell clusters for the </w:t>
      </w:r>
      <w:r>
        <w:rPr>
          <w:rFonts w:ascii="Arial" w:hAnsi="Arial" w:cs="Arial"/>
          <w:sz w:val="22"/>
          <w:szCs w:val="22"/>
        </w:rPr>
        <w:t>MG1655</w:t>
      </w:r>
      <w:r w:rsidRPr="008C4668">
        <w:rPr>
          <w:rFonts w:ascii="Arial" w:hAnsi="Arial" w:cs="Arial"/>
          <w:sz w:val="22"/>
          <w:szCs w:val="22"/>
        </w:rPr>
        <w:t xml:space="preserve"> cell atlas. However, all cells are not always shown or included in differential expression analysis. </w:t>
      </w:r>
      <w:r>
        <w:rPr>
          <w:rFonts w:ascii="Arial" w:hAnsi="Arial" w:cs="Arial"/>
          <w:sz w:val="22"/>
          <w:szCs w:val="22"/>
        </w:rPr>
        <w:t xml:space="preserve">For Extended Data Fig. 6g, all cells including CFT073 UPEC were used to calculate principal components, UMAP, and cell clusters. </w:t>
      </w:r>
    </w:p>
    <w:p w:rsidR="00D9698D" w:rsidRDefault="00D9698D" w:rsidP="00D9698D">
      <w:pPr>
        <w:suppressLineNumbers/>
        <w:jc w:val="both"/>
        <w:rPr>
          <w:rFonts w:ascii="Arial" w:hAnsi="Arial" w:cs="Arial"/>
          <w:sz w:val="22"/>
          <w:szCs w:val="22"/>
        </w:rPr>
      </w:pPr>
    </w:p>
    <w:p w:rsidR="00D9698D" w:rsidRPr="00710014" w:rsidRDefault="00D9698D" w:rsidP="00D9698D">
      <w:pPr>
        <w:suppressLineNumbers/>
        <w:jc w:val="both"/>
        <w:rPr>
          <w:rFonts w:ascii="Arial" w:hAnsi="Arial" w:cs="Arial"/>
          <w:b/>
          <w:bCs/>
          <w:sz w:val="22"/>
          <w:szCs w:val="22"/>
        </w:rPr>
      </w:pPr>
      <w:r>
        <w:rPr>
          <w:rFonts w:ascii="Arial" w:hAnsi="Arial" w:cs="Arial"/>
          <w:b/>
          <w:bCs/>
          <w:sz w:val="22"/>
          <w:szCs w:val="22"/>
        </w:rPr>
        <w:t xml:space="preserve">Supplementary Table 4: Total mRNAs and gene coverage in PETRI-seq cell populations used for differential expression analysis. </w:t>
      </w:r>
    </w:p>
    <w:p w:rsidR="00D9698D" w:rsidRDefault="00D9698D" w:rsidP="00D9698D">
      <w:pPr>
        <w:suppressLineNumbers/>
        <w:jc w:val="both"/>
        <w:rPr>
          <w:rFonts w:ascii="Arial" w:hAnsi="Arial" w:cs="Arial"/>
          <w:sz w:val="22"/>
          <w:szCs w:val="22"/>
        </w:rPr>
      </w:pPr>
      <w:r>
        <w:rPr>
          <w:rFonts w:ascii="Arial" w:hAnsi="Arial" w:cs="Arial"/>
          <w:sz w:val="22"/>
          <w:szCs w:val="22"/>
        </w:rPr>
        <w:t xml:space="preserve">Details for PETRI-seq populations used for differential expression analysis. Populations are listed according to the figure(s) they were used in. For each population, the number of cells is listed with the number of mRNA counts in that </w:t>
      </w:r>
      <w:proofErr w:type="spellStart"/>
      <w:r>
        <w:rPr>
          <w:rFonts w:ascii="Arial" w:hAnsi="Arial" w:cs="Arial"/>
          <w:sz w:val="22"/>
          <w:szCs w:val="22"/>
        </w:rPr>
        <w:t>pseudobulk</w:t>
      </w:r>
      <w:proofErr w:type="spellEnd"/>
      <w:r>
        <w:rPr>
          <w:rFonts w:ascii="Arial" w:hAnsi="Arial" w:cs="Arial"/>
          <w:sz w:val="22"/>
          <w:szCs w:val="22"/>
        </w:rPr>
        <w:t xml:space="preserve"> population and the mean counts per gene. These values are listed both before and after </w:t>
      </w:r>
      <w:proofErr w:type="spellStart"/>
      <w:r>
        <w:rPr>
          <w:rFonts w:ascii="Arial" w:hAnsi="Arial" w:cs="Arial"/>
          <w:sz w:val="22"/>
          <w:szCs w:val="22"/>
        </w:rPr>
        <w:t>downsampling</w:t>
      </w:r>
      <w:proofErr w:type="spellEnd"/>
      <w:r>
        <w:rPr>
          <w:rFonts w:ascii="Arial" w:hAnsi="Arial" w:cs="Arial"/>
          <w:sz w:val="22"/>
          <w:szCs w:val="22"/>
        </w:rPr>
        <w:t xml:space="preserve"> cells to maximum 38 mRNAs per cell. As detailed in the Methods, </w:t>
      </w:r>
      <w:proofErr w:type="spellStart"/>
      <w:r>
        <w:rPr>
          <w:rFonts w:ascii="Arial" w:hAnsi="Arial" w:cs="Arial"/>
          <w:sz w:val="22"/>
          <w:szCs w:val="22"/>
        </w:rPr>
        <w:t>downsampled</w:t>
      </w:r>
      <w:proofErr w:type="spellEnd"/>
      <w:r>
        <w:rPr>
          <w:rFonts w:ascii="Arial" w:hAnsi="Arial" w:cs="Arial"/>
          <w:sz w:val="22"/>
          <w:szCs w:val="22"/>
        </w:rPr>
        <w:t xml:space="preserve"> mRNA counts were used for differential expression statistics (Mann-Whitney U test), while full counts were used for log</w:t>
      </w:r>
      <w:r w:rsidRPr="00710014">
        <w:rPr>
          <w:rFonts w:ascii="Arial" w:hAnsi="Arial" w:cs="Arial"/>
          <w:sz w:val="22"/>
          <w:szCs w:val="22"/>
          <w:vertAlign w:val="subscript"/>
        </w:rPr>
        <w:t>2</w:t>
      </w:r>
      <w:r>
        <w:rPr>
          <w:rFonts w:ascii="Arial" w:hAnsi="Arial" w:cs="Arial"/>
          <w:sz w:val="22"/>
          <w:szCs w:val="22"/>
        </w:rPr>
        <w:t xml:space="preserve">(fold-change) with </w:t>
      </w:r>
      <w:proofErr w:type="spellStart"/>
      <w:r>
        <w:rPr>
          <w:rFonts w:ascii="Arial" w:hAnsi="Arial" w:cs="Arial"/>
          <w:sz w:val="22"/>
          <w:szCs w:val="22"/>
        </w:rPr>
        <w:t>edgeR</w:t>
      </w:r>
      <w:proofErr w:type="spellEnd"/>
      <w:r>
        <w:rPr>
          <w:rFonts w:ascii="Arial" w:hAnsi="Arial" w:cs="Arial"/>
          <w:sz w:val="22"/>
          <w:szCs w:val="22"/>
        </w:rPr>
        <w:t xml:space="preserve">. Also, </w:t>
      </w:r>
      <w:proofErr w:type="spellStart"/>
      <w:r>
        <w:rPr>
          <w:rFonts w:ascii="Arial" w:hAnsi="Arial" w:cs="Arial"/>
          <w:sz w:val="22"/>
          <w:szCs w:val="22"/>
        </w:rPr>
        <w:t>downsampled</w:t>
      </w:r>
      <w:proofErr w:type="spellEnd"/>
      <w:r>
        <w:rPr>
          <w:rFonts w:ascii="Arial" w:hAnsi="Arial" w:cs="Arial"/>
          <w:sz w:val="22"/>
          <w:szCs w:val="22"/>
        </w:rPr>
        <w:t xml:space="preserve"> counts were used for dimensionality reduction, clustering, and average cluster expression. </w:t>
      </w:r>
    </w:p>
    <w:p w:rsidR="00D9698D" w:rsidRPr="008C4668" w:rsidRDefault="00D9698D" w:rsidP="00D9698D">
      <w:pPr>
        <w:suppressLineNumbers/>
        <w:jc w:val="both"/>
        <w:rPr>
          <w:rFonts w:ascii="Arial" w:hAnsi="Arial" w:cs="Arial"/>
          <w:sz w:val="22"/>
          <w:szCs w:val="22"/>
        </w:rPr>
      </w:pPr>
    </w:p>
    <w:p w:rsidR="00D9698D" w:rsidRPr="008C4668" w:rsidRDefault="00D9698D" w:rsidP="00D9698D">
      <w:pPr>
        <w:suppressLineNumbers/>
        <w:jc w:val="both"/>
        <w:rPr>
          <w:rFonts w:ascii="Arial" w:hAnsi="Arial" w:cs="Arial"/>
          <w:b/>
          <w:bCs/>
          <w:sz w:val="22"/>
          <w:szCs w:val="22"/>
        </w:rPr>
      </w:pPr>
      <w:r>
        <w:rPr>
          <w:rFonts w:ascii="Arial" w:hAnsi="Arial" w:cs="Arial"/>
          <w:b/>
          <w:bCs/>
          <w:sz w:val="22"/>
          <w:szCs w:val="22"/>
        </w:rPr>
        <w:t>Supplementary Table 5:</w:t>
      </w:r>
      <w:r w:rsidRPr="008C4668">
        <w:rPr>
          <w:rFonts w:ascii="Arial" w:hAnsi="Arial" w:cs="Arial"/>
          <w:b/>
          <w:bCs/>
          <w:sz w:val="22"/>
          <w:szCs w:val="22"/>
        </w:rPr>
        <w:t xml:space="preserve"> </w:t>
      </w:r>
      <w:proofErr w:type="spellStart"/>
      <w:r w:rsidRPr="008C4668">
        <w:rPr>
          <w:rFonts w:ascii="Arial" w:hAnsi="Arial" w:cs="Arial"/>
          <w:b/>
          <w:bCs/>
          <w:sz w:val="22"/>
          <w:szCs w:val="22"/>
        </w:rPr>
        <w:t>CRISPRi</w:t>
      </w:r>
      <w:proofErr w:type="spellEnd"/>
      <w:r w:rsidRPr="008C4668">
        <w:rPr>
          <w:rFonts w:ascii="Arial" w:hAnsi="Arial" w:cs="Arial"/>
          <w:b/>
          <w:bCs/>
          <w:sz w:val="22"/>
          <w:szCs w:val="22"/>
        </w:rPr>
        <w:t xml:space="preserve"> sample overview, enrichment scores, and significance. </w:t>
      </w:r>
    </w:p>
    <w:p w:rsidR="00D9698D" w:rsidRPr="008C4668" w:rsidRDefault="00D9698D" w:rsidP="00D9698D">
      <w:pPr>
        <w:suppressLineNumbers/>
        <w:jc w:val="both"/>
        <w:rPr>
          <w:rFonts w:ascii="Arial" w:hAnsi="Arial" w:cs="Arial"/>
          <w:sz w:val="22"/>
          <w:szCs w:val="22"/>
        </w:rPr>
      </w:pPr>
      <w:r w:rsidRPr="008C4668">
        <w:rPr>
          <w:rFonts w:ascii="Arial" w:hAnsi="Arial" w:cs="Arial"/>
          <w:sz w:val="22"/>
          <w:szCs w:val="22"/>
        </w:rPr>
        <w:t xml:space="preserve">Five spreadsheets are included: </w:t>
      </w:r>
      <w:proofErr w:type="spellStart"/>
      <w:r w:rsidRPr="008C4668">
        <w:rPr>
          <w:rFonts w:ascii="Arial" w:hAnsi="Arial" w:cs="Arial"/>
          <w:i/>
          <w:iCs/>
          <w:sz w:val="22"/>
          <w:szCs w:val="22"/>
        </w:rPr>
        <w:t>sample_overview</w:t>
      </w:r>
      <w:proofErr w:type="spellEnd"/>
      <w:r w:rsidRPr="008C4668">
        <w:rPr>
          <w:rFonts w:ascii="Arial" w:hAnsi="Arial" w:cs="Arial"/>
          <w:i/>
          <w:iCs/>
          <w:sz w:val="22"/>
          <w:szCs w:val="22"/>
        </w:rPr>
        <w:t xml:space="preserve"> </w:t>
      </w:r>
      <w:r w:rsidRPr="008C4668">
        <w:rPr>
          <w:rFonts w:ascii="Arial" w:hAnsi="Arial" w:cs="Arial"/>
          <w:sz w:val="22"/>
          <w:szCs w:val="22"/>
        </w:rPr>
        <w:t xml:space="preserve">(detailed description of each sample sequenced with a unique sample ID), </w:t>
      </w:r>
      <w:r w:rsidRPr="008C4668">
        <w:rPr>
          <w:rFonts w:ascii="Arial" w:hAnsi="Arial" w:cs="Arial"/>
          <w:i/>
          <w:iCs/>
          <w:sz w:val="22"/>
          <w:szCs w:val="22"/>
        </w:rPr>
        <w:t>enrichment</w:t>
      </w:r>
      <w:r w:rsidRPr="008C4668">
        <w:rPr>
          <w:rFonts w:ascii="Arial" w:hAnsi="Arial" w:cs="Arial"/>
          <w:sz w:val="22"/>
          <w:szCs w:val="22"/>
        </w:rPr>
        <w:t>: mean log</w:t>
      </w:r>
      <w:r w:rsidRPr="008C4668">
        <w:rPr>
          <w:rFonts w:ascii="Arial" w:hAnsi="Arial" w:cs="Arial"/>
          <w:sz w:val="22"/>
          <w:szCs w:val="22"/>
          <w:vertAlign w:val="subscript"/>
        </w:rPr>
        <w:t>2</w:t>
      </w:r>
      <w:r w:rsidRPr="008C4668">
        <w:rPr>
          <w:rFonts w:ascii="Arial" w:hAnsi="Arial" w:cs="Arial"/>
          <w:sz w:val="22"/>
          <w:szCs w:val="22"/>
        </w:rPr>
        <w:t xml:space="preserve">(fold-change) for each gene based on enrichment scores for crRNAs targeting either the anti-sense (a; stronger repression) strand or sense (s; weaker repression) strand, </w:t>
      </w:r>
      <w:proofErr w:type="spellStart"/>
      <w:r w:rsidRPr="008C4668">
        <w:rPr>
          <w:rFonts w:ascii="Arial" w:hAnsi="Arial" w:cs="Arial"/>
          <w:i/>
          <w:iCs/>
          <w:sz w:val="22"/>
          <w:szCs w:val="22"/>
        </w:rPr>
        <w:t>p_value</w:t>
      </w:r>
      <w:proofErr w:type="spellEnd"/>
      <w:r w:rsidRPr="008C4668">
        <w:rPr>
          <w:rFonts w:ascii="Arial" w:hAnsi="Arial" w:cs="Arial"/>
          <w:sz w:val="22"/>
          <w:szCs w:val="22"/>
        </w:rPr>
        <w:t>: p-value for log</w:t>
      </w:r>
      <w:r w:rsidRPr="008C4668">
        <w:rPr>
          <w:rFonts w:ascii="Arial" w:hAnsi="Arial" w:cs="Arial"/>
          <w:sz w:val="22"/>
          <w:szCs w:val="22"/>
          <w:vertAlign w:val="subscript"/>
        </w:rPr>
        <w:t>2</w:t>
      </w:r>
      <w:r w:rsidRPr="008C4668">
        <w:rPr>
          <w:rFonts w:ascii="Arial" w:hAnsi="Arial" w:cs="Arial"/>
          <w:sz w:val="22"/>
          <w:szCs w:val="22"/>
        </w:rPr>
        <w:t>(fold-change) based on resampling the null distribution (</w:t>
      </w:r>
      <w:r>
        <w:rPr>
          <w:rFonts w:ascii="Arial" w:hAnsi="Arial" w:cs="Arial"/>
          <w:sz w:val="22"/>
          <w:szCs w:val="22"/>
        </w:rPr>
        <w:t>M</w:t>
      </w:r>
      <w:r w:rsidRPr="008C4668">
        <w:rPr>
          <w:rFonts w:ascii="Arial" w:hAnsi="Arial" w:cs="Arial"/>
          <w:sz w:val="22"/>
          <w:szCs w:val="22"/>
        </w:rPr>
        <w:t xml:space="preserve">ethods), </w:t>
      </w:r>
      <w:r w:rsidRPr="008C4668">
        <w:rPr>
          <w:rFonts w:ascii="Arial" w:hAnsi="Arial" w:cs="Arial"/>
          <w:i/>
          <w:iCs/>
          <w:sz w:val="22"/>
          <w:szCs w:val="22"/>
        </w:rPr>
        <w:t>significant</w:t>
      </w:r>
      <w:r w:rsidRPr="008C4668">
        <w:rPr>
          <w:rFonts w:ascii="Arial" w:hAnsi="Arial" w:cs="Arial"/>
          <w:sz w:val="22"/>
          <w:szCs w:val="22"/>
        </w:rPr>
        <w:t>: gene enrichment (+1) or depletion (-1) based on an FDR of 0.</w:t>
      </w:r>
      <w:r>
        <w:rPr>
          <w:rFonts w:ascii="Arial" w:hAnsi="Arial" w:cs="Arial"/>
          <w:sz w:val="22"/>
          <w:szCs w:val="22"/>
        </w:rPr>
        <w:t>1</w:t>
      </w:r>
      <w:r w:rsidRPr="008C4668">
        <w:rPr>
          <w:rFonts w:ascii="Arial" w:hAnsi="Arial" w:cs="Arial"/>
          <w:sz w:val="22"/>
          <w:szCs w:val="22"/>
        </w:rPr>
        <w:t xml:space="preserve">, </w:t>
      </w:r>
      <w:proofErr w:type="spellStart"/>
      <w:r w:rsidRPr="008C4668">
        <w:rPr>
          <w:rFonts w:ascii="Arial" w:hAnsi="Arial" w:cs="Arial"/>
          <w:i/>
          <w:iCs/>
          <w:sz w:val="22"/>
          <w:szCs w:val="22"/>
        </w:rPr>
        <w:t>n_positions</w:t>
      </w:r>
      <w:proofErr w:type="spellEnd"/>
      <w:r w:rsidRPr="008C4668">
        <w:rPr>
          <w:rFonts w:ascii="Arial" w:hAnsi="Arial" w:cs="Arial"/>
          <w:sz w:val="22"/>
          <w:szCs w:val="22"/>
        </w:rPr>
        <w:t>: number of crRNA positions that passed the read threshold and are included in the mean log</w:t>
      </w:r>
      <w:r w:rsidRPr="008C4668">
        <w:rPr>
          <w:rFonts w:ascii="Arial" w:hAnsi="Arial" w:cs="Arial"/>
          <w:sz w:val="22"/>
          <w:szCs w:val="22"/>
          <w:vertAlign w:val="subscript"/>
        </w:rPr>
        <w:t>2</w:t>
      </w:r>
      <w:r w:rsidRPr="008C4668">
        <w:rPr>
          <w:rFonts w:ascii="Arial" w:hAnsi="Arial" w:cs="Arial"/>
          <w:sz w:val="22"/>
          <w:szCs w:val="22"/>
        </w:rPr>
        <w:t xml:space="preserve">(fold-change) calculation. In all data tabs, the compared libraries are listed by their IDs as given in the </w:t>
      </w:r>
      <w:proofErr w:type="spellStart"/>
      <w:r w:rsidRPr="008C4668">
        <w:rPr>
          <w:rFonts w:ascii="Arial" w:hAnsi="Arial" w:cs="Arial"/>
          <w:i/>
          <w:iCs/>
          <w:sz w:val="22"/>
          <w:szCs w:val="22"/>
        </w:rPr>
        <w:t>sample_overview</w:t>
      </w:r>
      <w:proofErr w:type="spellEnd"/>
      <w:r w:rsidRPr="008C4668">
        <w:rPr>
          <w:rFonts w:ascii="Arial" w:hAnsi="Arial" w:cs="Arial"/>
          <w:i/>
          <w:iCs/>
          <w:sz w:val="22"/>
          <w:szCs w:val="22"/>
        </w:rPr>
        <w:t xml:space="preserve"> </w:t>
      </w:r>
      <w:r w:rsidRPr="008C4668">
        <w:rPr>
          <w:rFonts w:ascii="Arial" w:hAnsi="Arial" w:cs="Arial"/>
          <w:sz w:val="22"/>
          <w:szCs w:val="22"/>
        </w:rPr>
        <w:t xml:space="preserve">tab. They are also indicated as either a replicate measuring </w:t>
      </w:r>
      <w:r w:rsidRPr="008C4668">
        <w:rPr>
          <w:rFonts w:ascii="Arial" w:hAnsi="Arial" w:cs="Arial"/>
          <w:i/>
          <w:iCs/>
          <w:sz w:val="22"/>
          <w:szCs w:val="22"/>
        </w:rPr>
        <w:t>metG*</w:t>
      </w:r>
      <w:r w:rsidRPr="008C4668">
        <w:rPr>
          <w:rFonts w:ascii="Arial" w:hAnsi="Arial" w:cs="Arial"/>
          <w:sz w:val="22"/>
          <w:szCs w:val="22"/>
        </w:rPr>
        <w:t xml:space="preserve"> lag, wildtype lag, </w:t>
      </w:r>
      <w:r w:rsidRPr="008C4668">
        <w:rPr>
          <w:rFonts w:ascii="Arial" w:hAnsi="Arial" w:cs="Arial"/>
          <w:i/>
          <w:iCs/>
          <w:sz w:val="22"/>
          <w:szCs w:val="22"/>
        </w:rPr>
        <w:t>metG*</w:t>
      </w:r>
      <w:r w:rsidRPr="008C4668">
        <w:rPr>
          <w:rFonts w:ascii="Arial" w:hAnsi="Arial" w:cs="Arial"/>
          <w:sz w:val="22"/>
          <w:szCs w:val="22"/>
        </w:rPr>
        <w:t xml:space="preserve"> lag antibiotic survival, wildtype lag antibiotic survival, </w:t>
      </w:r>
      <w:r w:rsidRPr="008C4668">
        <w:rPr>
          <w:rFonts w:ascii="Arial" w:hAnsi="Arial" w:cs="Arial"/>
          <w:i/>
          <w:iCs/>
          <w:sz w:val="22"/>
          <w:szCs w:val="22"/>
        </w:rPr>
        <w:t xml:space="preserve">metG* </w:t>
      </w:r>
      <w:r w:rsidRPr="008C4668">
        <w:rPr>
          <w:rFonts w:ascii="Arial" w:hAnsi="Arial" w:cs="Arial"/>
          <w:sz w:val="22"/>
          <w:szCs w:val="22"/>
        </w:rPr>
        <w:t>exponential growth, wildtype exponential growth</w:t>
      </w:r>
      <w:r>
        <w:rPr>
          <w:rFonts w:ascii="Arial" w:hAnsi="Arial" w:cs="Arial"/>
          <w:sz w:val="22"/>
          <w:szCs w:val="22"/>
        </w:rPr>
        <w:t xml:space="preserve">, </w:t>
      </w:r>
      <w:r w:rsidRPr="002E44A5">
        <w:rPr>
          <w:rFonts w:ascii="Arial" w:hAnsi="Arial" w:cs="Arial"/>
          <w:i/>
          <w:iCs/>
          <w:sz w:val="22"/>
          <w:szCs w:val="22"/>
        </w:rPr>
        <w:t>hipA7</w:t>
      </w:r>
      <w:r>
        <w:rPr>
          <w:rFonts w:ascii="Arial" w:hAnsi="Arial" w:cs="Arial"/>
          <w:sz w:val="22"/>
          <w:szCs w:val="22"/>
        </w:rPr>
        <w:t xml:space="preserve"> lag, </w:t>
      </w:r>
      <w:r w:rsidRPr="002E44A5">
        <w:rPr>
          <w:rFonts w:ascii="Arial" w:hAnsi="Arial" w:cs="Arial"/>
          <w:i/>
          <w:iCs/>
          <w:sz w:val="22"/>
          <w:szCs w:val="22"/>
        </w:rPr>
        <w:t>hipA7</w:t>
      </w:r>
      <w:r>
        <w:rPr>
          <w:rFonts w:ascii="Arial" w:hAnsi="Arial" w:cs="Arial"/>
          <w:sz w:val="22"/>
          <w:szCs w:val="22"/>
        </w:rPr>
        <w:t xml:space="preserve"> lag antibiotic survival, </w:t>
      </w:r>
      <w:proofErr w:type="spellStart"/>
      <w:r>
        <w:rPr>
          <w:rFonts w:ascii="Arial" w:hAnsi="Arial" w:cs="Arial"/>
          <w:sz w:val="22"/>
          <w:szCs w:val="22"/>
        </w:rPr>
        <w:t>i-pYqgE</w:t>
      </w:r>
      <w:proofErr w:type="spellEnd"/>
      <w:r>
        <w:rPr>
          <w:rFonts w:ascii="Arial" w:hAnsi="Arial" w:cs="Arial"/>
          <w:sz w:val="22"/>
          <w:szCs w:val="22"/>
        </w:rPr>
        <w:t xml:space="preserve">+ lag, </w:t>
      </w:r>
      <w:proofErr w:type="spellStart"/>
      <w:r>
        <w:rPr>
          <w:rFonts w:ascii="Arial" w:hAnsi="Arial" w:cs="Arial"/>
          <w:sz w:val="22"/>
          <w:szCs w:val="22"/>
        </w:rPr>
        <w:t>i-pRFP</w:t>
      </w:r>
      <w:proofErr w:type="spellEnd"/>
      <w:r>
        <w:rPr>
          <w:rFonts w:ascii="Arial" w:hAnsi="Arial" w:cs="Arial"/>
          <w:sz w:val="22"/>
          <w:szCs w:val="22"/>
        </w:rPr>
        <w:t xml:space="preserve">+ lag (control for </w:t>
      </w:r>
      <w:proofErr w:type="spellStart"/>
      <w:r>
        <w:rPr>
          <w:rFonts w:ascii="Arial" w:hAnsi="Arial" w:cs="Arial"/>
          <w:sz w:val="22"/>
          <w:szCs w:val="22"/>
        </w:rPr>
        <w:t>i-pYqgE</w:t>
      </w:r>
      <w:proofErr w:type="spellEnd"/>
      <w:r>
        <w:rPr>
          <w:rFonts w:ascii="Arial" w:hAnsi="Arial" w:cs="Arial"/>
          <w:sz w:val="22"/>
          <w:szCs w:val="22"/>
        </w:rPr>
        <w:t>+), or library changes during dCas9 induction</w:t>
      </w:r>
      <w:r w:rsidRPr="008C4668">
        <w:rPr>
          <w:rFonts w:ascii="Arial" w:hAnsi="Arial" w:cs="Arial"/>
          <w:sz w:val="22"/>
          <w:szCs w:val="22"/>
        </w:rPr>
        <w:t>. For genes that did not have any crRNA positions passing the read threshold for a given comparison, we set log</w:t>
      </w:r>
      <w:r w:rsidRPr="008C4668">
        <w:rPr>
          <w:rFonts w:ascii="Arial" w:hAnsi="Arial" w:cs="Arial"/>
          <w:sz w:val="22"/>
          <w:szCs w:val="22"/>
          <w:vertAlign w:val="subscript"/>
        </w:rPr>
        <w:t>2</w:t>
      </w:r>
      <w:r w:rsidRPr="008C4668">
        <w:rPr>
          <w:rFonts w:ascii="Arial" w:hAnsi="Arial" w:cs="Arial"/>
          <w:sz w:val="22"/>
          <w:szCs w:val="22"/>
        </w:rPr>
        <w:t>(fold-</w:t>
      </w:r>
      <w:proofErr w:type="gramStart"/>
      <w:r w:rsidRPr="008C4668">
        <w:rPr>
          <w:rFonts w:ascii="Arial" w:hAnsi="Arial" w:cs="Arial"/>
          <w:sz w:val="22"/>
          <w:szCs w:val="22"/>
        </w:rPr>
        <w:t>change)=</w:t>
      </w:r>
      <w:proofErr w:type="gramEnd"/>
      <w:r w:rsidRPr="008C4668">
        <w:rPr>
          <w:rFonts w:ascii="Arial" w:hAnsi="Arial" w:cs="Arial"/>
          <w:sz w:val="22"/>
          <w:szCs w:val="22"/>
        </w:rPr>
        <w:t xml:space="preserve">0, p-value=1, and significance=0. </w:t>
      </w:r>
    </w:p>
    <w:p w:rsidR="00D9698D" w:rsidRPr="008C4668" w:rsidRDefault="00D9698D" w:rsidP="00D9698D">
      <w:pPr>
        <w:suppressLineNumbers/>
        <w:jc w:val="both"/>
        <w:rPr>
          <w:rFonts w:ascii="Arial" w:hAnsi="Arial" w:cs="Arial"/>
          <w:i/>
          <w:iCs/>
          <w:sz w:val="22"/>
          <w:szCs w:val="22"/>
        </w:rPr>
      </w:pPr>
    </w:p>
    <w:p w:rsidR="00D9698D" w:rsidRPr="008C4668" w:rsidRDefault="00D9698D" w:rsidP="00D9698D">
      <w:pPr>
        <w:suppressLineNumbers/>
        <w:jc w:val="both"/>
        <w:rPr>
          <w:rFonts w:ascii="Arial" w:hAnsi="Arial" w:cs="Arial"/>
          <w:b/>
          <w:bCs/>
          <w:sz w:val="22"/>
          <w:szCs w:val="22"/>
        </w:rPr>
      </w:pPr>
      <w:r>
        <w:rPr>
          <w:rFonts w:ascii="Arial" w:hAnsi="Arial" w:cs="Arial"/>
          <w:b/>
          <w:bCs/>
          <w:sz w:val="22"/>
          <w:szCs w:val="22"/>
        </w:rPr>
        <w:t>Supplementary Table 6:</w:t>
      </w:r>
      <w:r w:rsidRPr="008C4668">
        <w:rPr>
          <w:rFonts w:ascii="Arial" w:hAnsi="Arial" w:cs="Arial"/>
          <w:b/>
          <w:bCs/>
          <w:sz w:val="22"/>
          <w:szCs w:val="22"/>
        </w:rPr>
        <w:t xml:space="preserve"> Oligos, plasmids, and strains used in this study.</w:t>
      </w:r>
    </w:p>
    <w:p w:rsidR="00D9698D" w:rsidRPr="008C4668" w:rsidRDefault="00D9698D" w:rsidP="00D9698D">
      <w:pPr>
        <w:suppressLineNumbers/>
        <w:jc w:val="both"/>
        <w:rPr>
          <w:rFonts w:ascii="Arial" w:hAnsi="Arial" w:cs="Arial"/>
          <w:sz w:val="22"/>
          <w:szCs w:val="22"/>
        </w:rPr>
      </w:pPr>
      <w:r w:rsidRPr="008C4668">
        <w:rPr>
          <w:rFonts w:ascii="Arial" w:hAnsi="Arial" w:cs="Arial"/>
          <w:sz w:val="22"/>
          <w:szCs w:val="22"/>
        </w:rPr>
        <w:t xml:space="preserve">Three spreadsheets are included: </w:t>
      </w:r>
      <w:r w:rsidRPr="008C4668">
        <w:rPr>
          <w:rFonts w:ascii="Arial" w:hAnsi="Arial" w:cs="Arial"/>
          <w:i/>
          <w:iCs/>
          <w:sz w:val="22"/>
          <w:szCs w:val="22"/>
        </w:rPr>
        <w:t xml:space="preserve">primers </w:t>
      </w:r>
      <w:r w:rsidRPr="008C4668">
        <w:rPr>
          <w:rFonts w:ascii="Arial" w:hAnsi="Arial" w:cs="Arial"/>
          <w:sz w:val="22"/>
          <w:szCs w:val="22"/>
        </w:rPr>
        <w:t xml:space="preserve">(list of primers by ID, name, and sequence), </w:t>
      </w:r>
      <w:r w:rsidRPr="008C4668">
        <w:rPr>
          <w:rFonts w:ascii="Arial" w:hAnsi="Arial" w:cs="Arial"/>
          <w:i/>
          <w:iCs/>
          <w:sz w:val="22"/>
          <w:szCs w:val="22"/>
        </w:rPr>
        <w:t xml:space="preserve">plasmids </w:t>
      </w:r>
      <w:r w:rsidRPr="008C4668">
        <w:rPr>
          <w:rFonts w:ascii="Arial" w:hAnsi="Arial" w:cs="Arial"/>
          <w:sz w:val="22"/>
          <w:szCs w:val="22"/>
        </w:rPr>
        <w:t xml:space="preserve">(list of plasmids by name and source), and </w:t>
      </w:r>
      <w:r w:rsidRPr="008C4668">
        <w:rPr>
          <w:rFonts w:ascii="Arial" w:hAnsi="Arial" w:cs="Arial"/>
          <w:i/>
          <w:iCs/>
          <w:sz w:val="22"/>
          <w:szCs w:val="22"/>
        </w:rPr>
        <w:t xml:space="preserve">strains </w:t>
      </w:r>
      <w:r w:rsidRPr="008C4668">
        <w:rPr>
          <w:rFonts w:ascii="Arial" w:hAnsi="Arial" w:cs="Arial"/>
          <w:sz w:val="22"/>
          <w:szCs w:val="22"/>
        </w:rPr>
        <w:t>(list strains by name and source).</w:t>
      </w:r>
    </w:p>
    <w:p w:rsidR="00D9698D" w:rsidRPr="008C4668" w:rsidRDefault="00D9698D" w:rsidP="00D9698D">
      <w:pPr>
        <w:suppressLineNumbers/>
        <w:jc w:val="both"/>
        <w:rPr>
          <w:rFonts w:ascii="Arial" w:hAnsi="Arial" w:cs="Arial"/>
          <w:b/>
          <w:bCs/>
          <w:sz w:val="22"/>
          <w:szCs w:val="22"/>
        </w:rPr>
      </w:pPr>
    </w:p>
    <w:p w:rsidR="00D9698D" w:rsidRPr="008C4668" w:rsidRDefault="00D9698D" w:rsidP="00D9698D">
      <w:pPr>
        <w:suppressLineNumbers/>
        <w:jc w:val="both"/>
        <w:rPr>
          <w:rFonts w:ascii="Arial" w:hAnsi="Arial" w:cs="Arial"/>
          <w:b/>
          <w:bCs/>
          <w:sz w:val="22"/>
          <w:szCs w:val="22"/>
        </w:rPr>
      </w:pPr>
      <w:r>
        <w:rPr>
          <w:rFonts w:ascii="Arial" w:hAnsi="Arial" w:cs="Arial"/>
          <w:b/>
          <w:bCs/>
          <w:sz w:val="22"/>
          <w:szCs w:val="22"/>
        </w:rPr>
        <w:lastRenderedPageBreak/>
        <w:t>Supplementary Table 7:</w:t>
      </w:r>
      <w:r w:rsidRPr="008C4668">
        <w:rPr>
          <w:rFonts w:ascii="Arial" w:hAnsi="Arial" w:cs="Arial"/>
          <w:b/>
          <w:bCs/>
          <w:sz w:val="22"/>
          <w:szCs w:val="22"/>
        </w:rPr>
        <w:t xml:space="preserve"> Taxa used for finding </w:t>
      </w:r>
      <w:r w:rsidRPr="008C4668">
        <w:rPr>
          <w:rFonts w:ascii="Arial" w:hAnsi="Arial" w:cs="Arial"/>
          <w:b/>
          <w:bCs/>
          <w:i/>
          <w:iCs/>
          <w:sz w:val="22"/>
          <w:szCs w:val="22"/>
        </w:rPr>
        <w:t xml:space="preserve">E. coli </w:t>
      </w:r>
      <w:r w:rsidRPr="008C4668">
        <w:rPr>
          <w:rFonts w:ascii="Arial" w:hAnsi="Arial" w:cs="Arial"/>
          <w:b/>
          <w:bCs/>
          <w:sz w:val="22"/>
          <w:szCs w:val="22"/>
        </w:rPr>
        <w:t>gene homologs.</w:t>
      </w:r>
    </w:p>
    <w:p w:rsidR="00D9698D" w:rsidRDefault="00D9698D" w:rsidP="00D9698D">
      <w:pPr>
        <w:suppressLineNumbers/>
        <w:jc w:val="both"/>
        <w:rPr>
          <w:rFonts w:ascii="Arial" w:hAnsi="Arial" w:cs="Arial"/>
          <w:sz w:val="22"/>
          <w:szCs w:val="22"/>
        </w:rPr>
      </w:pPr>
      <w:r w:rsidRPr="008C4668">
        <w:rPr>
          <w:rFonts w:ascii="Arial" w:hAnsi="Arial" w:cs="Arial"/>
          <w:sz w:val="22"/>
          <w:szCs w:val="22"/>
        </w:rPr>
        <w:t xml:space="preserve">Taxon ID and GTDB taxonomic classification for 2421 genomes used to find homologs of </w:t>
      </w:r>
      <w:r w:rsidRPr="008C4668">
        <w:rPr>
          <w:rFonts w:ascii="Arial" w:hAnsi="Arial" w:cs="Arial"/>
          <w:i/>
          <w:iCs/>
          <w:sz w:val="22"/>
          <w:szCs w:val="22"/>
        </w:rPr>
        <w:t xml:space="preserve">E. coli </w:t>
      </w:r>
      <w:r w:rsidRPr="008C4668">
        <w:rPr>
          <w:rFonts w:ascii="Arial" w:hAnsi="Arial" w:cs="Arial"/>
          <w:sz w:val="22"/>
          <w:szCs w:val="22"/>
        </w:rPr>
        <w:t xml:space="preserve">genes to generate the distribution in </w:t>
      </w:r>
      <w:r>
        <w:rPr>
          <w:rFonts w:ascii="Arial" w:hAnsi="Arial" w:cs="Arial"/>
          <w:sz w:val="22"/>
          <w:szCs w:val="22"/>
        </w:rPr>
        <w:t>Extended Data Fig.</w:t>
      </w:r>
      <w:r w:rsidRPr="008C4668">
        <w:rPr>
          <w:rFonts w:ascii="Arial" w:hAnsi="Arial" w:cs="Arial"/>
          <w:sz w:val="22"/>
          <w:szCs w:val="22"/>
        </w:rPr>
        <w:t xml:space="preserve"> </w:t>
      </w:r>
      <w:r>
        <w:rPr>
          <w:rFonts w:ascii="Arial" w:hAnsi="Arial" w:cs="Arial"/>
          <w:sz w:val="22"/>
          <w:szCs w:val="22"/>
        </w:rPr>
        <w:t>11q</w:t>
      </w:r>
      <w:r w:rsidRPr="008C4668">
        <w:rPr>
          <w:rFonts w:ascii="Arial" w:hAnsi="Arial" w:cs="Arial"/>
          <w:sz w:val="22"/>
          <w:szCs w:val="22"/>
        </w:rPr>
        <w:t xml:space="preserve">. </w:t>
      </w:r>
    </w:p>
    <w:p w:rsidR="00D9698D" w:rsidRDefault="00D9698D" w:rsidP="00D9698D"/>
    <w:p w:rsidR="00315F9A" w:rsidRDefault="00315F9A" w:rsidP="00D9698D"/>
    <w:p w:rsidR="00315F9A" w:rsidRDefault="00315F9A" w:rsidP="00D9698D"/>
    <w:p w:rsidR="00D9698D" w:rsidRDefault="00315F9A" w:rsidP="00D9698D">
      <w:r>
        <w:fldChar w:fldCharType="begin"/>
      </w:r>
      <w:r>
        <w:instrText xml:space="preserve"> ADDIN EN.REFLIST </w:instrText>
      </w:r>
      <w:r>
        <w:fldChar w:fldCharType="separate"/>
      </w:r>
      <w:r>
        <w:fldChar w:fldCharType="end"/>
      </w:r>
    </w:p>
    <w:sectPr w:rsidR="00D96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_2&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aevtrvcs0vfke59fc5zdscee0rpawtwwtz&quot;&gt;My EndNote Library&lt;record-ids&gt;&lt;item&gt;498&lt;/item&gt;&lt;/record-ids&gt;&lt;/item&gt;&lt;/Libraries&gt;"/>
  </w:docVars>
  <w:rsids>
    <w:rsidRoot w:val="0084002A"/>
    <w:rsid w:val="0000061A"/>
    <w:rsid w:val="0004580F"/>
    <w:rsid w:val="00114DC4"/>
    <w:rsid w:val="00186388"/>
    <w:rsid w:val="002051B5"/>
    <w:rsid w:val="002A42BD"/>
    <w:rsid w:val="002A49C7"/>
    <w:rsid w:val="002C683B"/>
    <w:rsid w:val="002D51F5"/>
    <w:rsid w:val="002F6CC0"/>
    <w:rsid w:val="0030650F"/>
    <w:rsid w:val="00315F9A"/>
    <w:rsid w:val="003745B2"/>
    <w:rsid w:val="003955CE"/>
    <w:rsid w:val="003A4A56"/>
    <w:rsid w:val="003B4618"/>
    <w:rsid w:val="00400D19"/>
    <w:rsid w:val="00434CD7"/>
    <w:rsid w:val="00464394"/>
    <w:rsid w:val="004B1C99"/>
    <w:rsid w:val="004E7E22"/>
    <w:rsid w:val="0052226A"/>
    <w:rsid w:val="00593346"/>
    <w:rsid w:val="006222B5"/>
    <w:rsid w:val="006226AC"/>
    <w:rsid w:val="00633465"/>
    <w:rsid w:val="00657946"/>
    <w:rsid w:val="00666938"/>
    <w:rsid w:val="006C4693"/>
    <w:rsid w:val="006F7EC3"/>
    <w:rsid w:val="00734B0B"/>
    <w:rsid w:val="00787687"/>
    <w:rsid w:val="007D441A"/>
    <w:rsid w:val="007F61A2"/>
    <w:rsid w:val="008017C5"/>
    <w:rsid w:val="00805B10"/>
    <w:rsid w:val="0084002A"/>
    <w:rsid w:val="008C24E8"/>
    <w:rsid w:val="008D5BA6"/>
    <w:rsid w:val="0092451D"/>
    <w:rsid w:val="009429C3"/>
    <w:rsid w:val="009A1C2E"/>
    <w:rsid w:val="009A3764"/>
    <w:rsid w:val="009D7B73"/>
    <w:rsid w:val="00A10942"/>
    <w:rsid w:val="00A97B3A"/>
    <w:rsid w:val="00AA1A8F"/>
    <w:rsid w:val="00B40CE7"/>
    <w:rsid w:val="00BB5771"/>
    <w:rsid w:val="00CF2A39"/>
    <w:rsid w:val="00D4795B"/>
    <w:rsid w:val="00D54515"/>
    <w:rsid w:val="00D7199B"/>
    <w:rsid w:val="00D9698D"/>
    <w:rsid w:val="00DB4945"/>
    <w:rsid w:val="00E52470"/>
    <w:rsid w:val="00E66D9E"/>
    <w:rsid w:val="00EB34C2"/>
    <w:rsid w:val="00EF17D8"/>
    <w:rsid w:val="00EF7321"/>
    <w:rsid w:val="00F21A44"/>
    <w:rsid w:val="00F8268A"/>
    <w:rsid w:val="00FB6A69"/>
    <w:rsid w:val="00FF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E474C"/>
  <w15:chartTrackingRefBased/>
  <w15:docId w15:val="{CB9B5640-C499-C444-8169-376F6C12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02A"/>
    <w:rPr>
      <w:rFonts w:ascii="Times New Roman" w:eastAsia="Calibri" w:hAnsi="Times New Roman" w:cs="Times New Roman"/>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15F9A"/>
    <w:pPr>
      <w:jc w:val="center"/>
    </w:pPr>
  </w:style>
  <w:style w:type="character" w:customStyle="1" w:styleId="EndNoteBibliographyTitleChar">
    <w:name w:val="EndNote Bibliography Title Char"/>
    <w:basedOn w:val="DefaultParagraphFont"/>
    <w:link w:val="EndNoteBibliographyTitle"/>
    <w:rsid w:val="00315F9A"/>
    <w:rPr>
      <w:rFonts w:ascii="Times New Roman" w:eastAsia="Calibri" w:hAnsi="Times New Roman" w:cs="Times New Roman"/>
      <w:kern w:val="0"/>
      <w:sz w:val="20"/>
      <w:szCs w:val="20"/>
      <w14:ligatures w14:val="none"/>
    </w:rPr>
  </w:style>
  <w:style w:type="paragraph" w:customStyle="1" w:styleId="EndNoteBibliography">
    <w:name w:val="EndNote Bibliography"/>
    <w:basedOn w:val="Normal"/>
    <w:link w:val="EndNoteBibliographyChar"/>
    <w:rsid w:val="00315F9A"/>
  </w:style>
  <w:style w:type="character" w:customStyle="1" w:styleId="EndNoteBibliographyChar">
    <w:name w:val="EndNote Bibliography Char"/>
    <w:basedOn w:val="DefaultParagraphFont"/>
    <w:link w:val="EndNoteBibliography"/>
    <w:rsid w:val="00315F9A"/>
    <w:rPr>
      <w:rFonts w:ascii="Times New Roman" w:eastAsia="Calibri"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Relationship Id="rId4"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ydneyblattman/Library/Group%20Containers/UBF8T346G9.Office/User%20Content.localized/Templates.localized/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Blattman, Sydney</cp:lastModifiedBy>
  <cp:revision>4</cp:revision>
  <dcterms:created xsi:type="dcterms:W3CDTF">2024-08-17T21:25:00Z</dcterms:created>
  <dcterms:modified xsi:type="dcterms:W3CDTF">2024-08-22T20:39:00Z</dcterms:modified>
</cp:coreProperties>
</file>