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8BFD1" w14:textId="0A079110" w:rsidR="00AF3C20" w:rsidRPr="00254391" w:rsidRDefault="00AF3C20" w:rsidP="00AF3C20">
      <w:pPr>
        <w:pStyle w:val="arttitle"/>
        <w:outlineLvl w:val="0"/>
        <w:rPr>
          <w:rFonts w:ascii="Times New Roman" w:hAnsi="Times New Roman"/>
          <w:b w:val="0"/>
          <w:sz w:val="24"/>
        </w:rPr>
      </w:pPr>
      <w:r w:rsidRPr="00254391">
        <w:rPr>
          <w:rFonts w:ascii="Times New Roman" w:hAnsi="Times New Roman"/>
          <w:b w:val="0"/>
          <w:sz w:val="24"/>
        </w:rPr>
        <w:t xml:space="preserve">Supplementary </w:t>
      </w:r>
      <w:r w:rsidR="00D94EE6" w:rsidRPr="00254391">
        <w:rPr>
          <w:rFonts w:ascii="Times New Roman" w:hAnsi="Times New Roman"/>
          <w:b w:val="0"/>
          <w:sz w:val="24"/>
        </w:rPr>
        <w:t>Information</w:t>
      </w:r>
      <w:r w:rsidRPr="00254391">
        <w:rPr>
          <w:rFonts w:ascii="Times New Roman" w:hAnsi="Times New Roman"/>
          <w:b w:val="0"/>
          <w:sz w:val="24"/>
        </w:rPr>
        <w:t xml:space="preserve"> for:</w:t>
      </w:r>
    </w:p>
    <w:p w14:paraId="26683240" w14:textId="08EBA101" w:rsidR="00634144" w:rsidRPr="00254391" w:rsidRDefault="00634144" w:rsidP="00AF3C20">
      <w:pPr>
        <w:pStyle w:val="arttitle"/>
        <w:outlineLvl w:val="0"/>
        <w:rPr>
          <w:rFonts w:ascii="Times New Roman" w:hAnsi="Times New Roman"/>
          <w:sz w:val="24"/>
        </w:rPr>
      </w:pPr>
      <w:r w:rsidRPr="00254391">
        <w:rPr>
          <w:rFonts w:ascii="Times New Roman" w:hAnsi="Times New Roman"/>
          <w:sz w:val="24"/>
        </w:rPr>
        <w:t>Spontaneous Or</w:t>
      </w:r>
      <w:r w:rsidR="005568EF">
        <w:rPr>
          <w:rFonts w:ascii="Times New Roman" w:hAnsi="Times New Roman"/>
          <w:sz w:val="24"/>
        </w:rPr>
        <w:t>dering</w:t>
      </w:r>
      <w:r w:rsidRPr="00254391">
        <w:rPr>
          <w:rFonts w:ascii="Times New Roman" w:hAnsi="Times New Roman"/>
          <w:sz w:val="24"/>
        </w:rPr>
        <w:t xml:space="preserve"> of Identical Materials into a Triboelectric Series</w:t>
      </w:r>
      <w:r w:rsidR="001C65CE">
        <w:rPr>
          <w:rFonts w:ascii="Times New Roman" w:hAnsi="Times New Roman"/>
          <w:sz w:val="24"/>
        </w:rPr>
        <w:br/>
      </w:r>
      <w:r w:rsidRPr="00254391">
        <w:rPr>
          <w:rFonts w:ascii="Times New Roman" w:hAnsi="Times New Roman"/>
          <w:sz w:val="24"/>
        </w:rPr>
        <w:t xml:space="preserve"> </w:t>
      </w:r>
    </w:p>
    <w:p w14:paraId="3BB7EC11" w14:textId="3502221A" w:rsidR="00634144" w:rsidRPr="00254391" w:rsidRDefault="00634144" w:rsidP="00634144">
      <w:pPr>
        <w:pStyle w:val="aug"/>
        <w:spacing w:line="480" w:lineRule="auto"/>
        <w:outlineLvl w:val="0"/>
        <w:rPr>
          <w:rFonts w:cs="Times-Roman"/>
          <w:vertAlign w:val="superscript"/>
          <w:lang w:bidi="en-US"/>
        </w:rPr>
      </w:pPr>
      <w:r w:rsidRPr="00254391">
        <w:rPr>
          <w:rFonts w:cs="Times-Roman"/>
          <w:lang w:bidi="en-US"/>
        </w:rPr>
        <w:t>Juan Carlos Sobarzo</w:t>
      </w:r>
      <w:r w:rsidRPr="00254391">
        <w:rPr>
          <w:rFonts w:cs="Times-Roman"/>
          <w:vertAlign w:val="superscript"/>
          <w:lang w:bidi="en-US"/>
        </w:rPr>
        <w:t>1</w:t>
      </w:r>
      <w:r w:rsidRPr="00254391">
        <w:rPr>
          <w:rFonts w:cs="Times-Roman"/>
          <w:lang w:bidi="en-US"/>
        </w:rPr>
        <w:t>, Felix Pertl</w:t>
      </w:r>
      <w:r w:rsidRPr="00254391">
        <w:rPr>
          <w:rFonts w:cs="Times-Roman"/>
          <w:vertAlign w:val="superscript"/>
          <w:lang w:bidi="en-US"/>
        </w:rPr>
        <w:t>1</w:t>
      </w:r>
      <w:r w:rsidRPr="00254391">
        <w:t xml:space="preserve">, </w:t>
      </w:r>
      <w:r w:rsidRPr="00254391">
        <w:rPr>
          <w:rFonts w:cs="Times-Roman"/>
          <w:lang w:bidi="en-US"/>
        </w:rPr>
        <w:t xml:space="preserve">Daniel </w:t>
      </w:r>
      <w:r w:rsidR="008D7892">
        <w:rPr>
          <w:rFonts w:cs="Times-Roman"/>
          <w:lang w:bidi="en-US"/>
        </w:rPr>
        <w:t xml:space="preserve">M. </w:t>
      </w:r>
      <w:r w:rsidRPr="00254391">
        <w:rPr>
          <w:rFonts w:cs="Times-Roman"/>
          <w:lang w:bidi="en-US"/>
        </w:rPr>
        <w:t>Balaz</w:t>
      </w:r>
      <w:r w:rsidR="003148B5">
        <w:rPr>
          <w:rFonts w:cs="Times-Roman"/>
          <w:lang w:bidi="en-US"/>
        </w:rPr>
        <w:t>s</w:t>
      </w:r>
      <w:r w:rsidRPr="00254391">
        <w:rPr>
          <w:rFonts w:cs="Times-Roman"/>
          <w:vertAlign w:val="superscript"/>
          <w:lang w:bidi="en-US"/>
        </w:rPr>
        <w:t>1</w:t>
      </w:r>
      <w:r w:rsidRPr="00254391">
        <w:rPr>
          <w:rFonts w:cs="Times-Roman"/>
          <w:lang w:bidi="en-US"/>
        </w:rPr>
        <w:t xml:space="preserve">, </w:t>
      </w:r>
      <w:proofErr w:type="spellStart"/>
      <w:r w:rsidRPr="00254391">
        <w:rPr>
          <w:rFonts w:cs="Times-Roman"/>
          <w:lang w:bidi="en-US"/>
        </w:rPr>
        <w:t>Tommaso</w:t>
      </w:r>
      <w:proofErr w:type="spellEnd"/>
      <w:r w:rsidRPr="00254391">
        <w:rPr>
          <w:rFonts w:cs="Times-Roman"/>
          <w:lang w:bidi="en-US"/>
        </w:rPr>
        <w:t xml:space="preserve"> Costanzo</w:t>
      </w:r>
      <w:r w:rsidRPr="00254391">
        <w:rPr>
          <w:rFonts w:cs="Times-Roman"/>
          <w:vertAlign w:val="superscript"/>
          <w:lang w:bidi="en-US"/>
        </w:rPr>
        <w:t>1</w:t>
      </w:r>
      <w:r w:rsidRPr="00254391">
        <w:rPr>
          <w:rFonts w:cs="Times-Roman"/>
          <w:lang w:bidi="en-US"/>
        </w:rPr>
        <w:t>, Markus Sauer</w:t>
      </w:r>
      <w:r w:rsidRPr="00254391">
        <w:rPr>
          <w:rFonts w:cs="Times-Roman"/>
          <w:vertAlign w:val="superscript"/>
          <w:lang w:bidi="en-US"/>
        </w:rPr>
        <w:t>2</w:t>
      </w:r>
      <w:r w:rsidRPr="00254391">
        <w:rPr>
          <w:rFonts w:cs="Times-Roman"/>
          <w:lang w:bidi="en-US"/>
        </w:rPr>
        <w:t xml:space="preserve">, </w:t>
      </w:r>
      <w:r w:rsidR="00AF7380">
        <w:rPr>
          <w:rFonts w:cs="Times-Roman"/>
          <w:lang w:bidi="en-US"/>
        </w:rPr>
        <w:t>Annette Foelske</w:t>
      </w:r>
      <w:r w:rsidR="00AF7380">
        <w:rPr>
          <w:rFonts w:cs="Times-Roman"/>
          <w:vertAlign w:val="superscript"/>
          <w:lang w:bidi="en-US"/>
        </w:rPr>
        <w:t>2</w:t>
      </w:r>
      <w:r w:rsidR="00AF7380">
        <w:rPr>
          <w:rFonts w:cs="Times-Roman"/>
          <w:lang w:bidi="en-US"/>
        </w:rPr>
        <w:t xml:space="preserve">, </w:t>
      </w:r>
      <w:r w:rsidRPr="00254391">
        <w:rPr>
          <w:rFonts w:cs="Times-Roman"/>
          <w:lang w:bidi="en-US"/>
        </w:rPr>
        <w:t>Markus Ostermann</w:t>
      </w:r>
      <w:r w:rsidRPr="00254391">
        <w:rPr>
          <w:rFonts w:cs="Times-Roman"/>
          <w:vertAlign w:val="superscript"/>
          <w:lang w:bidi="en-US"/>
        </w:rPr>
        <w:t>3</w:t>
      </w:r>
      <w:r w:rsidRPr="00254391">
        <w:rPr>
          <w:rFonts w:cs="Times-Roman"/>
          <w:lang w:bidi="en-US"/>
        </w:rPr>
        <w:t xml:space="preserve">, Christian </w:t>
      </w:r>
      <w:r w:rsidR="003148B5">
        <w:rPr>
          <w:rFonts w:cs="Times-Roman"/>
          <w:lang w:bidi="en-US"/>
        </w:rPr>
        <w:t xml:space="preserve">M. </w:t>
      </w:r>
      <w:r w:rsidRPr="00254391">
        <w:rPr>
          <w:rFonts w:cs="Times-Roman"/>
          <w:lang w:bidi="en-US"/>
        </w:rPr>
        <w:t>Pichler</w:t>
      </w:r>
      <w:r w:rsidRPr="00254391">
        <w:rPr>
          <w:rFonts w:cs="Times-Roman"/>
          <w:vertAlign w:val="superscript"/>
          <w:lang w:bidi="en-US"/>
        </w:rPr>
        <w:t>3</w:t>
      </w:r>
      <w:r w:rsidRPr="00254391">
        <w:rPr>
          <w:rFonts w:cs="Times-Roman"/>
          <w:lang w:bidi="en-US"/>
        </w:rPr>
        <w:t xml:space="preserve">, </w:t>
      </w:r>
      <w:proofErr w:type="spellStart"/>
      <w:r w:rsidRPr="00254391">
        <w:rPr>
          <w:rFonts w:cs="Times-Roman"/>
          <w:lang w:bidi="en-US"/>
        </w:rPr>
        <w:t>Yongkang</w:t>
      </w:r>
      <w:proofErr w:type="spellEnd"/>
      <w:r w:rsidRPr="00254391">
        <w:rPr>
          <w:rFonts w:cs="Times-Roman"/>
          <w:lang w:bidi="en-US"/>
        </w:rPr>
        <w:t xml:space="preserve"> Wang</w:t>
      </w:r>
      <w:r w:rsidRPr="00254391">
        <w:rPr>
          <w:rFonts w:cs="Times-Roman"/>
          <w:vertAlign w:val="superscript"/>
          <w:lang w:bidi="en-US"/>
        </w:rPr>
        <w:t>4</w:t>
      </w:r>
      <w:r w:rsidRPr="00254391">
        <w:rPr>
          <w:rFonts w:cs="Times-Roman"/>
          <w:lang w:bidi="en-US"/>
        </w:rPr>
        <w:t>, Yuki Nagata</w:t>
      </w:r>
      <w:r w:rsidRPr="00254391">
        <w:rPr>
          <w:rFonts w:cs="Times-Roman"/>
          <w:vertAlign w:val="superscript"/>
          <w:lang w:bidi="en-US"/>
        </w:rPr>
        <w:t>4</w:t>
      </w:r>
      <w:r w:rsidRPr="00254391">
        <w:rPr>
          <w:rFonts w:cs="Times-Roman"/>
          <w:lang w:bidi="en-US"/>
        </w:rPr>
        <w:t>, Mischa Bonn</w:t>
      </w:r>
      <w:r w:rsidRPr="00254391">
        <w:rPr>
          <w:rFonts w:cs="Times-Roman"/>
          <w:vertAlign w:val="superscript"/>
          <w:lang w:bidi="en-US"/>
        </w:rPr>
        <w:t>4</w:t>
      </w:r>
      <w:r w:rsidRPr="00254391">
        <w:rPr>
          <w:rFonts w:cs="Times-Roman"/>
          <w:lang w:bidi="en-US"/>
        </w:rPr>
        <w:t xml:space="preserve"> and Scott Waitukaitis</w:t>
      </w:r>
      <w:r w:rsidRPr="00254391">
        <w:rPr>
          <w:rFonts w:cs="Times-Roman"/>
          <w:vertAlign w:val="superscript"/>
          <w:lang w:bidi="en-US"/>
        </w:rPr>
        <w:t>1</w:t>
      </w:r>
    </w:p>
    <w:p w14:paraId="19E80DF0" w14:textId="77777777" w:rsidR="00634144" w:rsidRPr="00254391" w:rsidRDefault="00634144" w:rsidP="006341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themeColor="text1"/>
          <w:lang w:val="en-US"/>
        </w:rPr>
      </w:pPr>
      <w:r w:rsidRPr="00254391">
        <w:rPr>
          <w:i/>
          <w:color w:val="000000" w:themeColor="text1"/>
          <w:vertAlign w:val="superscript"/>
          <w:lang w:val="en-US"/>
        </w:rPr>
        <w:t xml:space="preserve">1 </w:t>
      </w:r>
      <w:r w:rsidRPr="00254391">
        <w:rPr>
          <w:i/>
          <w:color w:val="000000" w:themeColor="text1"/>
          <w:lang w:val="en-US"/>
        </w:rPr>
        <w:t xml:space="preserve">Institute of Science and Technology Austria, 3400 </w:t>
      </w:r>
      <w:proofErr w:type="spellStart"/>
      <w:r w:rsidRPr="00254391">
        <w:rPr>
          <w:i/>
          <w:color w:val="000000" w:themeColor="text1"/>
          <w:lang w:val="en-US"/>
        </w:rPr>
        <w:t>Klosterneuburg</w:t>
      </w:r>
      <w:proofErr w:type="spellEnd"/>
      <w:r w:rsidRPr="00254391">
        <w:rPr>
          <w:i/>
          <w:color w:val="000000" w:themeColor="text1"/>
          <w:lang w:val="en-US"/>
        </w:rPr>
        <w:t>, Austria</w:t>
      </w:r>
    </w:p>
    <w:p w14:paraId="766B67C8" w14:textId="77777777" w:rsidR="00634144" w:rsidRPr="00254391" w:rsidRDefault="00634144" w:rsidP="00634144">
      <w:pPr>
        <w:spacing w:line="240" w:lineRule="auto"/>
        <w:rPr>
          <w:i/>
          <w:lang w:val="en-US"/>
        </w:rPr>
      </w:pPr>
      <w:r w:rsidRPr="00254391">
        <w:rPr>
          <w:i/>
          <w:vertAlign w:val="superscript"/>
          <w:lang w:val="en-US"/>
        </w:rPr>
        <w:t>2</w:t>
      </w:r>
      <w:r w:rsidRPr="00254391">
        <w:rPr>
          <w:i/>
          <w:lang w:val="en-US"/>
        </w:rPr>
        <w:t>Analytical Instrumentation Center, TU Wien, 1060 Vienna, Austria</w:t>
      </w:r>
    </w:p>
    <w:p w14:paraId="11795B52" w14:textId="77777777" w:rsidR="00634144" w:rsidRPr="00254391" w:rsidRDefault="00634144" w:rsidP="00634144">
      <w:pPr>
        <w:spacing w:line="240" w:lineRule="auto"/>
        <w:rPr>
          <w:i/>
          <w:lang w:val="en-US"/>
        </w:rPr>
      </w:pPr>
    </w:p>
    <w:p w14:paraId="77B10F69" w14:textId="77777777" w:rsidR="00634144" w:rsidRPr="00254391" w:rsidRDefault="00634144" w:rsidP="00634144">
      <w:pPr>
        <w:spacing w:line="240" w:lineRule="auto"/>
        <w:rPr>
          <w:i/>
          <w:lang w:val="en-US"/>
        </w:rPr>
      </w:pPr>
      <w:r w:rsidRPr="00254391">
        <w:rPr>
          <w:i/>
          <w:vertAlign w:val="superscript"/>
          <w:lang w:val="en-US"/>
        </w:rPr>
        <w:t>3</w:t>
      </w:r>
      <w:r w:rsidRPr="00254391">
        <w:rPr>
          <w:i/>
          <w:lang w:val="en-US"/>
        </w:rPr>
        <w:t>Centre of Electrochemical and Surface Technology, 2700 Wiener Neustadt, Austria</w:t>
      </w:r>
    </w:p>
    <w:p w14:paraId="5EA918F1" w14:textId="77777777" w:rsidR="00634144" w:rsidRPr="00254391" w:rsidRDefault="00634144" w:rsidP="00634144">
      <w:pPr>
        <w:spacing w:line="240" w:lineRule="auto"/>
        <w:rPr>
          <w:i/>
          <w:lang w:val="en-US"/>
        </w:rPr>
      </w:pPr>
    </w:p>
    <w:p w14:paraId="182EC1AD" w14:textId="77777777" w:rsidR="00634144" w:rsidRPr="00254391" w:rsidRDefault="00634144" w:rsidP="00634144">
      <w:pPr>
        <w:spacing w:line="240" w:lineRule="auto"/>
        <w:rPr>
          <w:i/>
        </w:rPr>
      </w:pPr>
      <w:r w:rsidRPr="00254391">
        <w:rPr>
          <w:i/>
          <w:vertAlign w:val="superscript"/>
          <w:lang w:val="en-US"/>
        </w:rPr>
        <w:t>4</w:t>
      </w:r>
      <w:r w:rsidRPr="00254391">
        <w:rPr>
          <w:i/>
        </w:rPr>
        <w:t>Molecular Spectroscopy Department, Max Planck Institute for Polymer Research, Mainz 55128, Germany</w:t>
      </w:r>
    </w:p>
    <w:p w14:paraId="6158B9B2" w14:textId="77777777" w:rsidR="00AF3C20" w:rsidRPr="00254391" w:rsidRDefault="00AF3C20" w:rsidP="00AF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color w:val="000000" w:themeColor="text1"/>
        </w:rPr>
      </w:pPr>
    </w:p>
    <w:p w14:paraId="57E07E69" w14:textId="77777777" w:rsidR="00D152F0" w:rsidRPr="00254391" w:rsidRDefault="00AF3C20" w:rsidP="00AF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color w:val="000000" w:themeColor="text1"/>
        </w:rPr>
      </w:pPr>
      <w:r w:rsidRPr="00254391">
        <w:rPr>
          <w:b/>
          <w:color w:val="000000" w:themeColor="text1"/>
        </w:rPr>
        <w:t xml:space="preserve">Introduction  </w:t>
      </w:r>
    </w:p>
    <w:p w14:paraId="23D8B955" w14:textId="760D509F" w:rsidR="00AF3C20" w:rsidRPr="00254391" w:rsidRDefault="00AF3C20" w:rsidP="00AF3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254391">
        <w:rPr>
          <w:color w:val="000000" w:themeColor="text1"/>
        </w:rPr>
        <w:t xml:space="preserve">This document contains Supplementary </w:t>
      </w:r>
      <w:r w:rsidR="00D730AE" w:rsidRPr="00254391">
        <w:rPr>
          <w:color w:val="000000" w:themeColor="text1"/>
        </w:rPr>
        <w:t>Information pertinent to</w:t>
      </w:r>
      <w:r w:rsidRPr="00254391">
        <w:rPr>
          <w:color w:val="000000" w:themeColor="text1"/>
        </w:rPr>
        <w:t xml:space="preserve"> the main</w:t>
      </w:r>
      <w:r w:rsidR="00D730AE" w:rsidRPr="00254391">
        <w:rPr>
          <w:color w:val="000000" w:themeColor="text1"/>
        </w:rPr>
        <w:t xml:space="preserve"> draft</w:t>
      </w:r>
      <w:r w:rsidR="00F176B4" w:rsidRPr="00254391">
        <w:rPr>
          <w:color w:val="000000" w:themeColor="text1"/>
        </w:rPr>
        <w:t xml:space="preserve">, as well as the figure captions for the </w:t>
      </w:r>
      <w:r w:rsidR="00C95CE9" w:rsidRPr="00254391">
        <w:rPr>
          <w:color w:val="000000" w:themeColor="text1"/>
        </w:rPr>
        <w:t>E</w:t>
      </w:r>
      <w:r w:rsidR="00F176B4" w:rsidRPr="00254391">
        <w:rPr>
          <w:color w:val="000000" w:themeColor="text1"/>
        </w:rPr>
        <w:t xml:space="preserve">xtended </w:t>
      </w:r>
      <w:r w:rsidR="00C95CE9" w:rsidRPr="00254391">
        <w:rPr>
          <w:color w:val="000000" w:themeColor="text1"/>
        </w:rPr>
        <w:t>D</w:t>
      </w:r>
      <w:r w:rsidR="00F176B4" w:rsidRPr="00254391">
        <w:rPr>
          <w:color w:val="000000" w:themeColor="text1"/>
        </w:rPr>
        <w:t>ata</w:t>
      </w:r>
      <w:r w:rsidR="00D730AE" w:rsidRPr="00254391">
        <w:rPr>
          <w:color w:val="000000" w:themeColor="text1"/>
        </w:rPr>
        <w:t>. The topics addressed are</w:t>
      </w:r>
      <w:r w:rsidR="00634144" w:rsidRPr="00254391">
        <w:rPr>
          <w:color w:val="000000" w:themeColor="text1"/>
        </w:rPr>
        <w:t>: (1) Young’s modulus measurements</w:t>
      </w:r>
      <w:r w:rsidRPr="00254391">
        <w:rPr>
          <w:color w:val="000000" w:themeColor="text1"/>
        </w:rPr>
        <w:t>,</w:t>
      </w:r>
      <w:r w:rsidR="00BD77DB" w:rsidRPr="00254391">
        <w:rPr>
          <w:color w:val="000000" w:themeColor="text1"/>
        </w:rPr>
        <w:t xml:space="preserve"> (2) Humidity-bias measurements, (3) Time decay,</w:t>
      </w:r>
      <w:r w:rsidRPr="00254391">
        <w:rPr>
          <w:color w:val="000000" w:themeColor="text1"/>
        </w:rPr>
        <w:t xml:space="preserve"> (</w:t>
      </w:r>
      <w:r w:rsidR="00BD77DB" w:rsidRPr="00254391">
        <w:rPr>
          <w:color w:val="000000" w:themeColor="text1"/>
        </w:rPr>
        <w:t>4</w:t>
      </w:r>
      <w:r w:rsidRPr="00254391">
        <w:rPr>
          <w:color w:val="000000" w:themeColor="text1"/>
        </w:rPr>
        <w:t xml:space="preserve">) </w:t>
      </w:r>
      <w:r w:rsidR="00183960" w:rsidRPr="00254391">
        <w:rPr>
          <w:color w:val="000000" w:themeColor="text1"/>
        </w:rPr>
        <w:t>Forcing a cycle, (</w:t>
      </w:r>
      <w:r w:rsidR="00BD77DB" w:rsidRPr="00254391">
        <w:rPr>
          <w:color w:val="000000" w:themeColor="text1"/>
        </w:rPr>
        <w:t>5</w:t>
      </w:r>
      <w:r w:rsidR="00183960" w:rsidRPr="00254391">
        <w:rPr>
          <w:color w:val="000000" w:themeColor="text1"/>
        </w:rPr>
        <w:t xml:space="preserve">) </w:t>
      </w:r>
      <w:r w:rsidR="00BD77DB" w:rsidRPr="00254391">
        <w:rPr>
          <w:color w:val="000000" w:themeColor="text1"/>
        </w:rPr>
        <w:t>Inability to force a</w:t>
      </w:r>
      <w:r w:rsidR="00634144" w:rsidRPr="00254391">
        <w:rPr>
          <w:color w:val="000000" w:themeColor="text1"/>
        </w:rPr>
        <w:t xml:space="preserve"> seri</w:t>
      </w:r>
      <w:r w:rsidR="006D306D">
        <w:rPr>
          <w:color w:val="000000" w:themeColor="text1"/>
        </w:rPr>
        <w:t>es with staggered contact sequence</w:t>
      </w:r>
      <w:r w:rsidRPr="00254391">
        <w:rPr>
          <w:color w:val="000000" w:themeColor="text1"/>
        </w:rPr>
        <w:t xml:space="preserve">, </w:t>
      </w:r>
      <w:r w:rsidR="00BD77DB" w:rsidRPr="00254391">
        <w:rPr>
          <w:color w:val="000000" w:themeColor="text1"/>
        </w:rPr>
        <w:t xml:space="preserve">(6) Additional surface-sensitive measurements, </w:t>
      </w:r>
      <w:r w:rsidR="00634144" w:rsidRPr="00254391">
        <w:rPr>
          <w:color w:val="000000" w:themeColor="text1"/>
        </w:rPr>
        <w:t>(</w:t>
      </w:r>
      <w:r w:rsidR="00BD77DB" w:rsidRPr="00254391">
        <w:rPr>
          <w:color w:val="000000" w:themeColor="text1"/>
        </w:rPr>
        <w:t>7</w:t>
      </w:r>
      <w:r w:rsidR="00634144" w:rsidRPr="00254391">
        <w:rPr>
          <w:color w:val="000000" w:themeColor="text1"/>
        </w:rPr>
        <w:t xml:space="preserve">) </w:t>
      </w:r>
      <w:r w:rsidR="00BD77DB" w:rsidRPr="00254391">
        <w:rPr>
          <w:color w:val="000000" w:themeColor="text1"/>
        </w:rPr>
        <w:t>Roughness-bias measurements</w:t>
      </w:r>
      <w:r w:rsidR="00633E58">
        <w:rPr>
          <w:color w:val="000000" w:themeColor="text1"/>
        </w:rPr>
        <w:t xml:space="preserve">, and (8) a </w:t>
      </w:r>
      <w:r w:rsidR="0028050A">
        <w:rPr>
          <w:color w:val="000000" w:themeColor="text1"/>
        </w:rPr>
        <w:t>D</w:t>
      </w:r>
      <w:r w:rsidR="00633E58">
        <w:rPr>
          <w:color w:val="000000" w:themeColor="text1"/>
        </w:rPr>
        <w:t>iscussion of historical observations regarding mechanical (contact) history and roughness</w:t>
      </w:r>
      <w:r w:rsidRPr="00254391">
        <w:rPr>
          <w:color w:val="000000" w:themeColor="text1"/>
        </w:rPr>
        <w:br/>
      </w:r>
    </w:p>
    <w:p w14:paraId="107F6A6C" w14:textId="77777777" w:rsidR="00D152F0" w:rsidRPr="00254391" w:rsidRDefault="00634144" w:rsidP="00D730AE">
      <w:pPr>
        <w:rPr>
          <w:b/>
        </w:rPr>
      </w:pPr>
      <w:r w:rsidRPr="00254391">
        <w:rPr>
          <w:b/>
        </w:rPr>
        <w:t>Young’s modulus measurements</w:t>
      </w:r>
      <w:r w:rsidR="00AF3C20" w:rsidRPr="00254391">
        <w:rPr>
          <w:b/>
        </w:rPr>
        <w:t xml:space="preserve">  </w:t>
      </w:r>
    </w:p>
    <w:p w14:paraId="688B4FAC" w14:textId="0E793B21" w:rsidR="00D730AE" w:rsidRPr="00254391" w:rsidRDefault="00D730AE" w:rsidP="00D730AE">
      <w:pPr>
        <w:rPr>
          <w:rFonts w:eastAsiaTheme="minorEastAsia"/>
          <w:lang w:val="en-US"/>
        </w:rPr>
      </w:pPr>
      <w:r w:rsidRPr="00254391">
        <w:rPr>
          <w:lang w:val="en-US"/>
        </w:rPr>
        <w:t xml:space="preserve">We measure </w:t>
      </w:r>
      <w:r w:rsidR="00EB6DCF" w:rsidRPr="00254391">
        <w:rPr>
          <w:lang w:val="en-US"/>
        </w:rPr>
        <w:t xml:space="preserve">the </w:t>
      </w:r>
      <w:r w:rsidRPr="00254391">
        <w:rPr>
          <w:lang w:val="en-US"/>
        </w:rPr>
        <w:t>Young’s modulus of an individual PDMS sample by using a materials testing device (</w:t>
      </w:r>
      <w:proofErr w:type="spellStart"/>
      <w:r w:rsidRPr="00254391">
        <w:rPr>
          <w:lang w:val="en-US"/>
        </w:rPr>
        <w:t>ZwickRoell</w:t>
      </w:r>
      <w:proofErr w:type="spellEnd"/>
      <w:r w:rsidR="00EB6DCF" w:rsidRPr="00254391">
        <w:rPr>
          <w:lang w:val="en-US"/>
        </w:rPr>
        <w:t>,</w:t>
      </w:r>
      <w:r w:rsidRPr="00254391">
        <w:rPr>
          <w:lang w:val="en-US"/>
        </w:rPr>
        <w:t xml:space="preserve"> </w:t>
      </w:r>
      <w:proofErr w:type="spellStart"/>
      <w:r w:rsidR="00010CA9" w:rsidRPr="00254391">
        <w:rPr>
          <w:lang w:val="en-US"/>
        </w:rPr>
        <w:t>zwickiLine</w:t>
      </w:r>
      <w:proofErr w:type="spellEnd"/>
      <w:r w:rsidR="00010CA9" w:rsidRPr="00254391">
        <w:rPr>
          <w:lang w:val="en-US"/>
        </w:rPr>
        <w:t xml:space="preserve"> 2.5 </w:t>
      </w:r>
      <w:proofErr w:type="spellStart"/>
      <w:r w:rsidR="00010CA9" w:rsidRPr="00254391">
        <w:rPr>
          <w:lang w:val="en-US"/>
        </w:rPr>
        <w:t>kN</w:t>
      </w:r>
      <w:proofErr w:type="spellEnd"/>
      <w:r w:rsidRPr="00254391">
        <w:rPr>
          <w:lang w:val="en-US"/>
        </w:rPr>
        <w:t xml:space="preserve">) to push a steel sphere of radius </w:t>
      </w:r>
      <m:oMath>
        <m:r>
          <w:rPr>
            <w:rFonts w:ascii="Cambria Math" w:hAnsi="Cambria Math"/>
            <w:lang w:val="en-US"/>
          </w:rPr>
          <m:t xml:space="preserve">R= </m:t>
        </m:r>
      </m:oMath>
      <w:r w:rsidR="00183960" w:rsidRPr="00254391">
        <w:rPr>
          <w:lang w:val="en-US"/>
        </w:rPr>
        <w:t xml:space="preserve">5 </w:t>
      </w:r>
      <w:r w:rsidRPr="00254391">
        <w:rPr>
          <w:rFonts w:eastAsiaTheme="minorEastAsia"/>
          <w:lang w:val="en-US"/>
        </w:rPr>
        <w:t xml:space="preserve">mm </w:t>
      </w:r>
      <w:r w:rsidR="00231B3B" w:rsidRPr="00254391">
        <w:rPr>
          <w:rFonts w:eastAsiaTheme="minorEastAsia"/>
          <w:lang w:val="en-US"/>
        </w:rPr>
        <w:t xml:space="preserve">into </w:t>
      </w:r>
      <w:r w:rsidR="00FC536C" w:rsidRPr="00254391">
        <w:rPr>
          <w:rFonts w:eastAsiaTheme="minorEastAsia"/>
          <w:lang w:val="en-US"/>
        </w:rPr>
        <w:t>the</w:t>
      </w:r>
      <w:r w:rsidR="00231B3B" w:rsidRPr="00254391">
        <w:rPr>
          <w:rFonts w:eastAsiaTheme="minorEastAsia"/>
          <w:lang w:val="en-US"/>
        </w:rPr>
        <w:t xml:space="preserve"> surface </w:t>
      </w:r>
      <w:r w:rsidRPr="00254391">
        <w:rPr>
          <w:rFonts w:eastAsiaTheme="minorEastAsia"/>
          <w:lang w:val="en-US"/>
        </w:rPr>
        <w:t xml:space="preserve">and </w:t>
      </w:r>
      <w:r w:rsidR="00BA6DAD" w:rsidRPr="00254391">
        <w:rPr>
          <w:rFonts w:eastAsiaTheme="minorEastAsia"/>
          <w:lang w:val="en-US"/>
        </w:rPr>
        <w:t>measure</w:t>
      </w:r>
      <w:r w:rsidRPr="00254391">
        <w:rPr>
          <w:rFonts w:eastAsiaTheme="minorEastAsia"/>
          <w:lang w:val="en-US"/>
        </w:rPr>
        <w:t xml:space="preserve"> the force as a function of indentation</w:t>
      </w:r>
      <w:r w:rsidR="002C1F1A" w:rsidRPr="00254391">
        <w:rPr>
          <w:rFonts w:eastAsiaTheme="minorEastAsia"/>
          <w:lang w:val="en-US"/>
        </w:rPr>
        <w:t xml:space="preserve"> distance</w:t>
      </w:r>
      <w:r w:rsidRPr="00254391">
        <w:rPr>
          <w:rFonts w:eastAsiaTheme="minorEastAsia"/>
          <w:lang w:val="en-US"/>
        </w:rPr>
        <w:t xml:space="preserve">, </w:t>
      </w:r>
      <m:oMath>
        <m:r>
          <w:rPr>
            <w:rFonts w:ascii="Cambria Math" w:eastAsiaTheme="minorEastAsia" w:hAnsi="Cambria Math"/>
            <w:lang w:val="en-US"/>
          </w:rPr>
          <m:t>δ</m:t>
        </m:r>
      </m:oMath>
      <w:r w:rsidRPr="00254391">
        <w:rPr>
          <w:rFonts w:eastAsiaTheme="minorEastAsia"/>
          <w:lang w:val="en-US"/>
        </w:rPr>
        <w:t xml:space="preserve">.  </w:t>
      </w:r>
      <w:r w:rsidR="00FC536C" w:rsidRPr="00254391">
        <w:rPr>
          <w:rFonts w:eastAsiaTheme="minorEastAsia"/>
          <w:lang w:val="en-US"/>
        </w:rPr>
        <w:t>Considering</w:t>
      </w:r>
      <w:r w:rsidRPr="00254391">
        <w:rPr>
          <w:rFonts w:eastAsiaTheme="minorEastAsia"/>
          <w:lang w:val="en-US"/>
        </w:rPr>
        <w:t xml:space="preserve"> </w:t>
      </w:r>
      <w:r w:rsidR="00EB6DCF" w:rsidRPr="00254391">
        <w:rPr>
          <w:rFonts w:eastAsiaTheme="minorEastAsia"/>
          <w:lang w:val="en-US"/>
        </w:rPr>
        <w:t>negligible</w:t>
      </w:r>
      <w:r w:rsidRPr="00254391">
        <w:rPr>
          <w:rFonts w:eastAsiaTheme="minorEastAsia"/>
          <w:lang w:val="en-US"/>
        </w:rPr>
        <w:t xml:space="preserve"> deformation of the sphere, </w:t>
      </w:r>
      <w:proofErr w:type="spellStart"/>
      <w:r w:rsidRPr="00254391">
        <w:rPr>
          <w:rFonts w:eastAsiaTheme="minorEastAsia"/>
          <w:lang w:val="en-US"/>
        </w:rPr>
        <w:t>Hertzian</w:t>
      </w:r>
      <w:proofErr w:type="spellEnd"/>
      <w:r w:rsidRPr="00254391">
        <w:rPr>
          <w:rFonts w:eastAsiaTheme="minorEastAsia"/>
          <w:lang w:val="en-US"/>
        </w:rPr>
        <w:t xml:space="preserve"> contact theory </w:t>
      </w:r>
      <w:r w:rsidR="00FC536C" w:rsidRPr="00254391">
        <w:rPr>
          <w:rFonts w:eastAsiaTheme="minorEastAsia"/>
          <w:lang w:val="en-US"/>
        </w:rPr>
        <w:t xml:space="preserve">predicts the </w:t>
      </w:r>
      <w:r w:rsidR="00FC536C" w:rsidRPr="00254391">
        <w:rPr>
          <w:rFonts w:eastAsiaTheme="minorEastAsia"/>
          <w:lang w:val="en-US"/>
        </w:rPr>
        <w:lastRenderedPageBreak/>
        <w:t xml:space="preserve">following form for the force </w:t>
      </w:r>
      <w:r w:rsidR="00FC536C" w:rsidRPr="00254391">
        <w:rPr>
          <w:rFonts w:eastAsiaTheme="minorEastAsia"/>
          <w:i/>
          <w:iCs/>
          <w:lang w:val="en-US"/>
        </w:rPr>
        <w:t>vs.</w:t>
      </w:r>
      <w:r w:rsidR="00FC536C" w:rsidRPr="00254391">
        <w:rPr>
          <w:rFonts w:eastAsiaTheme="minorEastAsia"/>
          <w:lang w:val="en-US"/>
        </w:rPr>
        <w:t xml:space="preserve"> indentation</w:t>
      </w:r>
      <w:r w:rsidRPr="00254391">
        <w:rPr>
          <w:rFonts w:eastAsiaTheme="minorEastAsia"/>
          <w:lang w:val="en-US"/>
        </w:rPr>
        <w:t xml:space="preserve"> </w:t>
      </w:r>
      <w:r w:rsidR="00D94EE6" w:rsidRPr="00254391">
        <w:rPr>
          <w:rFonts w:eastAsiaTheme="minorEastAsia"/>
          <w:lang w:val="en-US"/>
        </w:rPr>
        <w:br/>
      </w:r>
    </w:p>
    <w:p w14:paraId="046CD87D" w14:textId="1C97065D" w:rsidR="00231B3B" w:rsidRPr="00254391" w:rsidRDefault="00010CA9" w:rsidP="00D94EE6">
      <w:pPr>
        <w:jc w:val="center"/>
        <w:rPr>
          <w:rFonts w:eastAsiaTheme="minorEastAsia"/>
          <w:lang w:val="en-US"/>
        </w:rPr>
      </w:pPr>
      <m:oMath>
        <m:r>
          <w:rPr>
            <w:rFonts w:ascii="Cambria Math" w:hAnsi="Cambria Math"/>
            <w:lang w:val="en-US"/>
          </w:rPr>
          <m:t xml:space="preserve">F= </m:t>
        </m:r>
        <m:f>
          <m:fPr>
            <m:ctrlPr>
              <w:rPr>
                <w:rFonts w:ascii="Cambria Math" w:eastAsiaTheme="minorHAnsi" w:hAnsi="Cambria Math" w:cstheme="minorBidi"/>
                <w:bCs/>
                <w:i/>
                <w:lang w:val="en-US"/>
              </w:rPr>
            </m:ctrlPr>
          </m:fPr>
          <m:num>
            <m:r>
              <w:rPr>
                <w:rFonts w:ascii="Cambria Math" w:hAnsi="Cambria Math"/>
                <w:lang w:val="en-US"/>
              </w:rPr>
              <m:t>4</m:t>
            </m:r>
          </m:num>
          <m:den>
            <m:r>
              <w:rPr>
                <w:rFonts w:ascii="Cambria Math" w:hAnsi="Cambria Math"/>
                <w:lang w:val="en-US"/>
              </w:rPr>
              <m:t>3</m:t>
            </m:r>
          </m:den>
        </m:f>
        <m:f>
          <m:fPr>
            <m:ctrlPr>
              <w:rPr>
                <w:rFonts w:ascii="Cambria Math" w:eastAsiaTheme="minorHAnsi" w:hAnsi="Cambria Math" w:cstheme="minorBidi"/>
                <w:bCs/>
                <w:i/>
                <w:lang w:val="en-US"/>
              </w:rPr>
            </m:ctrlPr>
          </m:fPr>
          <m:num>
            <m:r>
              <w:rPr>
                <w:rFonts w:ascii="Cambria Math" w:hAnsi="Cambria Math"/>
                <w:lang w:val="en-US"/>
              </w:rPr>
              <m:t>E</m:t>
            </m:r>
          </m:num>
          <m:den>
            <m:r>
              <w:rPr>
                <w:rFonts w:ascii="Cambria Math" w:hAnsi="Cambria Math"/>
                <w:lang w:val="en-US"/>
              </w:rPr>
              <m:t>1-</m:t>
            </m:r>
            <m:sSup>
              <m:sSupPr>
                <m:ctrlPr>
                  <w:rPr>
                    <w:rFonts w:ascii="Cambria Math" w:eastAsiaTheme="minorHAnsi" w:hAnsi="Cambria Math" w:cstheme="minorBidi"/>
                    <w:bCs/>
                    <w:i/>
                    <w:lang w:val="en-US"/>
                  </w:rPr>
                </m:ctrlPr>
              </m:sSupPr>
              <m:e>
                <m:r>
                  <w:rPr>
                    <w:rFonts w:ascii="Cambria Math" w:hAnsi="Cambria Math"/>
                    <w:lang w:val="en-US"/>
                  </w:rPr>
                  <m:t>ν</m:t>
                </m:r>
              </m:e>
              <m:sup>
                <m:r>
                  <w:rPr>
                    <w:rFonts w:ascii="Cambria Math" w:hAnsi="Cambria Math"/>
                    <w:lang w:val="en-US"/>
                  </w:rPr>
                  <m:t>2</m:t>
                </m:r>
              </m:sup>
            </m:sSup>
          </m:den>
        </m:f>
        <m:sSup>
          <m:sSupPr>
            <m:ctrlPr>
              <w:rPr>
                <w:rFonts w:ascii="Cambria Math" w:eastAsiaTheme="minorEastAsia" w:hAnsi="Cambria Math" w:cstheme="minorBidi"/>
                <w:bCs/>
                <w:i/>
                <w:lang w:val="en-US"/>
              </w:rPr>
            </m:ctrlPr>
          </m:sSupPr>
          <m:e>
            <m:r>
              <w:rPr>
                <w:rFonts w:ascii="Cambria Math" w:eastAsiaTheme="minorEastAsia" w:hAnsi="Cambria Math"/>
                <w:lang w:val="en-US"/>
              </w:rPr>
              <m:t>R</m:t>
            </m:r>
          </m:e>
          <m:sup>
            <m:r>
              <w:rPr>
                <w:rFonts w:ascii="Cambria Math" w:eastAsiaTheme="minorEastAsia" w:hAnsi="Cambria Math"/>
                <w:lang w:val="en-US"/>
              </w:rPr>
              <m:t>1/2</m:t>
            </m:r>
          </m:sup>
        </m:sSup>
        <m:sSup>
          <m:sSupPr>
            <m:ctrlPr>
              <w:rPr>
                <w:rFonts w:ascii="Cambria Math" w:eastAsiaTheme="minorEastAsia" w:hAnsi="Cambria Math" w:cstheme="minorBidi"/>
                <w:bCs/>
                <w:i/>
                <w:lang w:val="en-US"/>
              </w:rPr>
            </m:ctrlPr>
          </m:sSupPr>
          <m:e>
            <m:r>
              <w:rPr>
                <w:rFonts w:ascii="Cambria Math" w:eastAsiaTheme="minorEastAsia" w:hAnsi="Cambria Math"/>
                <w:lang w:val="en-US"/>
              </w:rPr>
              <m:t>δ</m:t>
            </m:r>
          </m:e>
          <m:sup>
            <m:r>
              <w:rPr>
                <w:rFonts w:ascii="Cambria Math" w:eastAsiaTheme="minorEastAsia" w:hAnsi="Cambria Math"/>
                <w:lang w:val="en-US"/>
              </w:rPr>
              <m:t>3/2</m:t>
            </m:r>
          </m:sup>
        </m:sSup>
      </m:oMath>
      <w:r w:rsidR="00EB6DCF" w:rsidRPr="00254391">
        <w:rPr>
          <w:rFonts w:eastAsiaTheme="minorEastAsia"/>
          <w:bCs/>
          <w:lang w:val="en-US"/>
        </w:rPr>
        <w:t>,</w:t>
      </w:r>
      <w:r w:rsidR="00231B3B" w:rsidRPr="00254391">
        <w:rPr>
          <w:rFonts w:eastAsiaTheme="minorEastAsia"/>
          <w:b/>
          <w:bCs/>
          <w:lang w:val="en-US"/>
        </w:rPr>
        <w:t xml:space="preserve">                               </w:t>
      </w:r>
      <w:r w:rsidR="00231B3B" w:rsidRPr="00254391">
        <w:rPr>
          <w:rFonts w:eastAsiaTheme="minorEastAsia"/>
          <w:lang w:val="en-US"/>
        </w:rPr>
        <w:t>(1)</w:t>
      </w:r>
      <w:r w:rsidR="00D94EE6" w:rsidRPr="00254391">
        <w:rPr>
          <w:rFonts w:eastAsiaTheme="minorEastAsia"/>
          <w:lang w:val="en-US"/>
        </w:rPr>
        <w:br/>
      </w:r>
    </w:p>
    <w:p w14:paraId="0EF521D6" w14:textId="005BDBE2" w:rsidR="00265EB6" w:rsidRPr="00254391" w:rsidRDefault="00EB6DCF" w:rsidP="00231B3B">
      <w:pPr>
        <w:rPr>
          <w:rFonts w:eastAsiaTheme="minorEastAsia"/>
          <w:lang w:val="en-US"/>
        </w:rPr>
      </w:pPr>
      <w:r w:rsidRPr="00254391">
        <w:rPr>
          <w:rFonts w:eastAsiaTheme="minorEastAsia"/>
          <w:lang w:val="en-US"/>
        </w:rPr>
        <w:t>w</w:t>
      </w:r>
      <w:r w:rsidR="00D730AE" w:rsidRPr="00254391">
        <w:rPr>
          <w:rFonts w:eastAsiaTheme="minorEastAsia"/>
          <w:lang w:val="en-US"/>
        </w:rPr>
        <w:t xml:space="preserve">here </w:t>
      </w:r>
      <m:oMath>
        <m:r>
          <w:rPr>
            <w:rFonts w:ascii="Cambria Math" w:eastAsiaTheme="minorEastAsia" w:hAnsi="Cambria Math"/>
            <w:lang w:val="en-US"/>
          </w:rPr>
          <m:t>F</m:t>
        </m:r>
      </m:oMath>
      <w:r w:rsidR="00D730AE" w:rsidRPr="00254391">
        <w:rPr>
          <w:rFonts w:eastAsiaTheme="minorEastAsia"/>
          <w:lang w:val="en-US"/>
        </w:rPr>
        <w:t xml:space="preserve"> is the measured force, </w:t>
      </w:r>
      <m:oMath>
        <m:r>
          <w:rPr>
            <w:rFonts w:ascii="Cambria Math" w:eastAsiaTheme="minorEastAsia" w:hAnsi="Cambria Math"/>
            <w:lang w:val="en-US"/>
          </w:rPr>
          <m:t>E</m:t>
        </m:r>
      </m:oMath>
      <w:r w:rsidR="00D730AE" w:rsidRPr="00254391">
        <w:rPr>
          <w:rFonts w:eastAsiaTheme="minorEastAsia"/>
          <w:lang w:val="en-US"/>
        </w:rPr>
        <w:t xml:space="preserve"> is the Young’s modulus of the PDMS, and </w:t>
      </w:r>
      <m:oMath>
        <m:r>
          <w:rPr>
            <w:rFonts w:ascii="Cambria Math" w:eastAsiaTheme="minorEastAsia" w:hAnsi="Cambria Math"/>
            <w:lang w:val="en-US"/>
          </w:rPr>
          <m:t>ν=0.5</m:t>
        </m:r>
      </m:oMath>
      <w:r w:rsidR="00D730AE" w:rsidRPr="00254391">
        <w:rPr>
          <w:rFonts w:eastAsiaTheme="minorEastAsia"/>
          <w:lang w:val="en-US"/>
        </w:rPr>
        <w:t xml:space="preserve"> is </w:t>
      </w:r>
      <w:r w:rsidR="00BA6DAD" w:rsidRPr="00254391">
        <w:rPr>
          <w:rFonts w:eastAsiaTheme="minorEastAsia"/>
          <w:lang w:val="en-US"/>
        </w:rPr>
        <w:t>its</w:t>
      </w:r>
      <w:r w:rsidR="00D730AE" w:rsidRPr="00254391">
        <w:rPr>
          <w:rFonts w:eastAsiaTheme="minorEastAsia"/>
          <w:lang w:val="en-US"/>
        </w:rPr>
        <w:t xml:space="preserve"> Poisson’s ratio. As </w:t>
      </w:r>
      <m:oMath>
        <m:r>
          <w:rPr>
            <w:rFonts w:ascii="Cambria Math" w:eastAsiaTheme="minorEastAsia" w:hAnsi="Cambria Math"/>
            <w:lang w:val="en-US"/>
          </w:rPr>
          <m:t>E</m:t>
        </m:r>
      </m:oMath>
      <w:r w:rsidR="00D730AE" w:rsidRPr="00254391">
        <w:rPr>
          <w:rFonts w:eastAsiaTheme="minorEastAsia"/>
          <w:lang w:val="en-US"/>
        </w:rPr>
        <w:t xml:space="preserve"> is the only unknown in this equation, we obtain</w:t>
      </w:r>
      <w:r w:rsidR="00231B3B" w:rsidRPr="00254391">
        <w:rPr>
          <w:rFonts w:eastAsiaTheme="minorEastAsia"/>
          <w:lang w:val="en-US"/>
        </w:rPr>
        <w:t xml:space="preserve"> </w:t>
      </w:r>
      <w:r w:rsidR="00D730AE" w:rsidRPr="00254391">
        <w:rPr>
          <w:rFonts w:eastAsiaTheme="minorEastAsia"/>
          <w:lang w:val="en-US"/>
        </w:rPr>
        <w:t xml:space="preserve">an accurate estimation for it by fitting our measured data to Suppl. Eq. </w:t>
      </w:r>
      <w:r w:rsidR="00231B3B" w:rsidRPr="00254391">
        <w:rPr>
          <w:rFonts w:eastAsiaTheme="minorEastAsia"/>
          <w:lang w:val="en-US"/>
        </w:rPr>
        <w:t>1</w:t>
      </w:r>
      <w:r w:rsidR="00D730AE" w:rsidRPr="00254391">
        <w:rPr>
          <w:rFonts w:eastAsiaTheme="minorEastAsia"/>
          <w:lang w:val="en-US"/>
        </w:rPr>
        <w:t xml:space="preserve">.  </w:t>
      </w:r>
      <w:r w:rsidR="002C1F1A" w:rsidRPr="00254391">
        <w:rPr>
          <w:rFonts w:eastAsiaTheme="minorEastAsia"/>
          <w:lang w:val="en-US"/>
        </w:rPr>
        <w:t>Young’s moduli</w:t>
      </w:r>
      <w:r w:rsidR="00D730AE" w:rsidRPr="00254391">
        <w:rPr>
          <w:rFonts w:eastAsiaTheme="minorEastAsia"/>
          <w:lang w:val="en-US"/>
        </w:rPr>
        <w:t xml:space="preserve"> for </w:t>
      </w:r>
      <w:r w:rsidR="00265EB6" w:rsidRPr="00254391">
        <w:rPr>
          <w:rFonts w:eastAsiaTheme="minorEastAsia"/>
          <w:lang w:val="en-US"/>
        </w:rPr>
        <w:t>such</w:t>
      </w:r>
      <w:r w:rsidR="00D730AE" w:rsidRPr="00254391">
        <w:rPr>
          <w:rFonts w:eastAsiaTheme="minorEastAsia"/>
          <w:lang w:val="en-US"/>
        </w:rPr>
        <w:t xml:space="preserve"> tests </w:t>
      </w:r>
      <w:r w:rsidR="00A0266D" w:rsidRPr="00254391">
        <w:rPr>
          <w:rFonts w:eastAsiaTheme="minorEastAsia"/>
          <w:lang w:val="en-US"/>
        </w:rPr>
        <w:t>with 16 samples are</w:t>
      </w:r>
      <w:r w:rsidR="00D730AE" w:rsidRPr="00254391">
        <w:rPr>
          <w:rFonts w:eastAsiaTheme="minorEastAsia"/>
          <w:lang w:val="en-US"/>
        </w:rPr>
        <w:t xml:space="preserve"> presented in Extended Data Figure</w:t>
      </w:r>
      <w:r w:rsidR="00183960" w:rsidRPr="00254391">
        <w:rPr>
          <w:rFonts w:eastAsiaTheme="minorEastAsia"/>
          <w:lang w:val="en-US"/>
        </w:rPr>
        <w:t xml:space="preserve"> </w:t>
      </w:r>
      <w:r w:rsidR="00D730AE" w:rsidRPr="00254391">
        <w:rPr>
          <w:rFonts w:eastAsiaTheme="minorEastAsia"/>
          <w:lang w:val="en-US"/>
        </w:rPr>
        <w:t xml:space="preserve">1. </w:t>
      </w:r>
      <w:r w:rsidR="00265EB6" w:rsidRPr="00254391">
        <w:rPr>
          <w:rFonts w:eastAsiaTheme="minorEastAsia"/>
          <w:lang w:val="en-US"/>
        </w:rPr>
        <w:t xml:space="preserve">Averaging </w:t>
      </w:r>
      <w:r w:rsidR="002C1F1A" w:rsidRPr="00254391">
        <w:rPr>
          <w:rFonts w:eastAsiaTheme="minorEastAsia"/>
          <w:lang w:val="en-US"/>
        </w:rPr>
        <w:t xml:space="preserve">these, </w:t>
      </w:r>
      <w:r w:rsidR="00D730AE" w:rsidRPr="00254391">
        <w:rPr>
          <w:rFonts w:eastAsiaTheme="minorEastAsia"/>
          <w:lang w:val="en-US"/>
        </w:rPr>
        <w:t xml:space="preserve">we find a mean </w:t>
      </w:r>
      <w:r w:rsidR="00010CA9" w:rsidRPr="00254391">
        <w:rPr>
          <w:rFonts w:eastAsiaTheme="minorEastAsia"/>
          <w:lang w:val="en-US"/>
        </w:rPr>
        <w:t>and standard deviation of</w:t>
      </w:r>
      <w:r w:rsidR="00F176B4" w:rsidRPr="00254391">
        <w:rPr>
          <w:rFonts w:eastAsiaTheme="minorEastAsia"/>
          <w:lang w:val="en-US"/>
        </w:rPr>
        <w:t xml:space="preserve"> </w:t>
      </w:r>
      <w:r w:rsidR="00174FEE" w:rsidRPr="00254391">
        <w:rPr>
          <w:rFonts w:eastAsiaTheme="minorEastAsia"/>
          <w:lang w:val="en-US"/>
        </w:rPr>
        <w:t>4.</w:t>
      </w:r>
      <w:r w:rsidR="003148B5">
        <w:rPr>
          <w:rFonts w:eastAsiaTheme="minorEastAsia"/>
          <w:lang w:val="en-US"/>
        </w:rPr>
        <w:t>3</w:t>
      </w:r>
      <w:r w:rsidR="00F176B4" w:rsidRPr="00254391">
        <w:rPr>
          <w:rFonts w:eastAsiaTheme="minorEastAsia"/>
          <w:lang w:val="en-US"/>
        </w:rPr>
        <w:t>±0.</w:t>
      </w:r>
      <w:r w:rsidR="003148B5">
        <w:rPr>
          <w:rFonts w:eastAsiaTheme="minorEastAsia"/>
          <w:lang w:val="en-US"/>
        </w:rPr>
        <w:t>2</w:t>
      </w:r>
      <w:r w:rsidR="00D730AE" w:rsidRPr="00254391">
        <w:rPr>
          <w:rFonts w:eastAsiaTheme="minorEastAsia"/>
          <w:lang w:val="en-US"/>
        </w:rPr>
        <w:t xml:space="preserve"> MPa.  </w:t>
      </w:r>
      <w:r w:rsidR="002C1F1A" w:rsidRPr="00254391">
        <w:rPr>
          <w:rFonts w:eastAsiaTheme="minorEastAsia"/>
          <w:lang w:val="en-US"/>
        </w:rPr>
        <w:t>Extended Data Figure 1 additionally includes data for samples after they have experienced 200 contacts. The correspondence of the Young’s modulus values before/after illustrates that the Young’s modulus does not change as a result of prior contacts</w:t>
      </w:r>
      <w:r w:rsidR="006313BA">
        <w:rPr>
          <w:rFonts w:eastAsiaTheme="minorEastAsia"/>
          <w:lang w:val="en-US"/>
        </w:rPr>
        <w:t>. We remark that with one batch of PDMS, we observed a mild cyclic hardening, but this was not reproducible.</w:t>
      </w:r>
      <w:r w:rsidR="002C1F1A" w:rsidRPr="00254391">
        <w:rPr>
          <w:rFonts w:eastAsiaTheme="minorEastAsia"/>
          <w:lang w:val="en-US"/>
        </w:rPr>
        <w:t xml:space="preserve"> </w:t>
      </w:r>
      <w:r w:rsidR="00D730AE" w:rsidRPr="00254391">
        <w:rPr>
          <w:rFonts w:eastAsiaTheme="minorEastAsia"/>
          <w:lang w:val="en-US"/>
        </w:rPr>
        <w:t xml:space="preserve">Considering the </w:t>
      </w:r>
      <w:r w:rsidR="009C3262" w:rsidRPr="00254391">
        <w:rPr>
          <w:rFonts w:eastAsiaTheme="minorEastAsia"/>
          <w:lang w:val="en-US"/>
        </w:rPr>
        <w:t>pressure</w:t>
      </w:r>
      <w:r w:rsidR="00D730AE" w:rsidRPr="00254391">
        <w:rPr>
          <w:rFonts w:eastAsiaTheme="minorEastAsia"/>
          <w:lang w:val="en-US"/>
        </w:rPr>
        <w:t xml:space="preserve"> </w:t>
      </w:r>
      <w:proofErr w:type="spellStart"/>
      <w:r w:rsidR="00D730AE" w:rsidRPr="00254391">
        <w:rPr>
          <w:rFonts w:eastAsiaTheme="minorEastAsia"/>
          <w:lang w:val="en-US"/>
        </w:rPr>
        <w:t>setpoint</w:t>
      </w:r>
      <w:proofErr w:type="spellEnd"/>
      <w:r w:rsidR="00D730AE" w:rsidRPr="00254391">
        <w:rPr>
          <w:rFonts w:eastAsiaTheme="minorEastAsia"/>
          <w:lang w:val="en-US"/>
        </w:rPr>
        <w:t xml:space="preserve"> in the contact charging experiments is </w:t>
      </w:r>
      <w:r w:rsidR="00174FEE" w:rsidRPr="00254391">
        <w:rPr>
          <w:rFonts w:eastAsiaTheme="minorEastAsia"/>
          <w:lang w:val="en-US"/>
        </w:rPr>
        <w:t>45</w:t>
      </w:r>
      <w:r w:rsidR="00D730AE" w:rsidRPr="00254391">
        <w:rPr>
          <w:rFonts w:eastAsiaTheme="minorEastAsia"/>
          <w:lang w:val="en-US"/>
        </w:rPr>
        <w:t xml:space="preserve"> </w:t>
      </w:r>
      <w:proofErr w:type="spellStart"/>
      <w:r w:rsidR="009666FB" w:rsidRPr="00254391">
        <w:rPr>
          <w:rFonts w:eastAsiaTheme="minorEastAsia"/>
          <w:lang w:val="en-US"/>
        </w:rPr>
        <w:t>k</w:t>
      </w:r>
      <w:r w:rsidR="00D730AE" w:rsidRPr="00254391">
        <w:rPr>
          <w:rFonts w:eastAsiaTheme="minorEastAsia"/>
          <w:lang w:val="en-US"/>
        </w:rPr>
        <w:t>Pa</w:t>
      </w:r>
      <w:proofErr w:type="spellEnd"/>
      <w:r w:rsidR="00D730AE" w:rsidRPr="00254391">
        <w:rPr>
          <w:rFonts w:eastAsiaTheme="minorEastAsia"/>
          <w:lang w:val="en-US"/>
        </w:rPr>
        <w:t xml:space="preserve">, the </w:t>
      </w:r>
      <w:r w:rsidR="00010CA9" w:rsidRPr="00254391">
        <w:rPr>
          <w:rFonts w:eastAsiaTheme="minorEastAsia"/>
          <w:lang w:val="en-US"/>
        </w:rPr>
        <w:t xml:space="preserve">macroscopic </w:t>
      </w:r>
      <w:r w:rsidR="00D730AE" w:rsidRPr="00254391">
        <w:rPr>
          <w:rFonts w:eastAsiaTheme="minorEastAsia"/>
          <w:lang w:val="en-US"/>
        </w:rPr>
        <w:t>strain</w:t>
      </w:r>
      <w:r w:rsidR="002C1F1A" w:rsidRPr="00254391">
        <w:rPr>
          <w:rFonts w:eastAsiaTheme="minorEastAsia"/>
          <w:lang w:val="en-US"/>
        </w:rPr>
        <w:t xml:space="preserve"> in the CE experiments</w:t>
      </w:r>
      <w:r w:rsidR="00D730AE" w:rsidRPr="00254391">
        <w:rPr>
          <w:rFonts w:eastAsiaTheme="minorEastAsia"/>
          <w:lang w:val="en-US"/>
        </w:rPr>
        <w:t xml:space="preserve"> is </w:t>
      </w:r>
      <w:r w:rsidR="00265EB6" w:rsidRPr="00254391">
        <w:rPr>
          <w:rFonts w:eastAsiaTheme="minorEastAsia"/>
          <w:lang w:val="en-US"/>
        </w:rPr>
        <w:t xml:space="preserve">approximately </w:t>
      </w:r>
      <w:r w:rsidR="009C3262" w:rsidRPr="00254391">
        <w:rPr>
          <w:rFonts w:eastAsiaTheme="minorEastAsia"/>
          <w:lang w:val="en-US"/>
        </w:rPr>
        <w:t>1</w:t>
      </w:r>
      <w:r w:rsidR="00D730AE" w:rsidRPr="00254391">
        <w:rPr>
          <w:rFonts w:eastAsiaTheme="minorEastAsia"/>
          <w:lang w:val="en-US"/>
        </w:rPr>
        <w:t xml:space="preserve">%. According to our own data and several other sources in the </w:t>
      </w:r>
      <w:r w:rsidR="002C1F1A" w:rsidRPr="00254391">
        <w:rPr>
          <w:rFonts w:eastAsiaTheme="minorEastAsia"/>
          <w:lang w:val="en-US"/>
        </w:rPr>
        <w:t>literature</w:t>
      </w:r>
      <w:r w:rsidR="002C1F1A" w:rsidRPr="00254391">
        <w:rPr>
          <w:rFonts w:eastAsiaTheme="minorEastAsia"/>
          <w:lang w:val="en-US"/>
        </w:rPr>
        <w:fldChar w:fldCharType="begin"/>
      </w:r>
      <w:r w:rsidR="007B602C">
        <w:rPr>
          <w:rFonts w:eastAsiaTheme="minorEastAsia"/>
          <w:lang w:val="en-US"/>
        </w:rPr>
        <w:instrText xml:space="preserve"> ADDIN ZOTERO_ITEM CSL_CITATION {"citationID":"emCxWgA0","properties":{"formattedCitation":"\\super 1\\uc0\\u8211{}3\\nosupersub{}","plainCitation":"1–3","noteIndex":0},"citationItems":[{"id":1484,"uris":["http://zotero.org/groups/5466862/items/VRN6FJM4"],"itemData":{"id":1484,"type":"article-journal","abstract":"Abstract\n            Due to its simple curing and very good mechanical properties, Sylgard 184 belongs to the most widely and frequently used silicones in many industrial applications such as microfluidics and microengineering. On top of that its mechanical properties are further controllable through the curing temperature, which may vary from ambient temperature up to 200 °C; the lower the curing temperature the lower the mechanical properties (Johnston et al. in J Micromech Microeng 24:7, 2014. 10.1088/0960-1317/24/3/035017). However, certain specialised application may require even a softer binder than the low curing temperature allows for. In this study we show that this softening can be achieved with the addition of silicone oil into the Sylgard 184 system. To this end a series of Sylgard 184 samples with varying silicone oil concentrations were prepared and tested (tensile test, rotational rheometer) in order to determine how curing temperature and silicone oil content affect mechanical properties. Curing reaction of the polymer system was found to observe 2nd order kinetics in all cases, regardless the oil concentration used. The results suggest that within the tested concentration range the silicone oil addition can be used to soften commercial silicone Sylgard 184.","container-title":"Scientific Reports","DOI":"10.1038/s41598-021-98694-2","ISSN":"2045-2322","issue":"1","journalAbbreviation":"Sci Rep","language":"en","page":"19090","source":"DOI.org (Crossref)","title":"Mechanical properties of bulk Sylgard 184 and its extension with silicone oil","volume":"11","author":[{"family":"Moučka","given":"R."},{"family":"Sedlačík","given":"M."},{"family":"Osička","given":"J."},{"family":"Pata","given":"V."}],"issued":{"date-parts":[["2021",9,27]]}}},{"id":1483,"uris":["http://zotero.org/groups/5466862/items/WHWYDKRF"],"itemData":{"id":1483,"type":"article-journal","abstract":"Polydimethylsiloxane (PDMS) elastomers are extensively used for soft lithographic replication of microstructures in microﬂuidic and micro-engineering applications. Elastomeric microstructures are commonly required to fulﬁl an explicit mechanical role and accordingly their mechanical properties can critically affect device performance. The mechanical properties of elastomers are known to vary with both curing and operational temperatures. However, even for the elastomer most commonly employed in microﬂuidic applications, Sylgard 184, only a very limited range of data exists regarding the variation in mechanical properties of bulk PDMS with curing temperature. We report an investigation of the variation in the mechanical properties of bulk Sylgard 184 with curing temperature, over the range 25 ◦C to 200 ◦C. PDMS samples for tensile and compressive testing were fabricated according to ASTM standards. Data obtained indicates variation in mechanical properties due to curing temperature for Young’s modulus of 1.32–2.97 MPa, ultimate tensile strength of 3.51–7.65 MPa, compressive modulus of 117.8–186.9 MPa and ultimate compressive strength of 28.4–51.7 GPa in a range up to 40% strain and hardness of 44–54 ShA.","container-title":"Journal of Micromechanics and Microengineering","DOI":"10.1088/0960-1317/24/3/035017","ISSN":"0960-1317, 1361-6439","issue":"3","journalAbbreviation":"J. Micromech. Microeng.","language":"en","license":"http://iopscience.iop.org/info/page/text-and-data-mining","page":"035017","source":"DOI.org (Crossref)","title":"Mechanical characterization of bulk Sylgard 184 for microfluidics and microengineering","volume":"24","author":[{"family":"Johnston","given":"I D"},{"family":"McCluskey","given":"D K"},{"family":"Tan","given":"C K L"},{"family":"Tracey","given":"M C"}],"issued":{"date-parts":[["2014",3,1]]}}},{"id":1482,"uris":["http://zotero.org/groups/5466862/items/SKVNQHEJ"],"itemData":{"id":1482,"type":"article-journal","abstract":"ABSTRACT\n            \n              Commercial silicone elastomers are commonly used in soft materials research due to their easily tunable mechanical properties. However, conventional polydimethylsiloxane (PDMS) elastomers with moduli below </w:instrText>
      </w:r>
      <w:r w:rsidR="007B602C">
        <w:rPr>
          <w:rFonts w:ascii="Cambria Math" w:eastAsiaTheme="minorEastAsia" w:hAnsi="Cambria Math" w:cs="Cambria Math"/>
          <w:lang w:val="en-US"/>
        </w:rPr>
        <w:instrText>∼</w:instrText>
      </w:r>
      <w:r w:rsidR="007B602C">
        <w:rPr>
          <w:rFonts w:eastAsiaTheme="minorEastAsia"/>
          <w:lang w:val="en-US"/>
        </w:rPr>
        <w:instrText xml:space="preserve">100 kPa contain uncrosslinked free molecules, which play a significant role in their behavior. To utilize these materials, it is important to quantify what role these free molecules play in the mechanical response before and after their removal. We present a simple and inexpensive extraction method that enables the removal of free molecules from a lightly crosslinked sheet of Sylgard 184, a commercially available PDMS elastomer. The materials can contain a majority of free molecules yet maintain a thin and flat geometry without fractures after extraction. Subsequently, we compare the modulus, maximum stretchability, and hysteresis behavior with mixing ratios ranging from 60:1 to 30:1, before and after extraction. We show that the modulus, maximum stretchability, and dissipation increase upon extraction. Moreover, our approach offers a route to prepare crosslinked silicone elastomers with a modulus as low as </w:instrText>
      </w:r>
      <w:r w:rsidR="007B602C">
        <w:rPr>
          <w:rFonts w:ascii="Cambria Math" w:eastAsiaTheme="minorEastAsia" w:hAnsi="Cambria Math" w:cs="Cambria Math"/>
          <w:lang w:val="en-US"/>
        </w:rPr>
        <w:instrText>∼</w:instrText>
      </w:r>
      <w:r w:rsidR="007B602C">
        <w:rPr>
          <w:rFonts w:eastAsiaTheme="minorEastAsia"/>
          <w:lang w:val="en-US"/>
        </w:rPr>
        <w:instrText xml:space="preserve">20 kPa without free molecules from a commercially available kit. © 2020 Wiley Periodicals, Inc. J. Polym. Sci.\n              2020\n              ,\n              58\n              , 343–351","container-title":"Journal of Polymer Science","DOI":"10.1002/pol.20190032","ISSN":"2642-4150, 2642-4169","issue":"2","journalAbbreviation":"Journal of Polymer Science","language":"en","page":"343-351","source":"DOI.org (Crossref)","title":"Extracting uncrosslinked material from low modulus sylgard 184 and the effect on mechanical properties","volume":"58","author":[{"family":"Glover","given":"Justin D."},{"family":"McLaughlin","given":"Colbi E."},{"family":"McFarland","given":"Mary K."},{"family":"Pham","given":"Jonathan T."}],"issued":{"date-parts":[["2020",1,15]]}}}],"schema":"https://github.com/citation-style-language/schema/raw/master/csl-citation.json"} </w:instrText>
      </w:r>
      <w:r w:rsidR="002C1F1A" w:rsidRPr="00254391">
        <w:rPr>
          <w:rFonts w:eastAsiaTheme="minorEastAsia"/>
          <w:lang w:val="en-US"/>
        </w:rPr>
        <w:fldChar w:fldCharType="separate"/>
      </w:r>
      <w:r w:rsidR="002C1F1A" w:rsidRPr="00254391">
        <w:rPr>
          <w:vertAlign w:val="superscript"/>
        </w:rPr>
        <w:t>1–3</w:t>
      </w:r>
      <w:r w:rsidR="002C1F1A" w:rsidRPr="00254391">
        <w:rPr>
          <w:rFonts w:eastAsiaTheme="minorEastAsia"/>
          <w:lang w:val="en-US"/>
        </w:rPr>
        <w:fldChar w:fldCharType="end"/>
      </w:r>
      <w:r w:rsidR="002C1F1A" w:rsidRPr="00254391">
        <w:rPr>
          <w:rFonts w:eastAsiaTheme="minorEastAsia"/>
          <w:lang w:val="en-US"/>
        </w:rPr>
        <w:t>,</w:t>
      </w:r>
      <w:r w:rsidR="00D730AE" w:rsidRPr="00254391">
        <w:rPr>
          <w:rFonts w:eastAsiaTheme="minorEastAsia"/>
          <w:lang w:val="en-US"/>
        </w:rPr>
        <w:t xml:space="preserve"> the linear elastic range for </w:t>
      </w:r>
      <w:r w:rsidR="00010CA9" w:rsidRPr="00254391">
        <w:rPr>
          <w:rFonts w:eastAsiaTheme="minorEastAsia"/>
          <w:lang w:val="en-US"/>
        </w:rPr>
        <w:t>similarly prepared PDMS</w:t>
      </w:r>
      <w:r w:rsidR="00D730AE" w:rsidRPr="00254391">
        <w:rPr>
          <w:rFonts w:eastAsiaTheme="minorEastAsia"/>
          <w:lang w:val="en-US"/>
        </w:rPr>
        <w:t xml:space="preserve"> is</w:t>
      </w:r>
      <w:r w:rsidR="002C1F1A" w:rsidRPr="00254391">
        <w:rPr>
          <w:rFonts w:eastAsiaTheme="minorEastAsia"/>
          <w:lang w:val="en-US"/>
        </w:rPr>
        <w:t xml:space="preserve"> up</w:t>
      </w:r>
      <w:r w:rsidR="00D730AE" w:rsidRPr="00254391">
        <w:rPr>
          <w:rFonts w:eastAsiaTheme="minorEastAsia"/>
          <w:lang w:val="en-US"/>
        </w:rPr>
        <w:t xml:space="preserve"> </w:t>
      </w:r>
      <w:r w:rsidR="009666FB" w:rsidRPr="00254391">
        <w:rPr>
          <w:rFonts w:eastAsiaTheme="minorEastAsia"/>
          <w:lang w:val="en-US"/>
        </w:rPr>
        <w:t>10-20</w:t>
      </w:r>
      <w:r w:rsidR="00D730AE" w:rsidRPr="00254391">
        <w:rPr>
          <w:rFonts w:eastAsiaTheme="minorEastAsia"/>
          <w:lang w:val="en-US"/>
        </w:rPr>
        <w:t>%</w:t>
      </w:r>
      <w:r w:rsidR="002C1F1A" w:rsidRPr="00254391">
        <w:rPr>
          <w:rFonts w:eastAsiaTheme="minorEastAsia"/>
          <w:lang w:val="en-US"/>
        </w:rPr>
        <w:t xml:space="preserve"> strain</w:t>
      </w:r>
      <w:r w:rsidR="00D730AE" w:rsidRPr="00254391">
        <w:rPr>
          <w:rFonts w:eastAsiaTheme="minorEastAsia"/>
          <w:lang w:val="en-US"/>
        </w:rPr>
        <w:t xml:space="preserve">.  This indicates that samples are </w:t>
      </w:r>
      <w:r w:rsidR="00BA6DAD" w:rsidRPr="00254391">
        <w:rPr>
          <w:rFonts w:eastAsiaTheme="minorEastAsia"/>
          <w:lang w:val="en-US"/>
        </w:rPr>
        <w:t>nominally</w:t>
      </w:r>
      <w:r w:rsidR="00D730AE" w:rsidRPr="00254391">
        <w:rPr>
          <w:rFonts w:eastAsiaTheme="minorEastAsia"/>
          <w:lang w:val="en-US"/>
        </w:rPr>
        <w:t xml:space="preserve"> within the</w:t>
      </w:r>
      <w:r w:rsidR="002C1F1A" w:rsidRPr="00254391">
        <w:rPr>
          <w:rFonts w:eastAsiaTheme="minorEastAsia"/>
          <w:lang w:val="en-US"/>
        </w:rPr>
        <w:t xml:space="preserve"> </w:t>
      </w:r>
      <w:r w:rsidR="00D730AE" w:rsidRPr="00254391">
        <w:rPr>
          <w:rFonts w:eastAsiaTheme="minorEastAsia"/>
          <w:lang w:val="en-US"/>
        </w:rPr>
        <w:t xml:space="preserve">linear elastic </w:t>
      </w:r>
      <w:r w:rsidR="00BA6DAD" w:rsidRPr="00254391">
        <w:rPr>
          <w:rFonts w:eastAsiaTheme="minorEastAsia"/>
          <w:lang w:val="en-US"/>
        </w:rPr>
        <w:t>regime</w:t>
      </w:r>
      <w:r w:rsidR="00D730AE" w:rsidRPr="00254391">
        <w:rPr>
          <w:rFonts w:eastAsiaTheme="minorEastAsia"/>
          <w:lang w:val="en-US"/>
        </w:rPr>
        <w:t xml:space="preserve"> during </w:t>
      </w:r>
      <w:r w:rsidR="00010CA9" w:rsidRPr="00254391">
        <w:rPr>
          <w:rFonts w:eastAsiaTheme="minorEastAsia"/>
          <w:lang w:val="en-US"/>
        </w:rPr>
        <w:t xml:space="preserve">the </w:t>
      </w:r>
      <w:r w:rsidR="002C1F1A" w:rsidRPr="00254391">
        <w:rPr>
          <w:rFonts w:eastAsiaTheme="minorEastAsia"/>
          <w:lang w:val="en-US"/>
        </w:rPr>
        <w:t>CE</w:t>
      </w:r>
      <w:r w:rsidR="00D730AE" w:rsidRPr="00254391">
        <w:rPr>
          <w:rFonts w:eastAsiaTheme="minorEastAsia"/>
          <w:lang w:val="en-US"/>
        </w:rPr>
        <w:t xml:space="preserve"> experiments.</w:t>
      </w:r>
      <w:r w:rsidR="002C1F1A" w:rsidRPr="00254391">
        <w:rPr>
          <w:rFonts w:eastAsiaTheme="minorEastAsia"/>
          <w:lang w:val="en-US"/>
        </w:rPr>
        <w:t xml:space="preserve"> We point out however that, owing to the concentration of stresses on high-frequency features of surface roughness, the linear elastic regime might be exceed locally during contact. This could contribute in part to the observe</w:t>
      </w:r>
      <w:r w:rsidR="00A52315" w:rsidRPr="00254391">
        <w:rPr>
          <w:rFonts w:eastAsiaTheme="minorEastAsia"/>
          <w:lang w:val="en-US"/>
        </w:rPr>
        <w:t>d</w:t>
      </w:r>
      <w:r w:rsidR="002C1F1A" w:rsidRPr="00254391">
        <w:rPr>
          <w:rFonts w:eastAsiaTheme="minorEastAsia"/>
          <w:lang w:val="en-US"/>
        </w:rPr>
        <w:t xml:space="preserve"> high-frequency smoothing presented in Fig. 4h.  </w:t>
      </w:r>
    </w:p>
    <w:p w14:paraId="6E1BD008" w14:textId="3C08BE63" w:rsidR="0009146D" w:rsidRPr="00254391" w:rsidRDefault="0009146D" w:rsidP="00231B3B">
      <w:pPr>
        <w:rPr>
          <w:rFonts w:eastAsiaTheme="minorEastAsia"/>
          <w:lang w:val="en-US"/>
        </w:rPr>
      </w:pPr>
    </w:p>
    <w:p w14:paraId="5863EEC7" w14:textId="298CE203" w:rsidR="00D152F0" w:rsidRPr="00254391" w:rsidRDefault="0009146D" w:rsidP="0009146D">
      <w:pPr>
        <w:rPr>
          <w:b/>
        </w:rPr>
      </w:pPr>
      <w:r w:rsidRPr="00254391">
        <w:rPr>
          <w:b/>
        </w:rPr>
        <w:t>Humidity</w:t>
      </w:r>
      <w:r w:rsidR="00BD77DB" w:rsidRPr="00254391">
        <w:rPr>
          <w:rStyle w:val="CommentReference"/>
        </w:rPr>
        <w:t>-</w:t>
      </w:r>
      <w:r w:rsidRPr="00254391">
        <w:rPr>
          <w:b/>
        </w:rPr>
        <w:t xml:space="preserve">bias </w:t>
      </w:r>
      <w:r w:rsidR="00BD77DB" w:rsidRPr="00254391">
        <w:rPr>
          <w:b/>
        </w:rPr>
        <w:t>measurements</w:t>
      </w:r>
    </w:p>
    <w:p w14:paraId="6B515ABE" w14:textId="13702472" w:rsidR="0009146D" w:rsidRPr="00254391" w:rsidRDefault="0009146D" w:rsidP="0009146D">
      <w:r w:rsidRPr="00254391">
        <w:t xml:space="preserve">To probe </w:t>
      </w:r>
      <w:r w:rsidR="00483352" w:rsidRPr="00254391">
        <w:t xml:space="preserve">sensitivity </w:t>
      </w:r>
      <w:r w:rsidRPr="00254391">
        <w:t xml:space="preserve">to environmental history, we prepared 48 pristine samples with our regular procedure and stored half of them in a small chamber at </w:t>
      </w:r>
      <m:oMath>
        <m:r>
          <w:rPr>
            <w:rFonts w:ascii="Cambria Math" w:hAnsi="Cambria Math"/>
          </w:rPr>
          <m:t xml:space="preserve">90% </m:t>
        </m:r>
        <m:r>
          <m:rPr>
            <m:sty m:val="p"/>
          </m:rPr>
          <w:rPr>
            <w:rFonts w:ascii="Cambria Math" w:hAnsi="Cambria Math"/>
          </w:rPr>
          <m:t>RH</m:t>
        </m:r>
      </m:oMath>
      <w:r w:rsidRPr="00254391">
        <w:t xml:space="preserve"> for a period </w:t>
      </w:r>
      <w:r w:rsidRPr="00254391">
        <w:lastRenderedPageBreak/>
        <w:t xml:space="preserve">longer than a week. The remaining half was stored in the main chamber of the experiment at </w:t>
      </w:r>
      <m:oMath>
        <m:r>
          <w:rPr>
            <w:rFonts w:ascii="Cambria Math" w:hAnsi="Cambria Math"/>
          </w:rPr>
          <m:t xml:space="preserve">30% </m:t>
        </m:r>
        <m:r>
          <m:rPr>
            <m:sty m:val="p"/>
          </m:rPr>
          <w:rPr>
            <w:rFonts w:ascii="Cambria Math" w:hAnsi="Cambria Math"/>
          </w:rPr>
          <m:t>RH</m:t>
        </m:r>
      </m:oMath>
      <w:r w:rsidRPr="00254391">
        <w:t xml:space="preserve">. We then brought the high-humidity samples back to the main chamber and performed contact with these against the ‘normal’ samples. The data in Extended Data Figure 2 correspond to the charge acquired by the </w:t>
      </w:r>
      <w:r w:rsidR="00483352" w:rsidRPr="00254391">
        <w:t>‘</w:t>
      </w:r>
      <w:r w:rsidRPr="00254391">
        <w:t>high-humidity</w:t>
      </w:r>
      <w:proofErr w:type="gramStart"/>
      <w:r w:rsidR="00483352" w:rsidRPr="00254391">
        <w:t xml:space="preserve">’ </w:t>
      </w:r>
      <w:r w:rsidRPr="00254391">
        <w:t xml:space="preserve"> samples</w:t>
      </w:r>
      <w:proofErr w:type="gramEnd"/>
      <w:r w:rsidRPr="00254391">
        <w:t>. As can be seen, these charged systematically negatively. Even so, we can exclude time-dependent variations in environmental conditions as a cause for the s</w:t>
      </w:r>
      <w:r w:rsidR="00215F9D">
        <w:t xml:space="preserve">pontaneous ordering </w:t>
      </w:r>
      <w:r w:rsidRPr="00254391">
        <w:t xml:space="preserve">of the series due to the fact that ‘normal’ samples only ever experience the same environmental history, which is </w:t>
      </w:r>
      <w:r w:rsidR="00483352" w:rsidRPr="00254391">
        <w:t>tightly</w:t>
      </w:r>
      <w:r w:rsidRPr="00254391">
        <w:t xml:space="preserve"> regulated for the entirety of their lifetimes.  Additionally, </w:t>
      </w:r>
      <w:r w:rsidR="00483352" w:rsidRPr="00254391">
        <w:t>the observed</w:t>
      </w:r>
      <w:r w:rsidRPr="00254391">
        <w:t xml:space="preserve"> humidity bias is significantly smaller than the contact bias (Fig. 2b).</w:t>
      </w:r>
    </w:p>
    <w:p w14:paraId="53D1A97C" w14:textId="77777777" w:rsidR="00BF0239" w:rsidRPr="00254391" w:rsidRDefault="00BF0239" w:rsidP="00231B3B">
      <w:pPr>
        <w:rPr>
          <w:rFonts w:eastAsiaTheme="minorEastAsia"/>
          <w:lang w:val="en-US"/>
        </w:rPr>
      </w:pPr>
    </w:p>
    <w:p w14:paraId="07C24A39" w14:textId="77777777" w:rsidR="00D152F0" w:rsidRPr="00254391" w:rsidRDefault="00BF0239" w:rsidP="00231B3B">
      <w:pPr>
        <w:rPr>
          <w:b/>
        </w:rPr>
      </w:pPr>
      <w:r w:rsidRPr="00254391">
        <w:rPr>
          <w:b/>
        </w:rPr>
        <w:t xml:space="preserve">Time decay </w:t>
      </w:r>
    </w:p>
    <w:p w14:paraId="79FFA6C2" w14:textId="7410E95D" w:rsidR="00265EB6" w:rsidRPr="00254391" w:rsidRDefault="007D1F15" w:rsidP="00231B3B">
      <w:r w:rsidRPr="00254391">
        <w:t>We produce new pristine samples</w:t>
      </w:r>
      <w:r w:rsidR="00CD7FA9" w:rsidRPr="00254391">
        <w:t xml:space="preserve"> (A-N)</w:t>
      </w:r>
      <w:r w:rsidRPr="00254391">
        <w:t xml:space="preserve"> in order to investigate the time dependence of the contact bias. First, we bias sample A against sample B with 100 contacts. Then, we measure </w:t>
      </w:r>
      <m:oMath>
        <m:r>
          <m:rPr>
            <m:sty m:val="p"/>
          </m:rP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5</m:t>
            </m:r>
          </m:sub>
        </m:sSub>
      </m:oMath>
      <w:r w:rsidRPr="00254391">
        <w:t xml:space="preserve"> for A </w:t>
      </w:r>
      <w:r w:rsidR="00CD7FA9" w:rsidRPr="00254391">
        <w:t>a</w:t>
      </w:r>
      <w:r w:rsidRPr="00254391">
        <w:t xml:space="preserve">gainst C, D, E, and so on, with defined intervals of time. </w:t>
      </w:r>
      <w:r w:rsidR="00A0266D" w:rsidRPr="00254391">
        <w:t>This data is shown in Extended Data Figure 3, where</w:t>
      </w:r>
      <w:r w:rsidRPr="00254391">
        <w:t xml:space="preserve"> observe </w:t>
      </w:r>
      <w:r w:rsidR="00EB78B8" w:rsidRPr="00254391">
        <w:t>a slight decrease o</w:t>
      </w:r>
      <w:r w:rsidR="00FC536C" w:rsidRPr="00254391">
        <w:t>f</w:t>
      </w:r>
      <w:r w:rsidR="00EB78B8" w:rsidRPr="00254391">
        <w:t xml:space="preserve"> the bias</w:t>
      </w:r>
      <w:r w:rsidR="00FC536C" w:rsidRPr="00254391">
        <w:t xml:space="preserve"> over a period of days. However, the bias still is significantly larger than the scale of charge </w:t>
      </w:r>
      <w:proofErr w:type="gramStart"/>
      <w:r w:rsidR="00FC536C" w:rsidRPr="00254391">
        <w:t>transfer</w:t>
      </w:r>
      <w:proofErr w:type="gramEnd"/>
      <w:r w:rsidR="00FC536C" w:rsidRPr="00254391">
        <w:t xml:space="preserve"> between pristine samples (grey band in </w:t>
      </w:r>
      <w:r w:rsidR="00A0266D" w:rsidRPr="00254391">
        <w:t>Extended Data Figure 3</w:t>
      </w:r>
      <w:r w:rsidR="00FC536C" w:rsidRPr="00254391">
        <w:t xml:space="preserve">).  </w:t>
      </w:r>
    </w:p>
    <w:p w14:paraId="79698B5E" w14:textId="6F9B2035" w:rsidR="00BF0239" w:rsidRPr="00254391" w:rsidRDefault="00BF0239" w:rsidP="00231B3B">
      <w:pPr>
        <w:rPr>
          <w:rFonts w:eastAsiaTheme="minorEastAsia"/>
          <w:lang w:val="en-US"/>
        </w:rPr>
      </w:pPr>
    </w:p>
    <w:p w14:paraId="445AD823" w14:textId="77777777" w:rsidR="00D152F0" w:rsidRPr="00254391" w:rsidRDefault="009666FB" w:rsidP="009666FB">
      <w:pPr>
        <w:rPr>
          <w:b/>
        </w:rPr>
      </w:pPr>
      <w:r w:rsidRPr="00254391">
        <w:rPr>
          <w:b/>
        </w:rPr>
        <w:t xml:space="preserve">Forcing a cycle </w:t>
      </w:r>
    </w:p>
    <w:p w14:paraId="141FF05C" w14:textId="71257087" w:rsidR="009666FB" w:rsidRPr="00254391" w:rsidRDefault="009666FB" w:rsidP="009666FB">
      <w:r w:rsidRPr="00254391">
        <w:t xml:space="preserve">In the same way that we can force the appearance of a series (Fig </w:t>
      </w:r>
      <w:r w:rsidR="001D0734" w:rsidRPr="00254391">
        <w:t>3</w:t>
      </w:r>
      <w:r w:rsidRPr="00254391">
        <w:t xml:space="preserve">d), we can also force the appearance of a cycle. </w:t>
      </w:r>
      <w:r w:rsidR="00FC536C" w:rsidRPr="00254391">
        <w:t>For</w:t>
      </w:r>
      <w:r w:rsidRPr="00254391">
        <w:t xml:space="preserve"> this purpose, we produce new pristine samples E, F, G and X. We start by biasing sample E against X with 25 contacts. Then we bias sample F against sample E with 25 contacts while measuring </w:t>
      </w:r>
      <m:oMath>
        <m:r>
          <m:rPr>
            <m:sty m:val="p"/>
          </m:rP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5</m:t>
            </m:r>
          </m:sub>
        </m:sSub>
      </m:oMath>
      <w:r w:rsidRPr="00254391">
        <w:t xml:space="preserve">. Then we bias sample G against sample F with 150 contacts while measuring </w:t>
      </w:r>
      <m:oMath>
        <m:r>
          <m:rPr>
            <m:sty m:val="p"/>
          </m:rP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5</m:t>
            </m:r>
          </m:sub>
        </m:sSub>
      </m:oMath>
      <w:r w:rsidRPr="00254391">
        <w:t xml:space="preserve">. Finally, we measure </w:t>
      </w:r>
      <m:oMath>
        <m:r>
          <m:rPr>
            <m:sty m:val="p"/>
          </m:rP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5</m:t>
            </m:r>
          </m:sub>
        </m:sSub>
      </m:oMath>
      <w:r w:rsidRPr="00254391">
        <w:t xml:space="preserve"> between G and E. The result is the cycle shown in E</w:t>
      </w:r>
      <w:proofErr w:type="spellStart"/>
      <w:r w:rsidR="001D0734" w:rsidRPr="00254391">
        <w:t>xtended</w:t>
      </w:r>
      <w:proofErr w:type="spellEnd"/>
      <w:r w:rsidR="001D0734" w:rsidRPr="00254391">
        <w:t xml:space="preserve"> Data Figure</w:t>
      </w:r>
      <w:r w:rsidRPr="00254391">
        <w:t xml:space="preserve"> </w:t>
      </w:r>
      <w:r w:rsidR="00A0266D" w:rsidRPr="00254391">
        <w:t>4</w:t>
      </w:r>
      <w:r w:rsidRPr="00254391">
        <w:t>.</w:t>
      </w:r>
    </w:p>
    <w:p w14:paraId="3B3BE16A" w14:textId="30CD015D" w:rsidR="00513DE5" w:rsidRPr="00254391" w:rsidRDefault="00513DE5" w:rsidP="00231B3B">
      <w:pPr>
        <w:rPr>
          <w:rFonts w:eastAsiaTheme="minorEastAsia"/>
        </w:rPr>
      </w:pPr>
    </w:p>
    <w:p w14:paraId="66449C1A" w14:textId="589902D3" w:rsidR="00D152F0" w:rsidRPr="00254391" w:rsidRDefault="00BD77DB" w:rsidP="00AF3C20">
      <w:pPr>
        <w:rPr>
          <w:b/>
        </w:rPr>
      </w:pPr>
      <w:r w:rsidRPr="00254391">
        <w:rPr>
          <w:b/>
        </w:rPr>
        <w:t>Inability to force a series</w:t>
      </w:r>
      <w:r w:rsidR="00010CA9" w:rsidRPr="00254391">
        <w:rPr>
          <w:b/>
        </w:rPr>
        <w:t xml:space="preserve"> with </w:t>
      </w:r>
      <w:r w:rsidR="006D306D">
        <w:rPr>
          <w:b/>
        </w:rPr>
        <w:t>staggered contact sequence</w:t>
      </w:r>
      <w:bookmarkStart w:id="0" w:name="_GoBack"/>
      <w:bookmarkEnd w:id="0"/>
      <w:r w:rsidR="001D5D33" w:rsidRPr="00254391">
        <w:rPr>
          <w:b/>
        </w:rPr>
        <w:t xml:space="preserve"> </w:t>
      </w:r>
    </w:p>
    <w:p w14:paraId="0B87E46D" w14:textId="67D12966" w:rsidR="00010CA9" w:rsidRPr="00254391" w:rsidRDefault="001D5D33" w:rsidP="00AF3C20">
      <w:r w:rsidRPr="00254391">
        <w:t xml:space="preserve">With the same samples that we used for forcing </w:t>
      </w:r>
      <w:r w:rsidR="00C95CE9" w:rsidRPr="00254391">
        <w:t>the alphabetical</w:t>
      </w:r>
      <w:r w:rsidRPr="00254391">
        <w:t xml:space="preserve"> series (Fig. </w:t>
      </w:r>
      <w:r w:rsidR="001D0734" w:rsidRPr="00254391">
        <w:t>3</w:t>
      </w:r>
      <w:r w:rsidR="00CD7FA9" w:rsidRPr="00254391">
        <w:t>d</w:t>
      </w:r>
      <w:r w:rsidRPr="00254391">
        <w:t>), we</w:t>
      </w:r>
      <w:r w:rsidR="00513DE5" w:rsidRPr="00254391">
        <w:t xml:space="preserve"> subsequently</w:t>
      </w:r>
      <w:r w:rsidRPr="00254391">
        <w:t xml:space="preserve"> </w:t>
      </w:r>
      <w:r w:rsidR="00BF0239" w:rsidRPr="00254391">
        <w:t xml:space="preserve">measure </w:t>
      </w:r>
      <m:oMath>
        <m:r>
          <m:rPr>
            <m:sty m:val="p"/>
          </m:rP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5</m:t>
            </m:r>
          </m:sub>
        </m:sSub>
      </m:oMath>
      <w:r w:rsidR="00BF0239" w:rsidRPr="00254391">
        <w:t xml:space="preserve"> for all pair combinations again</w:t>
      </w:r>
      <w:r w:rsidR="00513DE5" w:rsidRPr="00254391">
        <w:t>,</w:t>
      </w:r>
      <w:r w:rsidR="00BF0239" w:rsidRPr="00254391">
        <w:t xml:space="preserve"> but this time</w:t>
      </w:r>
      <w:r w:rsidRPr="00254391">
        <w:t xml:space="preserve"> using </w:t>
      </w:r>
      <w:r w:rsidR="00513DE5" w:rsidRPr="00254391">
        <w:t>the</w:t>
      </w:r>
      <w:r w:rsidR="006D306D">
        <w:t xml:space="preserve"> staggered contact sequence</w:t>
      </w:r>
      <w:r w:rsidR="00513DE5" w:rsidRPr="00254391">
        <w:t xml:space="preserve"> corresponding to the series in Fig. 1</w:t>
      </w:r>
      <w:r w:rsidR="001D0734" w:rsidRPr="00254391">
        <w:t xml:space="preserve"> (see Methods)</w:t>
      </w:r>
      <w:r w:rsidR="00BF0239" w:rsidRPr="00254391">
        <w:t>.</w:t>
      </w:r>
      <w:r w:rsidRPr="00254391">
        <w:t xml:space="preserve"> As expected, the result is </w:t>
      </w:r>
      <w:r w:rsidRPr="00254391">
        <w:rPr>
          <w:i/>
          <w:iCs/>
        </w:rPr>
        <w:t>not</w:t>
      </w:r>
      <w:r w:rsidRPr="00254391">
        <w:t xml:space="preserve"> </w:t>
      </w:r>
      <w:r w:rsidR="00FC536C" w:rsidRPr="00254391">
        <w:t xml:space="preserve">the alphabetical series as in the main draft, nor is it even a </w:t>
      </w:r>
      <w:r w:rsidRPr="00254391">
        <w:t>perfect series (</w:t>
      </w:r>
      <w:r w:rsidR="001D0734" w:rsidRPr="00254391">
        <w:t>Extended Data Figure</w:t>
      </w:r>
      <w:r w:rsidR="00A0266D" w:rsidRPr="00254391">
        <w:t xml:space="preserve"> 5</w:t>
      </w:r>
      <w:r w:rsidRPr="00254391">
        <w:t>)</w:t>
      </w:r>
      <w:r w:rsidR="00FC536C" w:rsidRPr="00254391">
        <w:t>.  The alphabetical series was force</w:t>
      </w:r>
      <w:r w:rsidR="00A0266D" w:rsidRPr="00254391">
        <w:t>d</w:t>
      </w:r>
      <w:r w:rsidR="00FC536C" w:rsidRPr="00254391">
        <w:t xml:space="preserve"> by always ensuring </w:t>
      </w:r>
      <w:r w:rsidR="00A0266D" w:rsidRPr="00254391">
        <w:t>certain</w:t>
      </w:r>
      <w:r w:rsidR="00FC536C" w:rsidRPr="00254391">
        <w:t xml:space="preserve"> samples had more contacts than others. Without this artifice, we can no longer predict the </w:t>
      </w:r>
      <w:r w:rsidR="00513DE5" w:rsidRPr="00254391">
        <w:t>outcomes</w:t>
      </w:r>
      <w:r w:rsidR="00FC536C" w:rsidRPr="00254391">
        <w:t xml:space="preserve"> of charge transfer.  </w:t>
      </w:r>
    </w:p>
    <w:p w14:paraId="739C5CF5" w14:textId="77777777" w:rsidR="00D152F0" w:rsidRPr="00254391" w:rsidRDefault="00D152F0" w:rsidP="00AF3C20"/>
    <w:p w14:paraId="42D51E1B" w14:textId="7389CF7C" w:rsidR="00010CA9" w:rsidRPr="00254391" w:rsidRDefault="00010CA9" w:rsidP="00AF3C20">
      <w:pPr>
        <w:rPr>
          <w:bCs/>
        </w:rPr>
      </w:pPr>
      <w:r w:rsidRPr="00254391">
        <w:rPr>
          <w:b/>
        </w:rPr>
        <w:t>Additional surface</w:t>
      </w:r>
      <w:r w:rsidR="00BD77DB" w:rsidRPr="00254391">
        <w:rPr>
          <w:b/>
        </w:rPr>
        <w:t>-</w:t>
      </w:r>
      <w:r w:rsidRPr="00254391">
        <w:rPr>
          <w:b/>
        </w:rPr>
        <w:t>sensitive measurements</w:t>
      </w:r>
    </w:p>
    <w:p w14:paraId="235FA173" w14:textId="1A19EE95" w:rsidR="004C3B3F" w:rsidRPr="00254391" w:rsidRDefault="00010CA9" w:rsidP="004C3B3F">
      <w:pPr>
        <w:rPr>
          <w:bCs/>
        </w:rPr>
      </w:pPr>
      <w:r w:rsidRPr="00254391">
        <w:rPr>
          <w:bCs/>
        </w:rPr>
        <w:t xml:space="preserve">In the main text, we present data from several surface sensitive techniques </w:t>
      </w:r>
      <w:r w:rsidR="00EB6DCF" w:rsidRPr="00254391">
        <w:rPr>
          <w:bCs/>
        </w:rPr>
        <w:t>in</w:t>
      </w:r>
      <w:r w:rsidR="00513DE5" w:rsidRPr="00254391">
        <w:rPr>
          <w:bCs/>
        </w:rPr>
        <w:t xml:space="preserve"> an</w:t>
      </w:r>
      <w:r w:rsidRPr="00254391">
        <w:rPr>
          <w:bCs/>
        </w:rPr>
        <w:t xml:space="preserve"> </w:t>
      </w:r>
      <w:r w:rsidR="004C3B3F" w:rsidRPr="00254391">
        <w:rPr>
          <w:bCs/>
        </w:rPr>
        <w:t xml:space="preserve">attempt to detect differences between pristine samples and ones that have experienced 200 contacts. </w:t>
      </w:r>
      <w:r w:rsidRPr="00254391">
        <w:rPr>
          <w:bCs/>
        </w:rPr>
        <w:t>In all cases</w:t>
      </w:r>
      <w:r w:rsidR="00D152F0" w:rsidRPr="00254391">
        <w:rPr>
          <w:bCs/>
        </w:rPr>
        <w:t xml:space="preserve"> aside from the power spectrum of the roughness (Fig. 4h)</w:t>
      </w:r>
      <w:r w:rsidRPr="00254391">
        <w:rPr>
          <w:bCs/>
        </w:rPr>
        <w:t xml:space="preserve">, those tests showed no significant differences.  As a sanity check, </w:t>
      </w:r>
      <w:r w:rsidR="00EB6DCF" w:rsidRPr="00254391">
        <w:rPr>
          <w:bCs/>
        </w:rPr>
        <w:t xml:space="preserve">we </w:t>
      </w:r>
      <w:r w:rsidRPr="00254391">
        <w:rPr>
          <w:bCs/>
        </w:rPr>
        <w:t>perform</w:t>
      </w:r>
      <w:r w:rsidR="004C3B3F" w:rsidRPr="00254391">
        <w:rPr>
          <w:bCs/>
        </w:rPr>
        <w:t>ed</w:t>
      </w:r>
      <w:r w:rsidRPr="00254391">
        <w:rPr>
          <w:bCs/>
        </w:rPr>
        <w:t xml:space="preserve"> </w:t>
      </w:r>
      <w:r w:rsidR="00D152F0" w:rsidRPr="00254391">
        <w:rPr>
          <w:bCs/>
        </w:rPr>
        <w:t xml:space="preserve">many </w:t>
      </w:r>
      <w:r w:rsidRPr="00254391">
        <w:rPr>
          <w:bCs/>
        </w:rPr>
        <w:t xml:space="preserve">more </w:t>
      </w:r>
      <w:r w:rsidR="00D152F0" w:rsidRPr="00254391">
        <w:rPr>
          <w:bCs/>
        </w:rPr>
        <w:t xml:space="preserve">such </w:t>
      </w:r>
      <w:r w:rsidRPr="00254391">
        <w:rPr>
          <w:bCs/>
        </w:rPr>
        <w:t xml:space="preserve">measurements with </w:t>
      </w:r>
      <w:r w:rsidR="00513DE5" w:rsidRPr="00254391">
        <w:rPr>
          <w:bCs/>
        </w:rPr>
        <w:t>additional</w:t>
      </w:r>
      <w:r w:rsidRPr="00254391">
        <w:rPr>
          <w:bCs/>
        </w:rPr>
        <w:t xml:space="preserve"> sets of samples: (a) ones that have experienced several thousand contacts, and (b) ones that have </w:t>
      </w:r>
      <w:r w:rsidR="004C3B3F" w:rsidRPr="00254391">
        <w:rPr>
          <w:bCs/>
        </w:rPr>
        <w:t>been</w:t>
      </w:r>
      <w:r w:rsidRPr="00254391">
        <w:rPr>
          <w:bCs/>
        </w:rPr>
        <w:t xml:space="preserve"> </w:t>
      </w:r>
      <w:r w:rsidR="004C3B3F" w:rsidRPr="00254391">
        <w:rPr>
          <w:bCs/>
        </w:rPr>
        <w:t>exposed</w:t>
      </w:r>
      <w:r w:rsidR="00D152F0" w:rsidRPr="00254391">
        <w:rPr>
          <w:bCs/>
        </w:rPr>
        <w:t xml:space="preserve"> for one minute</w:t>
      </w:r>
      <w:r w:rsidRPr="00254391">
        <w:rPr>
          <w:bCs/>
        </w:rPr>
        <w:t xml:space="preserve"> to a mild </w:t>
      </w:r>
      <w:r w:rsidR="000A3997" w:rsidRPr="00254391">
        <w:rPr>
          <w:bCs/>
        </w:rPr>
        <w:t xml:space="preserve">oxygen </w:t>
      </w:r>
      <w:r w:rsidRPr="00254391">
        <w:rPr>
          <w:bCs/>
        </w:rPr>
        <w:t xml:space="preserve">plasma </w:t>
      </w:r>
      <w:r w:rsidR="004C3B3F" w:rsidRPr="00254391">
        <w:rPr>
          <w:bCs/>
        </w:rPr>
        <w:t>(</w:t>
      </w:r>
      <w:r w:rsidR="000A3997" w:rsidRPr="00254391">
        <w:rPr>
          <w:bCs/>
        </w:rPr>
        <w:t>Harrick Plasma cleaner PDC-002-CE, RF power 45W</w:t>
      </w:r>
      <w:r w:rsidR="004C596D">
        <w:rPr>
          <w:bCs/>
        </w:rPr>
        <w:t>, duration 1 minute</w:t>
      </w:r>
      <w:r w:rsidR="004C3B3F" w:rsidRPr="00254391">
        <w:rPr>
          <w:bCs/>
        </w:rPr>
        <w:t>)</w:t>
      </w:r>
      <w:r w:rsidRPr="00254391">
        <w:rPr>
          <w:bCs/>
        </w:rPr>
        <w:t>.  The rational</w:t>
      </w:r>
      <w:r w:rsidR="00C241E5" w:rsidRPr="00254391">
        <w:rPr>
          <w:bCs/>
        </w:rPr>
        <w:t>e</w:t>
      </w:r>
      <w:r w:rsidRPr="00254391">
        <w:rPr>
          <w:bCs/>
        </w:rPr>
        <w:t xml:space="preserve"> behind (a) was to see if the differences in the samples could be made larger via more contacts.  The rational</w:t>
      </w:r>
      <w:r w:rsidR="00C241E5" w:rsidRPr="00254391">
        <w:rPr>
          <w:bCs/>
        </w:rPr>
        <w:t>e</w:t>
      </w:r>
      <w:r w:rsidRPr="00254391">
        <w:rPr>
          <w:bCs/>
        </w:rPr>
        <w:t xml:space="preserve"> behind (b) </w:t>
      </w:r>
      <w:r w:rsidR="004C3B3F" w:rsidRPr="00254391">
        <w:rPr>
          <w:bCs/>
        </w:rPr>
        <w:t>was to treat samples in a way</w:t>
      </w:r>
      <w:r w:rsidRPr="00254391">
        <w:rPr>
          <w:bCs/>
        </w:rPr>
        <w:t xml:space="preserve"> that would </w:t>
      </w:r>
      <w:r w:rsidR="00D152F0" w:rsidRPr="00254391">
        <w:rPr>
          <w:bCs/>
        </w:rPr>
        <w:t xml:space="preserve">subtly </w:t>
      </w:r>
      <w:r w:rsidRPr="00254391">
        <w:rPr>
          <w:bCs/>
        </w:rPr>
        <w:t xml:space="preserve">affect </w:t>
      </w:r>
      <w:r w:rsidR="004C3B3F" w:rsidRPr="00254391">
        <w:rPr>
          <w:bCs/>
        </w:rPr>
        <w:t>their</w:t>
      </w:r>
      <w:r w:rsidRPr="00254391">
        <w:rPr>
          <w:bCs/>
        </w:rPr>
        <w:t xml:space="preserve"> </w:t>
      </w:r>
      <w:r w:rsidR="00D152F0" w:rsidRPr="00254391">
        <w:rPr>
          <w:bCs/>
        </w:rPr>
        <w:t>elemental</w:t>
      </w:r>
      <w:r w:rsidRPr="00254391">
        <w:rPr>
          <w:bCs/>
        </w:rPr>
        <w:t xml:space="preserve">, molecular, and </w:t>
      </w:r>
      <w:r w:rsidR="00D152F0" w:rsidRPr="00254391">
        <w:rPr>
          <w:bCs/>
        </w:rPr>
        <w:t>physical</w:t>
      </w:r>
      <w:r w:rsidRPr="00254391">
        <w:rPr>
          <w:bCs/>
        </w:rPr>
        <w:t xml:space="preserve"> properties, hence</w:t>
      </w:r>
      <w:r w:rsidR="004C3B3F" w:rsidRPr="00254391">
        <w:rPr>
          <w:bCs/>
        </w:rPr>
        <w:t xml:space="preserve"> giving a</w:t>
      </w:r>
      <w:r w:rsidR="004C596D">
        <w:rPr>
          <w:bCs/>
        </w:rPr>
        <w:t xml:space="preserve"> benchmark </w:t>
      </w:r>
      <w:r w:rsidR="004C3B3F" w:rsidRPr="00254391">
        <w:rPr>
          <w:bCs/>
        </w:rPr>
        <w:t xml:space="preserve">for the kinds of small changes </w:t>
      </w:r>
      <w:r w:rsidR="00EB6DCF" w:rsidRPr="00254391">
        <w:rPr>
          <w:bCs/>
        </w:rPr>
        <w:t xml:space="preserve">that are </w:t>
      </w:r>
      <w:r w:rsidR="0075202D" w:rsidRPr="00254391">
        <w:rPr>
          <w:bCs/>
        </w:rPr>
        <w:t>detectable</w:t>
      </w:r>
      <w:r w:rsidR="004C3B3F" w:rsidRPr="00254391">
        <w:rPr>
          <w:bCs/>
        </w:rPr>
        <w:t xml:space="preserve">. </w:t>
      </w:r>
    </w:p>
    <w:p w14:paraId="1C740819" w14:textId="2A677156" w:rsidR="00D152F0" w:rsidRPr="00254391" w:rsidRDefault="00D152F0" w:rsidP="004C3B3F">
      <w:pPr>
        <w:rPr>
          <w:bCs/>
        </w:rPr>
      </w:pPr>
    </w:p>
    <w:p w14:paraId="5D73CA4E" w14:textId="6E75B1F8" w:rsidR="00D152F0" w:rsidRPr="00254391" w:rsidRDefault="00D152F0" w:rsidP="004C3B3F">
      <w:pPr>
        <w:rPr>
          <w:bCs/>
        </w:rPr>
      </w:pPr>
      <w:r w:rsidRPr="00254391">
        <w:rPr>
          <w:bCs/>
        </w:rPr>
        <w:t xml:space="preserve">Extended Data Figure 6 shows additional LEIS data for pristine, </w:t>
      </w:r>
      <w:r w:rsidR="00190087" w:rsidRPr="00254391">
        <w:rPr>
          <w:bCs/>
        </w:rPr>
        <w:t xml:space="preserve">200-contact, </w:t>
      </w:r>
      <w:r w:rsidRPr="00254391">
        <w:rPr>
          <w:bCs/>
        </w:rPr>
        <w:t xml:space="preserve">2000-contact, and plasma treated samples, where the different panels </w:t>
      </w:r>
      <w:r w:rsidR="00190087" w:rsidRPr="00254391">
        <w:rPr>
          <w:bCs/>
        </w:rPr>
        <w:t>correspond to</w:t>
      </w:r>
      <w:r w:rsidRPr="00254391">
        <w:rPr>
          <w:bCs/>
        </w:rPr>
        <w:t xml:space="preserve"> different depths in the sample as achieved by </w:t>
      </w:r>
      <w:r w:rsidR="00190087" w:rsidRPr="00254391">
        <w:rPr>
          <w:bCs/>
        </w:rPr>
        <w:t>ion ablation of the surface. At all depths</w:t>
      </w:r>
      <w:r w:rsidRPr="00254391">
        <w:rPr>
          <w:bCs/>
        </w:rPr>
        <w:t xml:space="preserve">, there are </w:t>
      </w:r>
      <w:r w:rsidRPr="00254391">
        <w:rPr>
          <w:bCs/>
        </w:rPr>
        <w:lastRenderedPageBreak/>
        <w:t>no significant differences between the pristine</w:t>
      </w:r>
      <w:r w:rsidR="00190087" w:rsidRPr="00254391">
        <w:rPr>
          <w:bCs/>
        </w:rPr>
        <w:t xml:space="preserve">, 200-contact, and </w:t>
      </w:r>
      <w:r w:rsidRPr="00254391">
        <w:rPr>
          <w:bCs/>
        </w:rPr>
        <w:t>2000-contact samples</w:t>
      </w:r>
      <w:r w:rsidR="00190087" w:rsidRPr="00254391">
        <w:rPr>
          <w:bCs/>
        </w:rPr>
        <w:t>.  We</w:t>
      </w:r>
      <w:r w:rsidRPr="00254391">
        <w:rPr>
          <w:bCs/>
        </w:rPr>
        <w:t xml:space="preserve"> </w:t>
      </w:r>
      <w:r w:rsidR="00190087" w:rsidRPr="00254391">
        <w:rPr>
          <w:bCs/>
        </w:rPr>
        <w:t xml:space="preserve">do however </w:t>
      </w:r>
      <w:r w:rsidRPr="00254391">
        <w:rPr>
          <w:bCs/>
        </w:rPr>
        <w:t>see large change</w:t>
      </w:r>
      <w:r w:rsidR="00190087" w:rsidRPr="00254391">
        <w:rPr>
          <w:bCs/>
        </w:rPr>
        <w:t>s</w:t>
      </w:r>
      <w:r w:rsidRPr="00254391">
        <w:rPr>
          <w:bCs/>
        </w:rPr>
        <w:t xml:space="preserve"> in the plasma</w:t>
      </w:r>
      <w:r w:rsidR="00190087" w:rsidRPr="00254391">
        <w:rPr>
          <w:bCs/>
        </w:rPr>
        <w:t>-treated samples</w:t>
      </w:r>
      <w:r w:rsidRPr="00254391">
        <w:rPr>
          <w:bCs/>
        </w:rPr>
        <w:t>, which</w:t>
      </w:r>
      <w:r w:rsidR="00190087" w:rsidRPr="00254391">
        <w:rPr>
          <w:bCs/>
        </w:rPr>
        <w:t xml:space="preserve"> for shallow depths</w:t>
      </w:r>
      <w:r w:rsidRPr="00254391">
        <w:rPr>
          <w:bCs/>
        </w:rPr>
        <w:t xml:space="preserve"> </w:t>
      </w:r>
      <w:r w:rsidR="00190087" w:rsidRPr="00254391">
        <w:rPr>
          <w:bCs/>
        </w:rPr>
        <w:t>have</w:t>
      </w:r>
      <w:r w:rsidRPr="00254391">
        <w:rPr>
          <w:bCs/>
        </w:rPr>
        <w:t xml:space="preserve"> significantly more oxygen</w:t>
      </w:r>
      <w:r w:rsidR="00190087" w:rsidRPr="00254391">
        <w:rPr>
          <w:bCs/>
        </w:rPr>
        <w:t xml:space="preserve">, </w:t>
      </w:r>
      <w:r w:rsidRPr="00254391">
        <w:rPr>
          <w:bCs/>
        </w:rPr>
        <w:t xml:space="preserve">most likely due to the addition of OH groups. </w:t>
      </w:r>
      <w:r w:rsidR="00190087" w:rsidRPr="00254391">
        <w:rPr>
          <w:bCs/>
        </w:rPr>
        <w:t>After approximately</w:t>
      </w:r>
      <w:r w:rsidRPr="00254391">
        <w:rPr>
          <w:bCs/>
        </w:rPr>
        <w:t xml:space="preserve"> 10 </w:t>
      </w:r>
      <w:r w:rsidR="00190087" w:rsidRPr="00254391">
        <w:rPr>
          <w:bCs/>
        </w:rPr>
        <w:t xml:space="preserve">atomic </w:t>
      </w:r>
      <w:r w:rsidRPr="00254391">
        <w:rPr>
          <w:bCs/>
        </w:rPr>
        <w:t>layers, the ratio of the O/Si in the plasma treated sample starts to approach the pristine case</w:t>
      </w:r>
      <w:r w:rsidR="00190087" w:rsidRPr="00254391">
        <w:rPr>
          <w:bCs/>
        </w:rPr>
        <w:t>.  Hence, even after 2000 contacts, the elemental composition of contacted samples is indistinguishable from pristine ones, and this is true for the outermost surface and several atomic layers into the bulk.</w:t>
      </w:r>
      <w:r w:rsidRPr="00254391">
        <w:rPr>
          <w:bCs/>
        </w:rPr>
        <w:t xml:space="preserve">   </w:t>
      </w:r>
    </w:p>
    <w:p w14:paraId="34395F78" w14:textId="1810597C" w:rsidR="00275376" w:rsidRPr="00254391" w:rsidRDefault="00275376" w:rsidP="004C3B3F">
      <w:pPr>
        <w:rPr>
          <w:bCs/>
        </w:rPr>
      </w:pPr>
    </w:p>
    <w:p w14:paraId="4645AA2F" w14:textId="2C7AA261" w:rsidR="00275376" w:rsidRPr="00254391" w:rsidRDefault="00275376" w:rsidP="004C3B3F">
      <w:pPr>
        <w:rPr>
          <w:bCs/>
        </w:rPr>
      </w:pPr>
      <w:r w:rsidRPr="00254391">
        <w:rPr>
          <w:bCs/>
        </w:rPr>
        <w:t xml:space="preserve">Extended Data Figure 7 probes the effect of 2000 contacts and plasma treatment on the molecular properties of sample surfaces.  Panel a compares the Raman spectra, which reveals no significant differences in all cases. Panel b shows SFG spectra for the same three types of samples.  In this case, the pristine and 2000 contact samples again appear identical, but differences appear in the plasma sample. These are consistent with a re-orientation and/or reduction in the methyl groups at the interface. The fact that these changes are observable in with SFG (which only probes the outermost molecular layer) but not with Raman (which probes several microns into the bulk) indicates plasma only alters a small (molecular scale) distance into the </w:t>
      </w:r>
      <w:r w:rsidR="0075202D" w:rsidRPr="00254391">
        <w:rPr>
          <w:bCs/>
        </w:rPr>
        <w:t>surface</w:t>
      </w:r>
      <w:r w:rsidRPr="00254391">
        <w:rPr>
          <w:bCs/>
        </w:rPr>
        <w:t>.  This is consistent with the changes seen in the LEIS data</w:t>
      </w:r>
      <w:r w:rsidR="0075202D" w:rsidRPr="00254391">
        <w:rPr>
          <w:bCs/>
        </w:rPr>
        <w:t>, where alterations in the oxygen concentration become less apparent deeper into the sample.</w:t>
      </w:r>
      <w:r w:rsidRPr="00254391">
        <w:rPr>
          <w:bCs/>
        </w:rPr>
        <w:t xml:space="preserve">  </w:t>
      </w:r>
    </w:p>
    <w:p w14:paraId="0E148DDC" w14:textId="77777777" w:rsidR="004C3B3F" w:rsidRPr="00254391" w:rsidRDefault="004C3B3F" w:rsidP="004C3B3F">
      <w:pPr>
        <w:rPr>
          <w:bCs/>
        </w:rPr>
      </w:pPr>
    </w:p>
    <w:p w14:paraId="151954D6" w14:textId="588D8DCC" w:rsidR="008020B1" w:rsidRPr="00254391" w:rsidRDefault="004C3B3F" w:rsidP="004C3B3F">
      <w:pPr>
        <w:rPr>
          <w:bCs/>
        </w:rPr>
      </w:pPr>
      <w:r w:rsidRPr="00254391">
        <w:rPr>
          <w:bCs/>
        </w:rPr>
        <w:t xml:space="preserve">Extended Data Figure </w:t>
      </w:r>
      <w:r w:rsidR="00CD1892" w:rsidRPr="00254391">
        <w:rPr>
          <w:bCs/>
        </w:rPr>
        <w:t>8</w:t>
      </w:r>
      <w:r w:rsidRPr="00254391">
        <w:rPr>
          <w:bCs/>
        </w:rPr>
        <w:t xml:space="preserve"> shows </w:t>
      </w:r>
      <w:r w:rsidR="008020B1" w:rsidRPr="00254391">
        <w:rPr>
          <w:bCs/>
        </w:rPr>
        <w:t>further</w:t>
      </w:r>
      <w:r w:rsidRPr="00254391">
        <w:rPr>
          <w:bCs/>
        </w:rPr>
        <w:t xml:space="preserve"> results from the SEM and AFM tests.</w:t>
      </w:r>
      <w:r w:rsidR="008020B1" w:rsidRPr="00254391">
        <w:rPr>
          <w:bCs/>
        </w:rPr>
        <w:t xml:space="preserve">  We observe that, visually, the SEM and AFM scans </w:t>
      </w:r>
      <w:r w:rsidR="003C7A43" w:rsidRPr="00254391">
        <w:rPr>
          <w:bCs/>
        </w:rPr>
        <w:t xml:space="preserve">for 2000-contacted samples are indistinguishable from pristine samples.  The plasma, on the other hand, has a visible </w:t>
      </w:r>
      <w:r w:rsidR="00C95CE9" w:rsidRPr="00254391">
        <w:rPr>
          <w:bCs/>
        </w:rPr>
        <w:t>e</w:t>
      </w:r>
      <w:r w:rsidR="003C7A43" w:rsidRPr="00254391">
        <w:rPr>
          <w:bCs/>
        </w:rPr>
        <w:t>ffect, rendering the AFM data noticeably depleted of high-frequency features. When we use the AFM to calculate power spectra, as in Fig. 4h, the situation becomes clearer.  The 2000-contacted sample is now even smoother at high frequencies than the 200-</w:t>
      </w:r>
      <w:r w:rsidR="003C7A43" w:rsidRPr="00254391">
        <w:rPr>
          <w:bCs/>
        </w:rPr>
        <w:lastRenderedPageBreak/>
        <w:t>contacted sample, consistent with a progression in high-frequency smoothing with the number of contacts.  The PSD of plasma-treated sample is significantly lower than all others, consistent with the fact that high-frequency features are visibly absent for its corresponding AFM image.</w:t>
      </w:r>
    </w:p>
    <w:p w14:paraId="1A767D53" w14:textId="4EB28EA7" w:rsidR="00D152F0" w:rsidRPr="00254391" w:rsidRDefault="00D152F0" w:rsidP="004C3B3F"/>
    <w:p w14:paraId="34C8338E" w14:textId="56126B6F" w:rsidR="00D152F0" w:rsidRPr="00254391" w:rsidRDefault="00D152F0" w:rsidP="00D152F0">
      <w:pPr>
        <w:rPr>
          <w:b/>
        </w:rPr>
      </w:pPr>
      <w:r w:rsidRPr="00254391">
        <w:rPr>
          <w:b/>
        </w:rPr>
        <w:t xml:space="preserve">Roughness-bias </w:t>
      </w:r>
      <w:r w:rsidR="00BD77DB" w:rsidRPr="00254391">
        <w:rPr>
          <w:b/>
        </w:rPr>
        <w:t>measurements</w:t>
      </w:r>
    </w:p>
    <w:p w14:paraId="33176AAB" w14:textId="69478311" w:rsidR="00D152F0" w:rsidRDefault="00D152F0" w:rsidP="004C3B3F">
      <w:r w:rsidRPr="00254391">
        <w:t>To probe for the effect of surface morphology, and in particular motivate the</w:t>
      </w:r>
      <w:r w:rsidR="003C7A43" w:rsidRPr="00254391">
        <w:t xml:space="preserve"> plausibility for</w:t>
      </w:r>
      <w:r w:rsidRPr="00254391">
        <w:t xml:space="preserve"> changes in roughness as </w:t>
      </w:r>
      <w:r w:rsidR="003C7A43" w:rsidRPr="00254391">
        <w:t xml:space="preserve">a precursor to the evolution of the TE </w:t>
      </w:r>
      <w:r w:rsidRPr="00254391">
        <w:t xml:space="preserve">series, we prepared 48 new samples with two distinct values of roughness. To create these from the same PDMS mixture, </w:t>
      </w:r>
      <w:r w:rsidR="003C7A43" w:rsidRPr="00254391">
        <w:t>we had to modify the usual fabrication protocol described in the Methods.  W</w:t>
      </w:r>
      <w:r w:rsidRPr="00254391">
        <w:t>e first prepared a glass Petri dish with half of its bottom inner surface roughened with hydrofluoric acid.</w:t>
      </w:r>
      <w:r w:rsidR="003C7A43" w:rsidRPr="00254391">
        <w:t xml:space="preserve">  The other half was untreated, hence extremely smooth.</w:t>
      </w:r>
      <w:r w:rsidRPr="00254391">
        <w:t xml:space="preserve"> We cleaned </w:t>
      </w:r>
      <w:r w:rsidR="003C7A43" w:rsidRPr="00254391">
        <w:t>the Petri dish</w:t>
      </w:r>
      <w:r w:rsidRPr="00254391">
        <w:t xml:space="preserve"> with multiple rinses in acetone, ethanol, and </w:t>
      </w:r>
      <w:proofErr w:type="spellStart"/>
      <w:r w:rsidR="007B602C">
        <w:t>Milli</w:t>
      </w:r>
      <w:proofErr w:type="spellEnd"/>
      <w:r w:rsidR="007B602C">
        <w:t xml:space="preserve">-Q® </w:t>
      </w:r>
      <w:r w:rsidRPr="00254391">
        <w:t>water.</w:t>
      </w:r>
      <w:r w:rsidR="007B602C">
        <w:t xml:space="preserve">  To prevent adhesion with PDMS, we dressed the dish with</w:t>
      </w:r>
      <w:r w:rsidRPr="00254391">
        <w:t xml:space="preserve"> </w:t>
      </w:r>
      <w:r w:rsidR="007B602C">
        <w:rPr>
          <w:lang w:val="en-US"/>
        </w:rPr>
        <w:t>a monolayer of hydrophobic molecules</w:t>
      </w:r>
      <w:r w:rsidR="007B602C">
        <w:rPr>
          <w:lang w:val="en-US"/>
        </w:rPr>
        <w:fldChar w:fldCharType="begin"/>
      </w:r>
      <w:r w:rsidR="007B602C">
        <w:rPr>
          <w:lang w:val="en-US"/>
        </w:rPr>
        <w:instrText xml:space="preserve"> ADDIN ZOTERO_ITEM CSL_CITATION {"citationID":"h077QItm","properties":{"formattedCitation":"\\super 4\\nosupersub{}","plainCitation":"4","noteIndex":0},"citationItems":[{"id":1403,"uris":["http://zotero.org/groups/5466862/items/N57VNUX7"],"itemData":{"id":1403,"type":"article-journal","abstract":"Electrification caused by rubbing two objects creates patches of positive and negative charge on both surfaces.\n          , \n            When dielectric materials are brought into contact and then separated, they develop static electricity. For centuries, it has been assumed that such contact charging derives from the spatially homogeneous material properties (along the material’s surface) and that within a given pair of materials, one charges uniformly positively and the other negatively. We demonstrate that this picture of contact charging is incorrect. Whereas each contact-electrified piece develops a net charge of either positive or negative polarity, each surface supports a random “mosaic” of oppositely charged regions of nanoscopic dimensions. These mosaics of surface charge have the same topological characteristics for different types of electrified dielectrics and accommodate significantly more charge per unit area than previously thought.","container-title":"Science","DOI":"10.1126/science.1201512","ISSN":"0036-8075, 1095-9203","issue":"6040","journalAbbreviation":"Science","language":"en","page":"308-312","source":"DOI.org (Crossref)","title":"The Mosaic of Surface Charge in Contact Electrification","volume":"333","author":[{"family":"Baytekin","given":"H. T."},{"family":"Patashinski","given":"A. Z."},{"family":"Branicki","given":"M."},{"family":"Baytekin","given":"B."},{"family":"Soh","given":"S."},{"family":"Grzybowski","given":"B. A."}],"issued":{"date-parts":[["2011",7,15]]}}}],"schema":"https://github.com/citation-style-language/schema/raw/master/csl-citation.json"} </w:instrText>
      </w:r>
      <w:r w:rsidR="007B602C">
        <w:rPr>
          <w:lang w:val="en-US"/>
        </w:rPr>
        <w:fldChar w:fldCharType="separate"/>
      </w:r>
      <w:r w:rsidR="007B602C" w:rsidRPr="007B602C">
        <w:rPr>
          <w:vertAlign w:val="superscript"/>
        </w:rPr>
        <w:t>4</w:t>
      </w:r>
      <w:r w:rsidR="007B602C">
        <w:rPr>
          <w:lang w:val="en-US"/>
        </w:rPr>
        <w:fldChar w:fldCharType="end"/>
      </w:r>
      <w:r w:rsidR="007B602C">
        <w:rPr>
          <w:lang w:val="en-US"/>
        </w:rPr>
        <w:t>. This was achieved by first plasma cleaning the dish, and then placing it in a desiccator with a volatile drop of t</w:t>
      </w:r>
      <w:r w:rsidR="007B602C" w:rsidRPr="006A7A4D">
        <w:rPr>
          <w:lang w:val="en-US"/>
        </w:rPr>
        <w:t>rimethylchlorosilane</w:t>
      </w:r>
      <w:r w:rsidR="007B602C">
        <w:rPr>
          <w:lang w:val="en-US"/>
        </w:rPr>
        <w:t xml:space="preserve">.  We then let the dish sit on a shelf in laboratory conditions for more than a week. </w:t>
      </w:r>
      <w:r w:rsidR="003C7A43" w:rsidRPr="00254391">
        <w:t xml:space="preserve">We </w:t>
      </w:r>
      <w:r w:rsidRPr="00254391">
        <w:t>cured PDMS in this dish and cut samples from either the rough or the smooth sides</w:t>
      </w:r>
      <w:r w:rsidR="003C7A43" w:rsidRPr="00254391">
        <w:t>, and then attached these to sample holders in the usual way.  This</w:t>
      </w:r>
      <w:r w:rsidRPr="00254391">
        <w:t xml:space="preserve"> resulted in half of the samples having a roughness order </w:t>
      </w:r>
      <m:oMath>
        <m:sSub>
          <m:sSubPr>
            <m:ctrlPr>
              <w:rPr>
                <w:rFonts w:ascii="Cambria Math" w:hAnsi="Cambria Math"/>
                <w:i/>
              </w:rPr>
            </m:ctrlPr>
          </m:sSubPr>
          <m:e>
            <m:r>
              <w:rPr>
                <w:rFonts w:ascii="Cambria Math" w:hAnsi="Cambria Math"/>
              </w:rPr>
              <m:t>R</m:t>
            </m:r>
          </m:e>
          <m:sub>
            <m:r>
              <w:rPr>
                <w:rFonts w:ascii="Cambria Math" w:hAnsi="Cambria Math"/>
              </w:rPr>
              <m:t>q</m:t>
            </m:r>
          </m:sub>
        </m:sSub>
        <m:r>
          <w:rPr>
            <w:rFonts w:ascii="Cambria Math" w:hAnsi="Cambria Math"/>
          </w:rPr>
          <m:t xml:space="preserve">≈1 </m:t>
        </m:r>
      </m:oMath>
      <w:r w:rsidRPr="00254391">
        <w:t xml:space="preserve">µm while the other half had roughness </w:t>
      </w:r>
      <m:oMath>
        <m:sSub>
          <m:sSubPr>
            <m:ctrlPr>
              <w:rPr>
                <w:rFonts w:ascii="Cambria Math" w:hAnsi="Cambria Math"/>
                <w:i/>
              </w:rPr>
            </m:ctrlPr>
          </m:sSubPr>
          <m:e>
            <m:r>
              <w:rPr>
                <w:rFonts w:ascii="Cambria Math" w:hAnsi="Cambria Math"/>
              </w:rPr>
              <m:t>R</m:t>
            </m:r>
          </m:e>
          <m:sub>
            <m:r>
              <w:rPr>
                <w:rFonts w:ascii="Cambria Math" w:hAnsi="Cambria Math"/>
              </w:rPr>
              <m:t>q</m:t>
            </m:r>
          </m:sub>
        </m:sSub>
        <m:r>
          <w:rPr>
            <w:rFonts w:ascii="Cambria Math" w:hAnsi="Cambria Math"/>
          </w:rPr>
          <m:t xml:space="preserve">≈1  </m:t>
        </m:r>
      </m:oMath>
      <w:r w:rsidRPr="00254391">
        <w:t>nm.  We then contacted the ‘rough’ samples against the ‘smooth’ (‘normal’) samples. The data in Extended Data Fig</w:t>
      </w:r>
      <w:proofErr w:type="spellStart"/>
      <w:r w:rsidR="003148B5">
        <w:t>ure</w:t>
      </w:r>
      <w:proofErr w:type="spellEnd"/>
      <w:r w:rsidRPr="00254391">
        <w:t xml:space="preserve"> </w:t>
      </w:r>
      <w:r w:rsidR="00CD1892" w:rsidRPr="00254391">
        <w:t>9</w:t>
      </w:r>
      <w:r w:rsidRPr="00254391">
        <w:t xml:space="preserve"> corresponds to the charge of the </w:t>
      </w:r>
      <w:r w:rsidR="00895206" w:rsidRPr="00254391">
        <w:t>rough</w:t>
      </w:r>
      <w:r w:rsidRPr="00254391">
        <w:t xml:space="preserve"> samples.  As can be seen, these charged systematically </w:t>
      </w:r>
      <w:r w:rsidR="00895206" w:rsidRPr="00254391">
        <w:t>positively—hence the smoother samples charged negatively</w:t>
      </w:r>
      <w:r w:rsidRPr="00254391">
        <w:t xml:space="preserve">.  This is qualitatively consistent with the fact that contact-biased samples (a) charge negatively and (b) are smoother (at high spatial frequencies) than uncontacted samples. Even so, the magnitude of this ‘gross’ roughness bias is less than the typical </w:t>
      </w:r>
      <w:r w:rsidRPr="00254391">
        <w:lastRenderedPageBreak/>
        <w:t>magnitude of the saturated contact bias</w:t>
      </w:r>
      <w:r w:rsidR="00C314A0" w:rsidRPr="00254391">
        <w:t xml:space="preserve"> (Fig. 2d)</w:t>
      </w:r>
      <w:r w:rsidRPr="00254391">
        <w:t xml:space="preserve">.  </w:t>
      </w:r>
      <w:r w:rsidR="00C314A0" w:rsidRPr="00254391">
        <w:t>Bridging</w:t>
      </w:r>
      <w:r w:rsidRPr="00254391">
        <w:t xml:space="preserve"> this gap is beyond our current </w:t>
      </w:r>
      <w:r w:rsidR="003D026F" w:rsidRPr="00254391">
        <w:t>understanding</w:t>
      </w:r>
      <w:r w:rsidRPr="00254391">
        <w:t>, but might involve considerations of the total contact area, the magnitude of</w:t>
      </w:r>
      <w:r w:rsidR="00C314A0" w:rsidRPr="00254391">
        <w:t xml:space="preserve"> local</w:t>
      </w:r>
      <w:r w:rsidRPr="00254391">
        <w:t xml:space="preserve"> strain, </w:t>
      </w:r>
      <w:r w:rsidRPr="00254391">
        <w:rPr>
          <w:i/>
          <w:iCs/>
        </w:rPr>
        <w:t>etc.</w:t>
      </w:r>
      <w:r w:rsidRPr="00254391">
        <w:t>, all of which depend on the spectral properties of the roughness.</w:t>
      </w:r>
    </w:p>
    <w:p w14:paraId="7B2E08C5" w14:textId="63C548CB" w:rsidR="00633E58" w:rsidRDefault="00633E58" w:rsidP="004C3B3F"/>
    <w:p w14:paraId="67729334" w14:textId="77777777" w:rsidR="0028050A" w:rsidRPr="00D65FE4" w:rsidRDefault="0028050A" w:rsidP="00633E58">
      <w:pPr>
        <w:pStyle w:val="Paragraph"/>
        <w:spacing w:line="480" w:lineRule="auto"/>
        <w:ind w:firstLine="0"/>
        <w:rPr>
          <w:b/>
          <w:lang w:val="en-GB"/>
        </w:rPr>
      </w:pPr>
      <w:r w:rsidRPr="00D65FE4">
        <w:rPr>
          <w:b/>
          <w:color w:val="000000" w:themeColor="text1"/>
        </w:rPr>
        <w:t>Discussion of historical observations regarding mechanical (contact) history and roughness</w:t>
      </w:r>
      <w:r w:rsidRPr="00D65FE4">
        <w:rPr>
          <w:b/>
          <w:lang w:val="en-GB"/>
        </w:rPr>
        <w:t xml:space="preserve"> </w:t>
      </w:r>
    </w:p>
    <w:p w14:paraId="4982F0D8" w14:textId="19268E5B" w:rsidR="00633E58" w:rsidRDefault="00633E58" w:rsidP="00633E58">
      <w:pPr>
        <w:pStyle w:val="Paragraph"/>
        <w:spacing w:line="480" w:lineRule="auto"/>
        <w:ind w:firstLine="0"/>
      </w:pPr>
      <w:r>
        <w:rPr>
          <w:lang w:val="en-GB"/>
        </w:rPr>
        <w:t>Many investigations in the literature suggest the</w:t>
      </w:r>
      <w:r>
        <w:t xml:space="preserve"> effects we observe due to mechanical history and surface morphology are widespread,</w:t>
      </w:r>
      <w:r w:rsidR="0028050A">
        <w:t xml:space="preserve"> at least for polymers,</w:t>
      </w:r>
      <w:r>
        <w:t xml:space="preserve"> yet </w:t>
      </w:r>
      <w:r w:rsidR="0028050A">
        <w:t>the connection between the two has not been widely considered</w:t>
      </w:r>
      <w:r>
        <w:t>. For instance, when two like polymers are rubbed together asymmetrically, such that one is affected over a tiny area and the other over a large area, the former typically charges negatively to the latter</w:t>
      </w:r>
      <w:r>
        <w:fldChar w:fldCharType="begin"/>
      </w:r>
      <w:r w:rsidR="007B602C">
        <w:instrText xml:space="preserve"> ADDIN ZOTERO_ITEM CSL_CITATION {"citationID":"MYCVQrFL","properties":{"formattedCitation":"\\super 5\\nosupersub{}","plainCitation":"5","noteIndex":0},"citationItems":[{"id":149,"uris":["http://zotero.org/users/13959511/items/7RISRM8G"],"itemData":{"id":149,"type":"article-journal","container-title":"Proceedings of the Physical Society","DOI":"10.1088/0959-5309/39/1/344","ISSN":"0959-5309","issue":"1","journalAbbreviation":"Proc. Phys. Soc.","language":"en","page":"449-452","source":"DOI.org (Crossref)","title":"Electrical separation between identical solid surfaces","volume":"39","author":[{"family":"Shaw","given":"P E"}],"issued":{"date-parts":[["1926",1,1]]}}}],"schema":"https://github.com/citation-style-language/schema/raw/master/csl-citation.json"} </w:instrText>
      </w:r>
      <w:r>
        <w:fldChar w:fldCharType="separate"/>
      </w:r>
      <w:r w:rsidR="007B602C" w:rsidRPr="007B602C">
        <w:rPr>
          <w:vertAlign w:val="superscript"/>
        </w:rPr>
        <w:t>5</w:t>
      </w:r>
      <w:r>
        <w:fldChar w:fldCharType="end"/>
      </w:r>
      <w:r>
        <w:t>.  This effect has been attributed to localized heating</w:t>
      </w:r>
      <w:r>
        <w:fldChar w:fldCharType="begin"/>
      </w:r>
      <w:r w:rsidR="007B602C">
        <w:instrText xml:space="preserve"> ADDIN ZOTERO_ITEM CSL_CITATION {"citationID":"rnW8CZgg","properties":{"formattedCitation":"\\super 5\\nosupersub{}","plainCitation":"5","noteIndex":0},"citationItems":[{"id":149,"uris":["http://zotero.org/users/13959511/items/7RISRM8G"],"itemData":{"id":149,"type":"article-journal","container-title":"Proceedings of the Physical Society","DOI":"10.1088/0959-5309/39/1/344","ISSN":"0959-5309","issue":"1","journalAbbreviation":"Proc. Phys. Soc.","language":"en","page":"449-452","source":"DOI.org (Crossref)","title":"Electrical separation between identical solid surfaces","volume":"39","author":[{"family":"Shaw","given":"P E"}],"issued":{"date-parts":[["1926",1,1]]}}}],"schema":"https://github.com/citation-style-language/schema/raw/master/csl-citation.json"} </w:instrText>
      </w:r>
      <w:r>
        <w:fldChar w:fldCharType="separate"/>
      </w:r>
      <w:r w:rsidR="007B602C" w:rsidRPr="007B602C">
        <w:rPr>
          <w:vertAlign w:val="superscript"/>
        </w:rPr>
        <w:t>5</w:t>
      </w:r>
      <w:r>
        <w:fldChar w:fldCharType="end"/>
      </w:r>
      <w:r>
        <w:t>, depletion of electronic trap states</w:t>
      </w:r>
      <w:r>
        <w:fldChar w:fldCharType="begin"/>
      </w:r>
      <w:r w:rsidR="007B602C">
        <w:instrText xml:space="preserve"> ADDIN ZOTERO_ITEM CSL_CITATION {"citationID":"f9fkdTYR","properties":{"formattedCitation":"\\super 6\\nosupersub{}","plainCitation":"6","noteIndex":0},"citationItems":[{"id":"Q4i7ts8x/3G5R3QVi","uris":["http://zotero.org/users/13960764/items/ZBBK4ICA"],"itemData":{"id":"w7LADKjE/M0ISApJq","type":"article-journal","abstract":"For pt.I see ibid., vol.19, p.1273 (1986). Two samples of nominally identical material will usually charge each other if they are rubbed together asymmetrically, e.g. in such a way that a small region of one rubs across a large region of the other. It has previously been supposed that the asymmetric rubbing induced some physical difference, in particular a temperature difference, between surfaces, which in turn causes charge transfer. However, experiments on polymers (reported in the preceding paper) are not easily reconciled with this explanation. In this paper the authors show that it is not necessary to invoke any physical distinction between the two insulators to explain charge transfer. Certain electron distributions can result in net charge transfer during asymmetric rubbing even though the temperature (and other physical properties) remains exactly the same for the two surfaces. The authors present a quantitative model and they show that it is capable of explaining a wide range of experimental facts about charge transfer between identical insulators.","container-title":"Journal of Physics D: Applied Physics","DOI":"10.1088/0022-3727/19/7/018","ISSN":"00223727","issue":"7","page":"1281–1298","title":"Triboelectrification of identical insulators. II. Theory and further experiments","volume":"19","author":[{"family":"Lowell","given":"J."},{"family":"Truscott","given":"W. S."}],"issued":{"date-parts":[["1986"]]}}}],"schema":"https://github.com/citation-style-language/schema/raw/master/csl-citation.json"} </w:instrText>
      </w:r>
      <w:r>
        <w:fldChar w:fldCharType="separate"/>
      </w:r>
      <w:r w:rsidR="007B602C" w:rsidRPr="007B602C">
        <w:rPr>
          <w:vertAlign w:val="superscript"/>
        </w:rPr>
        <w:t>6</w:t>
      </w:r>
      <w:r>
        <w:fldChar w:fldCharType="end"/>
      </w:r>
      <w:r>
        <w:t>, or generalized ‘mosaic models’</w:t>
      </w:r>
      <w:r>
        <w:fldChar w:fldCharType="begin"/>
      </w:r>
      <w:r w:rsidR="007B602C">
        <w:instrText xml:space="preserve"> ADDIN ZOTERO_ITEM CSL_CITATION {"citationID":"oXAn4K5K","properties":{"formattedCitation":"\\super 7\\nosupersub{}","plainCitation":"7","noteIndex":0},"citationItems":[{"id":1446,"uris":["http://zotero.org/users/13959511/items/IV5D4YH9"],"itemData":{"id":1446,"type":"article-journal","container-title":"Physical Review Materials","DOI":"10.1103/PhysRevMaterials.7.065601","ISSN":"2475-9953","issue":"6","journalAbbreviation":"Phys. Rev. Materials","language":"en","page":"065601","source":"DOI.org (Crossref)","title":"Asymmetries in triboelectric charging: Generalizing mosaic models to different-material samples and sliding contacts","title-short":"Asymmetries in triboelectric charging","volume":"7","author":[{"family":"Grosjean","given":"Galien"},{"family":"Waitukaitis","given":"Scott"}],"issued":{"date-parts":[["2023",6,13]]}}}],"schema":"https://github.com/citation-style-language/schema/raw/master/csl-citation.json"} </w:instrText>
      </w:r>
      <w:r>
        <w:fldChar w:fldCharType="separate"/>
      </w:r>
      <w:r w:rsidR="007B602C" w:rsidRPr="007B602C">
        <w:rPr>
          <w:vertAlign w:val="superscript"/>
        </w:rPr>
        <w:t>7</w:t>
      </w:r>
      <w:r>
        <w:fldChar w:fldCharType="end"/>
      </w:r>
      <w:r>
        <w:t>, but to our knowledge no have not established that this may be caused by or at least concomitant with changes to surface morphology. Other experiments have found that same-material CE for rubbing between identical solution-cast (</w:t>
      </w:r>
      <w:r>
        <w:rPr>
          <w:i/>
          <w:iCs/>
        </w:rPr>
        <w:t>i.e.</w:t>
      </w:r>
      <w:r>
        <w:t xml:space="preserve"> smooth) polymers is small in magnitude and erratic, whereas after mechanical lapping (</w:t>
      </w:r>
      <w:r>
        <w:rPr>
          <w:i/>
          <w:iCs/>
        </w:rPr>
        <w:t>i.e.</w:t>
      </w:r>
      <w:r>
        <w:t xml:space="preserve"> roughening) it becomes large and systematic</w:t>
      </w:r>
      <w:r>
        <w:fldChar w:fldCharType="begin"/>
      </w:r>
      <w:r w:rsidR="007B602C">
        <w:instrText xml:space="preserve"> ADDIN ZOTERO_ITEM CSL_CITATION {"citationID":"8EEUNMat","properties":{"formattedCitation":"\\super 8\\nosupersub{}","plainCitation":"8","noteIndex":0},"citationItems":[{"id":395,"uris":["http://zotero.org/users/13959511/items/A7GBU9PJ"],"itemData":{"id":395,"type":"article-journal","abstract":"Nominally identical samples of the same material frequently charge each other when they are rubbed together. It has previously been supposed that the charge transfiesr associated with the temperature difference (due to frictional heating) which results when one sample slides over the other. We find that charge transfer is not influenced by sliding speed and we conclude thiattcannot be the resulotf a temperature difference. On the other hand. charge transfeirs strongly affected by the preparative treatmeonf tthe surface, andin particular seems to be associated with surface damage. The results presented in this paper form a general description of the phenomenon. Any theoretical model must account for these observations:in the following paper we develop such a model.","container-title":"Journal of Physics D: Applied Physics","DOI":"10.1088/0022-3727/19/7/017","ISSN":"0022-3727, 1361-6463","issue":"7","journalAbbreviation":"J. Phys. D: Appl. Phys.","language":"en","page":"1273-1280","source":"DOI.org (Crossref)","title":"Triboelectrification of identical insulators. I. An experimental investigation","volume":"19","author":[{"family":"Lowell","given":"J"},{"family":"Truscott","given":"W S"}],"issued":{"date-parts":[["1986",7,14]]}}}],"schema":"https://github.com/citation-style-language/schema/raw/master/csl-citation.json"} </w:instrText>
      </w:r>
      <w:r>
        <w:fldChar w:fldCharType="separate"/>
      </w:r>
      <w:r w:rsidR="007B602C" w:rsidRPr="007B602C">
        <w:rPr>
          <w:vertAlign w:val="superscript"/>
        </w:rPr>
        <w:t>8</w:t>
      </w:r>
      <w:r>
        <w:fldChar w:fldCharType="end"/>
      </w:r>
      <w:r>
        <w:t xml:space="preserve">.  In practical settings, </w:t>
      </w:r>
      <w:r>
        <w:rPr>
          <w:i/>
          <w:iCs/>
        </w:rPr>
        <w:t>e.g.</w:t>
      </w:r>
      <w:r>
        <w:t xml:space="preserve"> for triboelectric energy harvesting, samples are </w:t>
      </w:r>
      <w:r w:rsidR="0028050A">
        <w:t>sometimes</w:t>
      </w:r>
      <w:r>
        <w:t xml:space="preserve"> ‘conditioned’ until their charge exchange ‘behaves’ by application of many (</w:t>
      </w:r>
      <w:r w:rsidRPr="00EC6259">
        <w:rPr>
          <w:i/>
          <w:iCs/>
        </w:rPr>
        <w:t>e.g.</w:t>
      </w:r>
      <w:r>
        <w:t xml:space="preserve"> hundreds or even thousands) pre-contacts</w:t>
      </w:r>
      <w:r w:rsidR="0028050A">
        <w:fldChar w:fldCharType="begin"/>
      </w:r>
      <w:r w:rsidR="007B602C">
        <w:instrText xml:space="preserve"> ADDIN ZOTERO_ITEM CSL_CITATION {"citationID":"5cSmAJjJ","properties":{"formattedCitation":"\\super 9\\nosupersub{}","plainCitation":"9","noteIndex":0},"citationItems":[{"id":1683,"uris":["http://zotero.org/groups/5466862/items/EXPASKDW"],"itemData":{"id":1683,"type":"article-journal","abstract":"Polystyrene (PS) is a very common material in packaging. In this study, it is recycled by turning it into energy harvesting devices: triboelectric generators. Herein, heat</w:instrText>
      </w:r>
      <w:r w:rsidR="007B602C">
        <w:rPr>
          <w:rFonts w:ascii="Cambria Math" w:hAnsi="Cambria Math" w:cs="Cambria Math"/>
        </w:rPr>
        <w:instrText>‐</w:instrText>
      </w:r>
      <w:r w:rsidR="007B602C">
        <w:instrText>pressed films of recycled PS are formed and their surfaces are modified physically and chemically. The triboelectric properties of the films are determined using a dynamic testing machine, and the performance of the triboelectric generators is evaluated with a high</w:instrText>
      </w:r>
      <w:r w:rsidR="007B602C">
        <w:rPr>
          <w:rFonts w:ascii="Cambria Math" w:hAnsi="Cambria Math" w:cs="Cambria Math"/>
        </w:rPr>
        <w:instrText>‐</w:instrText>
      </w:r>
      <w:r w:rsidR="007B602C">
        <w:instrText xml:space="preserve">speed contact–separation system. The developed charge density of the triboelectric generator increases two orders of magnitude—from 0.03 to 1.52 nC cm\n              −2\n              —by combining these surface modification methods. Such high values of charge density enable the production of single material triboelectric generators.","container-title":"Energy Technology","DOI":"10.1002/ente.202400762","ISSN":"2194-4288, 2194-4296","issue":"9","journalAbbreviation":"Energy Tech","language":"en","page":"2400762","source":"DOI.org (Crossref)","title":"Physical and Chemical Surface Modification of Recycled Polystyrene Films for Improved Triboelectric Properties","volume":"12","author":[{"family":"Ģērmane","given":"Līva"},{"family":"Bērziņa","given":"Astrīda"},{"family":"Eglītis","given":"Raivis"},{"family":"Iesalnieks","given":"Mairis"},{"family":"Lungevičs","given":"Jānis"},{"family":"Linarts","given":"Artis"},{"family":"Šutka","given":"Andris"},{"family":"Lapčinskis","given":"Linards"}],"issued":{"date-parts":[["2024",9]]}}}],"schema":"https://github.com/citation-style-language/schema/raw/master/csl-citation.json"} </w:instrText>
      </w:r>
      <w:r w:rsidR="0028050A">
        <w:fldChar w:fldCharType="separate"/>
      </w:r>
      <w:r w:rsidR="007B602C" w:rsidRPr="007B602C">
        <w:rPr>
          <w:vertAlign w:val="superscript"/>
        </w:rPr>
        <w:t>9</w:t>
      </w:r>
      <w:r w:rsidR="0028050A">
        <w:fldChar w:fldCharType="end"/>
      </w:r>
      <w:r>
        <w:t xml:space="preserve">. In at least one situation where polarity reversals have been observed with </w:t>
      </w:r>
      <w:r w:rsidRPr="00D65FE4">
        <w:t>different</w:t>
      </w:r>
      <w:r>
        <w:t xml:space="preserve"> materials, it has been due to prolonged frictional interaction. The authors of that study concluded this was due to material transfer, although they simultaneously observed changes in surface morphology</w:t>
      </w:r>
      <w:r>
        <w:fldChar w:fldCharType="begin"/>
      </w:r>
      <w:r w:rsidR="007B602C">
        <w:instrText xml:space="preserve"> ADDIN ZOTERO_ITEM CSL_CITATION {"citationID":"ob0XEHz5","properties":{"formattedCitation":"\\super 10\\nosupersub{}","plainCitation":"10","noteIndex":0},"citationItems":[{"id":507,"uris":["http://zotero.org/users/13959511/items/7P2UMDGW"],"itemData":{"id":507,"type":"article-journal","container-title":"Angewandte Chemie International Edition","DOI":"10.1002/anie.201200057","ISSN":"1433-7851, 1521-3773","issue":"20","journalAbbreviation":"Angew Chem Int Ed","language":"en","license":"http://onlinelibrary.wiley.com/termsAndConditions#vor","page":"4843-4847","source":"DOI.org (Crossref)","title":"Material Transfer and Polarity Reversal in Contact Charging","volume":"51","author":[{"family":"Baytekin","given":"H. Tarik"},{"family":"Baytekin","given":"Bilge"},{"family":"Incorvati","given":"Jared T."},{"family":"Grzybowski","given":"Bartosz A."}],"issued":{"date-parts":[["2012",5,14]]}}}],"schema":"https://github.com/citation-style-language/schema/raw/master/csl-citation.json"} </w:instrText>
      </w:r>
      <w:r>
        <w:fldChar w:fldCharType="separate"/>
      </w:r>
      <w:r w:rsidR="007B602C" w:rsidRPr="007B602C">
        <w:rPr>
          <w:vertAlign w:val="superscript"/>
        </w:rPr>
        <w:t>10</w:t>
      </w:r>
      <w:r>
        <w:fldChar w:fldCharType="end"/>
      </w:r>
      <w:r>
        <w:t xml:space="preserve">.  Experiments incriminating surface morphology date at least as early as 1867, when Sir William Snow Harris </w:t>
      </w:r>
      <w:r>
        <w:lastRenderedPageBreak/>
        <w:t>reported that pristine (smooth) glass charged with a different sign relative to other materials than glass roughened by abrasion</w:t>
      </w:r>
      <w:r>
        <w:fldChar w:fldCharType="begin"/>
      </w:r>
      <w:r w:rsidR="007B602C">
        <w:instrText xml:space="preserve"> ADDIN ZOTERO_ITEM CSL_CITATION {"citationID":"PvWzcYvw","properties":{"formattedCitation":"\\super 11\\nosupersub{}","plainCitation":"11","noteIndex":0},"citationItems":[{"id":1620,"uris":["http://zotero.org/users/13959511/items/YREKNK2R"],"itemData":{"id":1620,"type":"book","event-place":"London","publisher":"Virtue","publisher-place":"London","title":"A treatise on frictional electricity, in theory and practice","author":[{"family":"Harris","given":"W.S."}],"issued":{"date-parts":[["1867"]]}}}],"schema":"https://github.com/citation-style-language/schema/raw/master/csl-citation.json"} </w:instrText>
      </w:r>
      <w:r>
        <w:fldChar w:fldCharType="separate"/>
      </w:r>
      <w:r w:rsidR="007B602C" w:rsidRPr="007B602C">
        <w:rPr>
          <w:vertAlign w:val="superscript"/>
        </w:rPr>
        <w:t>11</w:t>
      </w:r>
      <w:r>
        <w:fldChar w:fldCharType="end"/>
      </w:r>
      <w:r w:rsidR="0028050A">
        <w:t>.  H</w:t>
      </w:r>
      <w:r>
        <w:t>ere an interesting distinction must be pointed out</w:t>
      </w:r>
      <w:r w:rsidR="0028050A">
        <w:t xml:space="preserve">, which is that </w:t>
      </w:r>
      <w:r>
        <w:t xml:space="preserve">the </w:t>
      </w:r>
      <w:r w:rsidRPr="00EC6259">
        <w:t>smooth</w:t>
      </w:r>
      <w:r>
        <w:t xml:space="preserve"> glass tends to charge </w:t>
      </w:r>
      <w:r w:rsidRPr="00D65FE4">
        <w:t>positively</w:t>
      </w:r>
      <w:r>
        <w:rPr>
          <w:i/>
          <w:iCs/>
        </w:rPr>
        <w:t xml:space="preserve">, </w:t>
      </w:r>
      <w:r>
        <w:t>not negatively.</w:t>
      </w:r>
      <w:r w:rsidR="0028050A">
        <w:t xml:space="preserve"> (We reiterate that work in our own lab suggests the behavior of oxides, </w:t>
      </w:r>
      <w:r w:rsidR="0028050A">
        <w:rPr>
          <w:i/>
          <w:iCs/>
        </w:rPr>
        <w:t>e.g.</w:t>
      </w:r>
      <w:r>
        <w:t xml:space="preserve"> </w:t>
      </w:r>
      <w:r w:rsidR="0028050A">
        <w:t xml:space="preserve">glass, may be quite different than polymers.) </w:t>
      </w:r>
      <w:r>
        <w:t>In more recent work with polymers whose roughness was changed by solution precipitation or casting/dissolution of embedded sugar granules, the trend that ‘smooth polymers charge negatively’ was shown to be widespread</w:t>
      </w:r>
      <w:r>
        <w:fldChar w:fldCharType="begin"/>
      </w:r>
      <w:r w:rsidR="007B602C">
        <w:instrText xml:space="preserve"> ADDIN ZOTERO_ITEM CSL_CITATION {"citationID":"QrdOa2iz","properties":{"formattedCitation":"\\super 12,13\\nosupersub{}","plainCitation":"12,13","noteIndex":0},"citationItems":[{"id":292,"uris":["http://zotero.org/users/13959511/items/VB3EZ6UP"],"itemData":{"id":292,"type":"article-journal","abstract":"Contact electrification is a powerful tool to harvest energy from mechanical motion. However, current models of contact electrification at polymer | polymer interfaces only explain charge transfer for contact between chem­ ically dissimilar polymers. Recently, strong contact electrification between chemically identical polymer surfaces has been observed. Understanding contact electrification between chemically identical polymers is a key issue in developing a wholistic model for polymer triboelectrification. Herein, we present a combined experimental and computational approach to develop a model of the contact electrification between chemically identical polymers. The model developed describes how the relative surface roughness influences surface charge. The chemically identical polymer surfaces show an increase in the surface charge when the difference in surface roughness is increased. Further, the roughest surface was found to present a positive surface charge, and the smoother surface a negative charge. These observations were justified though modelling of a consistently lower strain in rougher surfaces during contact-separation. Molecular dynamics simulations demonstrated the relationship between this strain with bond-scission and charged material transfer. It was found that a negative charged fragment has a higher statistical probability to be transferred due to smaller scission / desorption energies. This comparison of surface roughness can be extended to dissimilar polymer interfaces and will enable engineering of highly efficient triboelectric nanogenerator (TENG) devices in the future.","container-title":"Nano Energy","DOI":"10.1016/j.nanoen.2022.107914","ISSN":"22112855","journalAbbreviation":"Nano Energy","language":"en","page":"107914","source":"DOI.org (Crossref)","title":"Smooth polymers charge negatively: Controlling contact electrification polarity in polymers","title-short":"Smooth polymers charge negatively","volume":"104","author":[{"family":"Verners","given":"Osvalds"},{"family":"Lapčinskis","given":"Linards"},{"family":"Ģermane","given":"Līva"},{"family":"Kasikov","given":"Aarne"},{"family":"Timusk","given":"Martin"},{"family":"Pudzs","given":"Kaspars"},{"family":"Ellis","given":"Amanda V."},{"family":"Sherrell","given":"Peter C."},{"family":"Šutka","given":"Andris"}],"issued":{"date-parts":[["2022",12]]}}},{"id":1623,"uris":["http://zotero.org/users/13959511/items/9N5LQ35C"],"itemData":{"id":1623,"type":"article-journal","abstract":"Fluctuation in the surface irregularities is found to be the reason for surface charge formation by contacting two identical polymers. Higher surface charge is shown to correlate with higher disparity in porosity or surface roughness.\n          , \n            Polymer contact electrification offers the possibility to harvest mechanical energy using lightweight, flexible and low-cost materials, but the mechanism itself is still unresolved. Several recent studies confirm heterolytic covalent bond breaking as the mechanism for surface charge formation. Here it is shown that the reason for the formation of surface charge by contacting two identical polymers results from the fluctuation in the surface irregularities, and that contacted materials with a greater porosity or surface roughness differential result in a greater generation of surface charge. Porosity and surface roughness create uneven surface length percentage changes in the lateral direction during deformation, which changes the charge density across the surface during relaxation. Multilayered membranes exhibit flexoelectric properties upon pressing and releasing by generating charge without separating individual membrane layers. This new insight deepens the understanding of polymer contact electrification and highlights better ways to prepare triboelectric or flexoelectric nanogenerator devices.","container-title":"Physical Chemistry Chemical Physics","DOI":"10.1039/D0CP01947J","ISSN":"1463-9076, 1463-9084","issue":"23","journalAbbreviation":"Phys. Chem. Chem. Phys.","language":"en","page":"13299-13305","source":"DOI.org (Crossref)","title":"Contact electrification between identical polymers as the basis for triboelectric/flexoelectric materials","volume":"22","author":[{"family":"Šutka","given":"Andris"},{"family":"Mālnieks","given":"Kaspars"},{"family":"Lapčinskis","given":"Linards"},{"family":"Timusk","given":"Martin"},{"family":"Kalniņš","given":"Kaspars"},{"family":"Kovaļovs","given":"Andrejs"},{"family":"Bitenieks","given":"Juris"},{"family":"Knite","given":"Māris"},{"family":"Stevens","given":"Daniel"},{"family":"Grunlan","given":"Jaime"}],"issued":{"date-parts":[["2020"]]}}}],"schema":"https://github.com/citation-style-language/schema/raw/master/csl-citation.json"} </w:instrText>
      </w:r>
      <w:r>
        <w:fldChar w:fldCharType="separate"/>
      </w:r>
      <w:r w:rsidR="007B602C" w:rsidRPr="007B602C">
        <w:rPr>
          <w:vertAlign w:val="superscript"/>
        </w:rPr>
        <w:t>12,13</w:t>
      </w:r>
      <w:r>
        <w:fldChar w:fldCharType="end"/>
      </w:r>
      <w:r>
        <w:t xml:space="preserve">.  Further careful experiments to test the connection between contact history, surface morphology, and charge exchange are required to </w:t>
      </w:r>
      <w:r w:rsidR="0028050A">
        <w:t xml:space="preserve">definitively </w:t>
      </w:r>
      <w:r>
        <w:t xml:space="preserve">connect our findings to these earlier </w:t>
      </w:r>
      <w:r w:rsidR="0028050A">
        <w:t>results</w:t>
      </w:r>
      <w:r w:rsidR="00062132">
        <w:t xml:space="preserve">, and establish whether the ‘self-ordering’ we observe is widespread.  </w:t>
      </w:r>
    </w:p>
    <w:p w14:paraId="4C9BD510" w14:textId="77777777" w:rsidR="00633E58" w:rsidRPr="00D65FE4" w:rsidRDefault="00633E58" w:rsidP="004C3B3F">
      <w:pPr>
        <w:rPr>
          <w:lang w:val="en-US"/>
        </w:rPr>
      </w:pPr>
    </w:p>
    <w:p w14:paraId="49AB64AF" w14:textId="1A6A3A11" w:rsidR="00FB2503" w:rsidRPr="005568EF" w:rsidRDefault="005568EF" w:rsidP="004C3B3F">
      <w:pPr>
        <w:rPr>
          <w:b/>
        </w:rPr>
      </w:pPr>
      <w:r w:rsidRPr="005568EF">
        <w:rPr>
          <w:b/>
        </w:rPr>
        <w:t>References</w:t>
      </w:r>
    </w:p>
    <w:p w14:paraId="5743C1EF" w14:textId="77777777" w:rsidR="007B602C" w:rsidRPr="007B602C" w:rsidRDefault="00FB2503" w:rsidP="007B602C">
      <w:pPr>
        <w:pStyle w:val="Bibliography"/>
      </w:pPr>
      <w:r w:rsidRPr="00254391">
        <w:fldChar w:fldCharType="begin"/>
      </w:r>
      <w:r w:rsidRPr="00254391">
        <w:instrText xml:space="preserve"> ADDIN ZOTERO_BIBL {"uncited":[],"omitted":[],"custom":[]} CSL_BIBLIOGRAPHY </w:instrText>
      </w:r>
      <w:r w:rsidRPr="00254391">
        <w:fldChar w:fldCharType="separate"/>
      </w:r>
      <w:r w:rsidR="007B602C" w:rsidRPr="007B602C">
        <w:t>1.</w:t>
      </w:r>
      <w:r w:rsidR="007B602C" w:rsidRPr="007B602C">
        <w:tab/>
        <w:t xml:space="preserve">Moučka, R., Sedlačík, M., Osička, J. &amp; Pata, V. Mechanical properties of bulk Sylgard 184 and its extension with silicone oil. </w:t>
      </w:r>
      <w:r w:rsidR="007B602C" w:rsidRPr="007B602C">
        <w:rPr>
          <w:i/>
          <w:iCs/>
        </w:rPr>
        <w:t>Sci Rep</w:t>
      </w:r>
      <w:r w:rsidR="007B602C" w:rsidRPr="007B602C">
        <w:t xml:space="preserve"> </w:t>
      </w:r>
      <w:r w:rsidR="007B602C" w:rsidRPr="007B602C">
        <w:rPr>
          <w:b/>
          <w:bCs/>
        </w:rPr>
        <w:t>11</w:t>
      </w:r>
      <w:r w:rsidR="007B602C" w:rsidRPr="007B602C">
        <w:t>, 19090 (2021).</w:t>
      </w:r>
    </w:p>
    <w:p w14:paraId="5D73D05A" w14:textId="77777777" w:rsidR="007B602C" w:rsidRPr="007B602C" w:rsidRDefault="007B602C" w:rsidP="007B602C">
      <w:pPr>
        <w:pStyle w:val="Bibliography"/>
      </w:pPr>
      <w:r w:rsidRPr="007B602C">
        <w:t>2.</w:t>
      </w:r>
      <w:r w:rsidRPr="007B602C">
        <w:tab/>
        <w:t xml:space="preserve">Johnston, I. D., McCluskey, D. K., Tan, C. K. L. &amp; Tracey, M. C. Mechanical characterization of bulk Sylgard 184 for microfluidics and microengineering. </w:t>
      </w:r>
      <w:r w:rsidRPr="007B602C">
        <w:rPr>
          <w:i/>
          <w:iCs/>
        </w:rPr>
        <w:t>J. Micromech. Microeng.</w:t>
      </w:r>
      <w:r w:rsidRPr="007B602C">
        <w:t xml:space="preserve"> </w:t>
      </w:r>
      <w:r w:rsidRPr="007B602C">
        <w:rPr>
          <w:b/>
          <w:bCs/>
        </w:rPr>
        <w:t>24</w:t>
      </w:r>
      <w:r w:rsidRPr="007B602C">
        <w:t>, 035017 (2014).</w:t>
      </w:r>
    </w:p>
    <w:p w14:paraId="3F0D076E" w14:textId="77777777" w:rsidR="007B602C" w:rsidRPr="007B602C" w:rsidRDefault="007B602C" w:rsidP="007B602C">
      <w:pPr>
        <w:pStyle w:val="Bibliography"/>
      </w:pPr>
      <w:r w:rsidRPr="007B602C">
        <w:t>3.</w:t>
      </w:r>
      <w:r w:rsidRPr="007B602C">
        <w:tab/>
        <w:t xml:space="preserve">Glover, J. D., McLaughlin, C. E., McFarland, M. K. &amp; Pham, J. T. Extracting uncrosslinked material from low modulus sylgard 184 and the effect on mechanical properties. </w:t>
      </w:r>
      <w:r w:rsidRPr="007B602C">
        <w:rPr>
          <w:i/>
          <w:iCs/>
        </w:rPr>
        <w:t>Journal of Polymer Science</w:t>
      </w:r>
      <w:r w:rsidRPr="007B602C">
        <w:t xml:space="preserve"> </w:t>
      </w:r>
      <w:r w:rsidRPr="007B602C">
        <w:rPr>
          <w:b/>
          <w:bCs/>
        </w:rPr>
        <w:t>58</w:t>
      </w:r>
      <w:r w:rsidRPr="007B602C">
        <w:t>, 343–351 (2020).</w:t>
      </w:r>
    </w:p>
    <w:p w14:paraId="71E2CEAA" w14:textId="77777777" w:rsidR="007B602C" w:rsidRPr="007B602C" w:rsidRDefault="007B602C" w:rsidP="007B602C">
      <w:pPr>
        <w:pStyle w:val="Bibliography"/>
      </w:pPr>
      <w:r w:rsidRPr="007B602C">
        <w:t>4.</w:t>
      </w:r>
      <w:r w:rsidRPr="007B602C">
        <w:tab/>
        <w:t xml:space="preserve">Baytekin, H. T. </w:t>
      </w:r>
      <w:r w:rsidRPr="007B602C">
        <w:rPr>
          <w:i/>
          <w:iCs/>
        </w:rPr>
        <w:t>et al.</w:t>
      </w:r>
      <w:r w:rsidRPr="007B602C">
        <w:t xml:space="preserve"> The Mosaic of Surface Charge in Contact Electrification. </w:t>
      </w:r>
      <w:r w:rsidRPr="007B602C">
        <w:rPr>
          <w:i/>
          <w:iCs/>
        </w:rPr>
        <w:t>Science</w:t>
      </w:r>
      <w:r w:rsidRPr="007B602C">
        <w:t xml:space="preserve"> </w:t>
      </w:r>
      <w:r w:rsidRPr="007B602C">
        <w:rPr>
          <w:b/>
          <w:bCs/>
        </w:rPr>
        <w:t>333</w:t>
      </w:r>
      <w:r w:rsidRPr="007B602C">
        <w:t>, 308–312 (2011).</w:t>
      </w:r>
    </w:p>
    <w:p w14:paraId="251F4971" w14:textId="77777777" w:rsidR="007B602C" w:rsidRPr="007B602C" w:rsidRDefault="007B602C" w:rsidP="007B602C">
      <w:pPr>
        <w:pStyle w:val="Bibliography"/>
      </w:pPr>
      <w:r w:rsidRPr="007B602C">
        <w:t>5.</w:t>
      </w:r>
      <w:r w:rsidRPr="007B602C">
        <w:tab/>
        <w:t xml:space="preserve">Shaw, P. E. Electrical separation between identical solid surfaces. </w:t>
      </w:r>
      <w:r w:rsidRPr="007B602C">
        <w:rPr>
          <w:i/>
          <w:iCs/>
        </w:rPr>
        <w:t>Proc. Phys. Soc.</w:t>
      </w:r>
      <w:r w:rsidRPr="007B602C">
        <w:t xml:space="preserve"> </w:t>
      </w:r>
      <w:r w:rsidRPr="007B602C">
        <w:rPr>
          <w:b/>
          <w:bCs/>
        </w:rPr>
        <w:t>39</w:t>
      </w:r>
      <w:r w:rsidRPr="007B602C">
        <w:t>, 449–452 (1926).</w:t>
      </w:r>
    </w:p>
    <w:p w14:paraId="3C514D4A" w14:textId="77777777" w:rsidR="007B602C" w:rsidRPr="007B602C" w:rsidRDefault="007B602C" w:rsidP="007B602C">
      <w:pPr>
        <w:pStyle w:val="Bibliography"/>
      </w:pPr>
      <w:r w:rsidRPr="007B602C">
        <w:lastRenderedPageBreak/>
        <w:t>6.</w:t>
      </w:r>
      <w:r w:rsidRPr="007B602C">
        <w:tab/>
        <w:t xml:space="preserve">Lowell, J. &amp; Truscott, W. S. Triboelectrification of identical insulators. II. Theory and further experiments. </w:t>
      </w:r>
      <w:r w:rsidRPr="007B602C">
        <w:rPr>
          <w:i/>
          <w:iCs/>
        </w:rPr>
        <w:t>Journal of Physics D: Applied Physics</w:t>
      </w:r>
      <w:r w:rsidRPr="007B602C">
        <w:t xml:space="preserve"> </w:t>
      </w:r>
      <w:r w:rsidRPr="007B602C">
        <w:rPr>
          <w:b/>
          <w:bCs/>
        </w:rPr>
        <w:t>19</w:t>
      </w:r>
      <w:r w:rsidRPr="007B602C">
        <w:t>, 1281–1298 (1986).</w:t>
      </w:r>
    </w:p>
    <w:p w14:paraId="160EF68A" w14:textId="77777777" w:rsidR="007B602C" w:rsidRPr="007B602C" w:rsidRDefault="007B602C" w:rsidP="007B602C">
      <w:pPr>
        <w:pStyle w:val="Bibliography"/>
      </w:pPr>
      <w:r w:rsidRPr="007B602C">
        <w:t>7.</w:t>
      </w:r>
      <w:r w:rsidRPr="007B602C">
        <w:tab/>
        <w:t xml:space="preserve">Grosjean, G. &amp; Waitukaitis, S. Asymmetries in triboelectric charging: Generalizing mosaic models to different-material samples and sliding contacts. </w:t>
      </w:r>
      <w:r w:rsidRPr="007B602C">
        <w:rPr>
          <w:i/>
          <w:iCs/>
        </w:rPr>
        <w:t>Phys. Rev. Materials</w:t>
      </w:r>
      <w:r w:rsidRPr="007B602C">
        <w:t xml:space="preserve"> </w:t>
      </w:r>
      <w:r w:rsidRPr="007B602C">
        <w:rPr>
          <w:b/>
          <w:bCs/>
        </w:rPr>
        <w:t>7</w:t>
      </w:r>
      <w:r w:rsidRPr="007B602C">
        <w:t>, 065601 (2023).</w:t>
      </w:r>
    </w:p>
    <w:p w14:paraId="5714B9C3" w14:textId="77777777" w:rsidR="007B602C" w:rsidRPr="007B602C" w:rsidRDefault="007B602C" w:rsidP="007B602C">
      <w:pPr>
        <w:pStyle w:val="Bibliography"/>
      </w:pPr>
      <w:r w:rsidRPr="007B602C">
        <w:t>8.</w:t>
      </w:r>
      <w:r w:rsidRPr="007B602C">
        <w:tab/>
        <w:t xml:space="preserve">Lowell, J. &amp; Truscott, W. S. Triboelectrification of identical insulators. I. An experimental investigation. </w:t>
      </w:r>
      <w:r w:rsidRPr="007B602C">
        <w:rPr>
          <w:i/>
          <w:iCs/>
        </w:rPr>
        <w:t>J. Phys. D: Appl. Phys.</w:t>
      </w:r>
      <w:r w:rsidRPr="007B602C">
        <w:t xml:space="preserve"> </w:t>
      </w:r>
      <w:r w:rsidRPr="007B602C">
        <w:rPr>
          <w:b/>
          <w:bCs/>
        </w:rPr>
        <w:t>19</w:t>
      </w:r>
      <w:r w:rsidRPr="007B602C">
        <w:t>, 1273–1280 (1986).</w:t>
      </w:r>
    </w:p>
    <w:p w14:paraId="51275F6E" w14:textId="77777777" w:rsidR="007B602C" w:rsidRPr="007B602C" w:rsidRDefault="007B602C" w:rsidP="007B602C">
      <w:pPr>
        <w:pStyle w:val="Bibliography"/>
      </w:pPr>
      <w:r w:rsidRPr="007B602C">
        <w:t>9.</w:t>
      </w:r>
      <w:r w:rsidRPr="007B602C">
        <w:tab/>
        <w:t xml:space="preserve">Ģērmane, L. </w:t>
      </w:r>
      <w:r w:rsidRPr="007B602C">
        <w:rPr>
          <w:i/>
          <w:iCs/>
        </w:rPr>
        <w:t>et al.</w:t>
      </w:r>
      <w:r w:rsidRPr="007B602C">
        <w:t xml:space="preserve"> Physical and Chemical Surface Modification of Recycled Polystyrene Films for Improved Triboelectric Properties. </w:t>
      </w:r>
      <w:r w:rsidRPr="007B602C">
        <w:rPr>
          <w:i/>
          <w:iCs/>
        </w:rPr>
        <w:t>Energy Tech</w:t>
      </w:r>
      <w:r w:rsidRPr="007B602C">
        <w:t xml:space="preserve"> </w:t>
      </w:r>
      <w:r w:rsidRPr="007B602C">
        <w:rPr>
          <w:b/>
          <w:bCs/>
        </w:rPr>
        <w:t>12</w:t>
      </w:r>
      <w:r w:rsidRPr="007B602C">
        <w:t>, 2400762 (2024).</w:t>
      </w:r>
    </w:p>
    <w:p w14:paraId="6E84E6E2" w14:textId="77777777" w:rsidR="007B602C" w:rsidRPr="007B602C" w:rsidRDefault="007B602C" w:rsidP="007B602C">
      <w:pPr>
        <w:pStyle w:val="Bibliography"/>
      </w:pPr>
      <w:r w:rsidRPr="007B602C">
        <w:t>10.</w:t>
      </w:r>
      <w:r w:rsidRPr="007B602C">
        <w:tab/>
        <w:t xml:space="preserve">Baytekin, H. T., Baytekin, B., Incorvati, J. T. &amp; Grzybowski, B. A. Material Transfer and Polarity Reversal in Contact Charging. </w:t>
      </w:r>
      <w:r w:rsidRPr="007B602C">
        <w:rPr>
          <w:i/>
          <w:iCs/>
        </w:rPr>
        <w:t>Angew Chem Int Ed</w:t>
      </w:r>
      <w:r w:rsidRPr="007B602C">
        <w:t xml:space="preserve"> </w:t>
      </w:r>
      <w:r w:rsidRPr="007B602C">
        <w:rPr>
          <w:b/>
          <w:bCs/>
        </w:rPr>
        <w:t>51</w:t>
      </w:r>
      <w:r w:rsidRPr="007B602C">
        <w:t>, 4843–4847 (2012).</w:t>
      </w:r>
    </w:p>
    <w:p w14:paraId="7B9A69D4" w14:textId="77777777" w:rsidR="007B602C" w:rsidRPr="007B602C" w:rsidRDefault="007B602C" w:rsidP="007B602C">
      <w:pPr>
        <w:pStyle w:val="Bibliography"/>
      </w:pPr>
      <w:r w:rsidRPr="007B602C">
        <w:t>11.</w:t>
      </w:r>
      <w:r w:rsidRPr="007B602C">
        <w:tab/>
        <w:t xml:space="preserve">Harris, W. S. </w:t>
      </w:r>
      <w:r w:rsidRPr="007B602C">
        <w:rPr>
          <w:i/>
          <w:iCs/>
        </w:rPr>
        <w:t>A Treatise on Frictional Electricity, in Theory and Practice</w:t>
      </w:r>
      <w:r w:rsidRPr="007B602C">
        <w:t>. (Virtue, London, 1867).</w:t>
      </w:r>
    </w:p>
    <w:p w14:paraId="6DDAE26C" w14:textId="77777777" w:rsidR="007B602C" w:rsidRPr="007B602C" w:rsidRDefault="007B602C" w:rsidP="007B602C">
      <w:pPr>
        <w:pStyle w:val="Bibliography"/>
      </w:pPr>
      <w:r w:rsidRPr="007B602C">
        <w:t>12.</w:t>
      </w:r>
      <w:r w:rsidRPr="007B602C">
        <w:tab/>
        <w:t xml:space="preserve">Verners, O. </w:t>
      </w:r>
      <w:r w:rsidRPr="007B602C">
        <w:rPr>
          <w:i/>
          <w:iCs/>
        </w:rPr>
        <w:t>et al.</w:t>
      </w:r>
      <w:r w:rsidRPr="007B602C">
        <w:t xml:space="preserve"> Smooth polymers charge negatively: Controlling contact electrification polarity in polymers. </w:t>
      </w:r>
      <w:r w:rsidRPr="007B602C">
        <w:rPr>
          <w:i/>
          <w:iCs/>
        </w:rPr>
        <w:t>Nano Energy</w:t>
      </w:r>
      <w:r w:rsidRPr="007B602C">
        <w:t xml:space="preserve"> </w:t>
      </w:r>
      <w:r w:rsidRPr="007B602C">
        <w:rPr>
          <w:b/>
          <w:bCs/>
        </w:rPr>
        <w:t>104</w:t>
      </w:r>
      <w:r w:rsidRPr="007B602C">
        <w:t>, 107914 (2022).</w:t>
      </w:r>
    </w:p>
    <w:p w14:paraId="012D458B" w14:textId="77777777" w:rsidR="007B602C" w:rsidRPr="007B602C" w:rsidRDefault="007B602C" w:rsidP="007B602C">
      <w:pPr>
        <w:pStyle w:val="Bibliography"/>
      </w:pPr>
      <w:r w:rsidRPr="007B602C">
        <w:t>13.</w:t>
      </w:r>
      <w:r w:rsidRPr="007B602C">
        <w:tab/>
        <w:t xml:space="preserve">Šutka, A. </w:t>
      </w:r>
      <w:r w:rsidRPr="007B602C">
        <w:rPr>
          <w:i/>
          <w:iCs/>
        </w:rPr>
        <w:t>et al.</w:t>
      </w:r>
      <w:r w:rsidRPr="007B602C">
        <w:t xml:space="preserve"> Contact electrification between identical polymers as the basis for triboelectric/flexoelectric materials. </w:t>
      </w:r>
      <w:r w:rsidRPr="007B602C">
        <w:rPr>
          <w:i/>
          <w:iCs/>
        </w:rPr>
        <w:t>Phys. Chem. Chem. Phys.</w:t>
      </w:r>
      <w:r w:rsidRPr="007B602C">
        <w:t xml:space="preserve"> </w:t>
      </w:r>
      <w:r w:rsidRPr="007B602C">
        <w:rPr>
          <w:b/>
          <w:bCs/>
        </w:rPr>
        <w:t>22</w:t>
      </w:r>
      <w:r w:rsidRPr="007B602C">
        <w:t>, 13299–13305 (2020).</w:t>
      </w:r>
    </w:p>
    <w:p w14:paraId="41E7DAC8" w14:textId="5A60E13B" w:rsidR="00FB2503" w:rsidRPr="00254391" w:rsidRDefault="00FB2503" w:rsidP="004C3B3F">
      <w:r w:rsidRPr="00254391">
        <w:fldChar w:fldCharType="end"/>
      </w:r>
    </w:p>
    <w:p w14:paraId="1596DE48" w14:textId="790396FA" w:rsidR="00760C7A" w:rsidRPr="00254391" w:rsidRDefault="00760C7A" w:rsidP="00AF3C20">
      <w:pPr>
        <w:rPr>
          <w:bCs/>
        </w:rPr>
      </w:pPr>
    </w:p>
    <w:sectPr w:rsidR="00760C7A" w:rsidRPr="00254391" w:rsidSect="00A55841">
      <w:headerReference w:type="even" r:id="rId7"/>
      <w:headerReference w:type="default" r:id="rId8"/>
      <w:footerReference w:type="even" r:id="rId9"/>
      <w:footerReference w:type="default" r:id="rId10"/>
      <w:pgSz w:w="11907" w:h="16840" w:code="9"/>
      <w:pgMar w:top="1260" w:right="1701" w:bottom="1440" w:left="1701" w:header="720" w:footer="720" w:gutter="0"/>
      <w:lnNumType w:countBy="1" w:restart="continuous"/>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BBD29" w14:textId="77777777" w:rsidR="003E2FDA" w:rsidRDefault="003E2FDA">
      <w:pPr>
        <w:spacing w:line="240" w:lineRule="auto"/>
      </w:pPr>
      <w:r>
        <w:separator/>
      </w:r>
    </w:p>
  </w:endnote>
  <w:endnote w:type="continuationSeparator" w:id="0">
    <w:p w14:paraId="6D3E6BC1" w14:textId="77777777" w:rsidR="003E2FDA" w:rsidRDefault="003E2F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9A862" w14:textId="77777777" w:rsidR="009D46CC" w:rsidRDefault="00AF3C20" w:rsidP="005346F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DAF56" w14:textId="77777777" w:rsidR="009D46CC" w:rsidRDefault="003E2FDA" w:rsidP="005346F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AE45" w14:textId="42461430" w:rsidR="009D46CC" w:rsidRDefault="00AF3C20" w:rsidP="00AB17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306D">
      <w:rPr>
        <w:rStyle w:val="PageNumber"/>
        <w:noProof/>
      </w:rPr>
      <w:t>4</w:t>
    </w:r>
    <w:r>
      <w:rPr>
        <w:rStyle w:val="PageNumber"/>
      </w:rPr>
      <w:fldChar w:fldCharType="end"/>
    </w:r>
  </w:p>
  <w:p w14:paraId="00F65826" w14:textId="77777777" w:rsidR="009D46CC" w:rsidRDefault="003E2FDA" w:rsidP="005346F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8CE62" w14:textId="77777777" w:rsidR="003E2FDA" w:rsidRDefault="003E2FDA">
      <w:pPr>
        <w:spacing w:line="240" w:lineRule="auto"/>
      </w:pPr>
      <w:r>
        <w:separator/>
      </w:r>
    </w:p>
  </w:footnote>
  <w:footnote w:type="continuationSeparator" w:id="0">
    <w:p w14:paraId="76442EEA" w14:textId="77777777" w:rsidR="003E2FDA" w:rsidRDefault="003E2F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318CD" w14:textId="77777777" w:rsidR="009D46CC" w:rsidRDefault="00AF3C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72B521A" w14:textId="77777777" w:rsidR="009D46CC" w:rsidRDefault="003E2FDA">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9FA51" w14:textId="77777777" w:rsidR="009D46CC" w:rsidRDefault="003E2FDA">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20"/>
    <w:rsid w:val="00010CA9"/>
    <w:rsid w:val="00026740"/>
    <w:rsid w:val="00033A6A"/>
    <w:rsid w:val="00062132"/>
    <w:rsid w:val="00073A66"/>
    <w:rsid w:val="00075198"/>
    <w:rsid w:val="0009146D"/>
    <w:rsid w:val="000A3997"/>
    <w:rsid w:val="000A77A4"/>
    <w:rsid w:val="000B045C"/>
    <w:rsid w:val="00112723"/>
    <w:rsid w:val="00174FEE"/>
    <w:rsid w:val="00183960"/>
    <w:rsid w:val="00190087"/>
    <w:rsid w:val="001B155C"/>
    <w:rsid w:val="001B5C3C"/>
    <w:rsid w:val="001C65CE"/>
    <w:rsid w:val="001D0734"/>
    <w:rsid w:val="001D5D33"/>
    <w:rsid w:val="002148DD"/>
    <w:rsid w:val="00215F9D"/>
    <w:rsid w:val="00231B3B"/>
    <w:rsid w:val="002517D7"/>
    <w:rsid w:val="00254391"/>
    <w:rsid w:val="00265EB6"/>
    <w:rsid w:val="00272EBD"/>
    <w:rsid w:val="0027516B"/>
    <w:rsid w:val="00275376"/>
    <w:rsid w:val="0028050A"/>
    <w:rsid w:val="002C1F1A"/>
    <w:rsid w:val="002E0A7B"/>
    <w:rsid w:val="002F433F"/>
    <w:rsid w:val="003148B5"/>
    <w:rsid w:val="00351483"/>
    <w:rsid w:val="00392C2C"/>
    <w:rsid w:val="003C7A43"/>
    <w:rsid w:val="003D026F"/>
    <w:rsid w:val="003E0F84"/>
    <w:rsid w:val="003E2F87"/>
    <w:rsid w:val="003E2FDA"/>
    <w:rsid w:val="00416335"/>
    <w:rsid w:val="00435993"/>
    <w:rsid w:val="00483352"/>
    <w:rsid w:val="004C3B3F"/>
    <w:rsid w:val="004C596D"/>
    <w:rsid w:val="00513DE5"/>
    <w:rsid w:val="00520B4C"/>
    <w:rsid w:val="00524877"/>
    <w:rsid w:val="005261CF"/>
    <w:rsid w:val="005407E2"/>
    <w:rsid w:val="0055627B"/>
    <w:rsid w:val="005568EF"/>
    <w:rsid w:val="00564E64"/>
    <w:rsid w:val="005650E2"/>
    <w:rsid w:val="00593AF2"/>
    <w:rsid w:val="005D55FD"/>
    <w:rsid w:val="005E346B"/>
    <w:rsid w:val="005F1D24"/>
    <w:rsid w:val="006279A9"/>
    <w:rsid w:val="006313BA"/>
    <w:rsid w:val="00633E58"/>
    <w:rsid w:val="00634144"/>
    <w:rsid w:val="006530BB"/>
    <w:rsid w:val="006D306D"/>
    <w:rsid w:val="00744484"/>
    <w:rsid w:val="0075202D"/>
    <w:rsid w:val="00760C7A"/>
    <w:rsid w:val="00774563"/>
    <w:rsid w:val="007B26BB"/>
    <w:rsid w:val="007B602C"/>
    <w:rsid w:val="007D1F15"/>
    <w:rsid w:val="008020B1"/>
    <w:rsid w:val="00864501"/>
    <w:rsid w:val="00881337"/>
    <w:rsid w:val="00893EA8"/>
    <w:rsid w:val="00894973"/>
    <w:rsid w:val="00895206"/>
    <w:rsid w:val="008D7892"/>
    <w:rsid w:val="00905806"/>
    <w:rsid w:val="00910E72"/>
    <w:rsid w:val="009666FB"/>
    <w:rsid w:val="009723B0"/>
    <w:rsid w:val="00993AC7"/>
    <w:rsid w:val="009C3262"/>
    <w:rsid w:val="009C386B"/>
    <w:rsid w:val="009E492F"/>
    <w:rsid w:val="00A019E8"/>
    <w:rsid w:val="00A0266D"/>
    <w:rsid w:val="00A23C61"/>
    <w:rsid w:val="00A36AEE"/>
    <w:rsid w:val="00A52315"/>
    <w:rsid w:val="00A55841"/>
    <w:rsid w:val="00A83E86"/>
    <w:rsid w:val="00AD3416"/>
    <w:rsid w:val="00AE1C22"/>
    <w:rsid w:val="00AF3C20"/>
    <w:rsid w:val="00AF7380"/>
    <w:rsid w:val="00B105E8"/>
    <w:rsid w:val="00B53739"/>
    <w:rsid w:val="00B749D2"/>
    <w:rsid w:val="00B902C3"/>
    <w:rsid w:val="00BA6DAD"/>
    <w:rsid w:val="00BA6FB1"/>
    <w:rsid w:val="00BD77DB"/>
    <w:rsid w:val="00BF0239"/>
    <w:rsid w:val="00C12613"/>
    <w:rsid w:val="00C241E5"/>
    <w:rsid w:val="00C314A0"/>
    <w:rsid w:val="00C95CE9"/>
    <w:rsid w:val="00CD1892"/>
    <w:rsid w:val="00CD7FA9"/>
    <w:rsid w:val="00D152F0"/>
    <w:rsid w:val="00D65FE4"/>
    <w:rsid w:val="00D730AE"/>
    <w:rsid w:val="00D94EE6"/>
    <w:rsid w:val="00D95995"/>
    <w:rsid w:val="00DA63BE"/>
    <w:rsid w:val="00DA7DE0"/>
    <w:rsid w:val="00DC7F5F"/>
    <w:rsid w:val="00E0264F"/>
    <w:rsid w:val="00E02E21"/>
    <w:rsid w:val="00E70B27"/>
    <w:rsid w:val="00E77945"/>
    <w:rsid w:val="00E87952"/>
    <w:rsid w:val="00EB6DCF"/>
    <w:rsid w:val="00EB78B8"/>
    <w:rsid w:val="00EF21B6"/>
    <w:rsid w:val="00F176B4"/>
    <w:rsid w:val="00F275FC"/>
    <w:rsid w:val="00F43D37"/>
    <w:rsid w:val="00F62820"/>
    <w:rsid w:val="00F74918"/>
    <w:rsid w:val="00F9238D"/>
    <w:rsid w:val="00FA48FC"/>
    <w:rsid w:val="00FB2503"/>
    <w:rsid w:val="00FC536C"/>
    <w:rsid w:val="00FE1DF9"/>
    <w:rsid w:val="00FF4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FCA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C20"/>
    <w:pPr>
      <w:spacing w:line="480" w:lineRule="auto"/>
    </w:pPr>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title">
    <w:name w:val="arttitle"/>
    <w:basedOn w:val="Normal"/>
    <w:rsid w:val="00AF3C20"/>
    <w:pPr>
      <w:spacing w:after="240" w:line="480" w:lineRule="atLeast"/>
    </w:pPr>
    <w:rPr>
      <w:rFonts w:ascii="Arial" w:hAnsi="Arial"/>
      <w:b/>
      <w:sz w:val="32"/>
    </w:rPr>
  </w:style>
  <w:style w:type="paragraph" w:customStyle="1" w:styleId="aug">
    <w:name w:val="aug"/>
    <w:basedOn w:val="Normal"/>
    <w:rsid w:val="00AF3C20"/>
    <w:pPr>
      <w:spacing w:after="240" w:line="480" w:lineRule="atLeast"/>
    </w:pPr>
  </w:style>
  <w:style w:type="paragraph" w:styleId="Header">
    <w:name w:val="header"/>
    <w:basedOn w:val="Normal"/>
    <w:link w:val="HeaderChar"/>
    <w:rsid w:val="00AF3C20"/>
    <w:rPr>
      <w:sz w:val="20"/>
    </w:rPr>
  </w:style>
  <w:style w:type="character" w:customStyle="1" w:styleId="HeaderChar">
    <w:name w:val="Header Char"/>
    <w:basedOn w:val="DefaultParagraphFont"/>
    <w:link w:val="Header"/>
    <w:rsid w:val="00AF3C20"/>
    <w:rPr>
      <w:rFonts w:ascii="Times New Roman" w:eastAsia="Times New Roman" w:hAnsi="Times New Roman" w:cs="Times New Roman"/>
      <w:sz w:val="20"/>
      <w:lang w:val="en-GB"/>
    </w:rPr>
  </w:style>
  <w:style w:type="character" w:styleId="PageNumber">
    <w:name w:val="page number"/>
    <w:basedOn w:val="DefaultParagraphFont"/>
    <w:rsid w:val="00AF3C20"/>
  </w:style>
  <w:style w:type="paragraph" w:styleId="Footer">
    <w:name w:val="footer"/>
    <w:basedOn w:val="Normal"/>
    <w:link w:val="FooterChar"/>
    <w:rsid w:val="00AF3C20"/>
    <w:rPr>
      <w:sz w:val="20"/>
    </w:rPr>
  </w:style>
  <w:style w:type="character" w:customStyle="1" w:styleId="FooterChar">
    <w:name w:val="Footer Char"/>
    <w:basedOn w:val="DefaultParagraphFont"/>
    <w:link w:val="Footer"/>
    <w:rsid w:val="00AF3C20"/>
    <w:rPr>
      <w:rFonts w:ascii="Times New Roman" w:eastAsia="Times New Roman" w:hAnsi="Times New Roman" w:cs="Times New Roman"/>
      <w:sz w:val="20"/>
      <w:lang w:val="en-GB"/>
    </w:rPr>
  </w:style>
  <w:style w:type="paragraph" w:styleId="BalloonText">
    <w:name w:val="Balloon Text"/>
    <w:basedOn w:val="Normal"/>
    <w:link w:val="BalloonTextChar"/>
    <w:uiPriority w:val="99"/>
    <w:semiHidden/>
    <w:unhideWhenUsed/>
    <w:rsid w:val="00D730AE"/>
    <w:pPr>
      <w:spacing w:line="240" w:lineRule="auto"/>
    </w:pPr>
    <w:rPr>
      <w:sz w:val="18"/>
      <w:szCs w:val="18"/>
    </w:rPr>
  </w:style>
  <w:style w:type="character" w:customStyle="1" w:styleId="BalloonTextChar">
    <w:name w:val="Balloon Text Char"/>
    <w:basedOn w:val="DefaultParagraphFont"/>
    <w:link w:val="BalloonText"/>
    <w:uiPriority w:val="99"/>
    <w:semiHidden/>
    <w:rsid w:val="00D730AE"/>
    <w:rPr>
      <w:rFonts w:ascii="Times New Roman" w:eastAsia="Times New Roman" w:hAnsi="Times New Roman" w:cs="Times New Roman"/>
      <w:sz w:val="18"/>
      <w:szCs w:val="18"/>
      <w:lang w:val="en-GB"/>
    </w:rPr>
  </w:style>
  <w:style w:type="character" w:styleId="CommentReference">
    <w:name w:val="annotation reference"/>
    <w:basedOn w:val="DefaultParagraphFont"/>
    <w:semiHidden/>
    <w:unhideWhenUsed/>
    <w:rsid w:val="00D730AE"/>
    <w:rPr>
      <w:sz w:val="16"/>
      <w:szCs w:val="16"/>
    </w:rPr>
  </w:style>
  <w:style w:type="paragraph" w:styleId="CommentText">
    <w:name w:val="annotation text"/>
    <w:basedOn w:val="Normal"/>
    <w:link w:val="CommentTextChar"/>
    <w:semiHidden/>
    <w:unhideWhenUsed/>
    <w:rsid w:val="00D730A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730AE"/>
    <w:rPr>
      <w:sz w:val="20"/>
      <w:szCs w:val="20"/>
    </w:rPr>
  </w:style>
  <w:style w:type="character" w:styleId="PlaceholderText">
    <w:name w:val="Placeholder Text"/>
    <w:basedOn w:val="DefaultParagraphFont"/>
    <w:uiPriority w:val="99"/>
    <w:semiHidden/>
    <w:rsid w:val="00D730AE"/>
    <w:rPr>
      <w:color w:val="808080"/>
    </w:rPr>
  </w:style>
  <w:style w:type="table" w:styleId="TableGrid">
    <w:name w:val="Table Grid"/>
    <w:basedOn w:val="TableNormal"/>
    <w:uiPriority w:val="39"/>
    <w:rsid w:val="002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31B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FB2503"/>
    <w:pPr>
      <w:tabs>
        <w:tab w:val="left" w:pos="260"/>
      </w:tabs>
      <w:ind w:left="264" w:hanging="264"/>
    </w:pPr>
  </w:style>
  <w:style w:type="paragraph" w:styleId="CommentSubject">
    <w:name w:val="annotation subject"/>
    <w:basedOn w:val="CommentText"/>
    <w:next w:val="CommentText"/>
    <w:link w:val="CommentSubjectChar"/>
    <w:uiPriority w:val="99"/>
    <w:semiHidden/>
    <w:unhideWhenUsed/>
    <w:rsid w:val="00CD1892"/>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CD1892"/>
    <w:rPr>
      <w:rFonts w:ascii="Times New Roman" w:eastAsia="Times New Roman" w:hAnsi="Times New Roman" w:cs="Times New Roman"/>
      <w:b/>
      <w:bCs/>
      <w:sz w:val="20"/>
      <w:szCs w:val="20"/>
      <w:lang w:val="en-GB"/>
    </w:rPr>
  </w:style>
  <w:style w:type="character" w:styleId="LineNumber">
    <w:name w:val="line number"/>
    <w:basedOn w:val="DefaultParagraphFont"/>
    <w:uiPriority w:val="99"/>
    <w:semiHidden/>
    <w:unhideWhenUsed/>
    <w:rsid w:val="00A55841"/>
  </w:style>
  <w:style w:type="paragraph" w:customStyle="1" w:styleId="Paragraph">
    <w:name w:val="Paragraph"/>
    <w:basedOn w:val="Normal"/>
    <w:rsid w:val="00633E58"/>
    <w:pPr>
      <w:spacing w:before="120" w:line="240" w:lineRule="auto"/>
      <w:ind w:firstLine="7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1555">
      <w:bodyDiv w:val="1"/>
      <w:marLeft w:val="0"/>
      <w:marRight w:val="0"/>
      <w:marTop w:val="0"/>
      <w:marBottom w:val="0"/>
      <w:divBdr>
        <w:top w:val="none" w:sz="0" w:space="0" w:color="auto"/>
        <w:left w:val="none" w:sz="0" w:space="0" w:color="auto"/>
        <w:bottom w:val="none" w:sz="0" w:space="0" w:color="auto"/>
        <w:right w:val="none" w:sz="0" w:space="0" w:color="auto"/>
      </w:divBdr>
    </w:div>
    <w:div w:id="18103955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C0815-A600-433F-9612-0601C8D51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5760</Words>
  <Characters>32836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Waitukaitis</dc:creator>
  <cp:keywords/>
  <dc:description/>
  <cp:lastModifiedBy>jsobarzo</cp:lastModifiedBy>
  <cp:revision>57</cp:revision>
  <cp:lastPrinted>2024-08-06T11:08:00Z</cp:lastPrinted>
  <dcterms:created xsi:type="dcterms:W3CDTF">2024-06-06T14:03:00Z</dcterms:created>
  <dcterms:modified xsi:type="dcterms:W3CDTF">2025-01-06T10:54:00Z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id="Q4i7ts8x"/&gt;&lt;style id="http://www.zotero.org/styles/nature" hasBibliography="1" bibliographyStyleHasBeenSet="1"/&gt;&lt;prefs&gt;&lt;pref name="fieldType" value="Field"/&gt;&lt;/prefs&gt;&lt;/data&gt;</vt:lpwstr>
  </property>
</Properties>
</file>