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 Figure 2</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The file contains the information needed to reproduce the histograms of figure 2. </w:t>
      </w:r>
    </w:p>
    <w:p w:rsidR="00000000" w:rsidDel="00000000" w:rsidP="00000000" w:rsidRDefault="00000000" w:rsidRPr="00000000" w14:paraId="00000004">
      <w:pPr>
        <w:numPr>
          <w:ilvl w:val="0"/>
          <w:numId w:val="2"/>
        </w:numPr>
        <w:ind w:left="720" w:hanging="360"/>
        <w:rPr>
          <w:u w:val="none"/>
        </w:rPr>
      </w:pPr>
      <w:r w:rsidDel="00000000" w:rsidR="00000000" w:rsidRPr="00000000">
        <w:rPr>
          <w:rtl w:val="0"/>
        </w:rPr>
        <w:t xml:space="preserve">The first column indicates the simulated muon energy in PeV</w:t>
      </w:r>
    </w:p>
    <w:p w:rsidR="00000000" w:rsidDel="00000000" w:rsidP="00000000" w:rsidRDefault="00000000" w:rsidRPr="00000000" w14:paraId="00000005">
      <w:pPr>
        <w:numPr>
          <w:ilvl w:val="0"/>
          <w:numId w:val="2"/>
        </w:numPr>
        <w:ind w:left="720" w:hanging="360"/>
        <w:rPr>
          <w:u w:val="none"/>
        </w:rPr>
      </w:pPr>
      <w:r w:rsidDel="00000000" w:rsidR="00000000" w:rsidRPr="00000000">
        <w:rPr>
          <w:rtl w:val="0"/>
        </w:rPr>
        <w:t xml:space="preserve">The second column clarifies whether the simulations are the nominal (no_syst) or those including systematic uncertainties (syst) as described in the caption of the figure and in the text</w:t>
      </w:r>
    </w:p>
    <w:p w:rsidR="00000000" w:rsidDel="00000000" w:rsidP="00000000" w:rsidRDefault="00000000" w:rsidRPr="00000000" w14:paraId="00000006">
      <w:pPr>
        <w:numPr>
          <w:ilvl w:val="0"/>
          <w:numId w:val="2"/>
        </w:numPr>
        <w:ind w:left="720" w:hanging="360"/>
        <w:rPr>
          <w:u w:val="none"/>
        </w:rPr>
      </w:pPr>
      <w:r w:rsidDel="00000000" w:rsidR="00000000" w:rsidRPr="00000000">
        <w:rPr>
          <w:rtl w:val="0"/>
        </w:rPr>
        <w:t xml:space="preserve">The third column reports the bin center of the histogram</w:t>
      </w:r>
    </w:p>
    <w:p w:rsidR="00000000" w:rsidDel="00000000" w:rsidP="00000000" w:rsidRDefault="00000000" w:rsidRPr="00000000" w14:paraId="00000007">
      <w:pPr>
        <w:numPr>
          <w:ilvl w:val="0"/>
          <w:numId w:val="2"/>
        </w:numPr>
        <w:ind w:left="720" w:hanging="360"/>
        <w:rPr>
          <w:u w:val="none"/>
        </w:rPr>
      </w:pPr>
      <w:r w:rsidDel="00000000" w:rsidR="00000000" w:rsidRPr="00000000">
        <w:rPr>
          <w:rtl w:val="0"/>
        </w:rPr>
        <w:t xml:space="preserve">The fourth column contains the weighted bin content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 Figure 4</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ind w:left="0" w:firstLine="0"/>
        <w:rPr/>
      </w:pPr>
      <w:r w:rsidDel="00000000" w:rsidR="00000000" w:rsidRPr="00000000">
        <w:rPr>
          <w:rtl w:val="0"/>
        </w:rPr>
        <w:t xml:space="preserve">The file provides the data required to recreate Figure 4, i.e. the equatorial coordinates of the objects displayed in the figure:</w:t>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The first column lists the IDs of the astrophysical sources (ranging from 1 to 12) and the KM3NeT event (KM3-230213A).</w:t>
      </w:r>
    </w:p>
    <w:p w:rsidR="00000000" w:rsidDel="00000000" w:rsidP="00000000" w:rsidRDefault="00000000" w:rsidRPr="00000000" w14:paraId="0000000E">
      <w:pPr>
        <w:numPr>
          <w:ilvl w:val="0"/>
          <w:numId w:val="1"/>
        </w:numPr>
        <w:ind w:left="720" w:hanging="360"/>
        <w:rPr>
          <w:u w:val="none"/>
        </w:rPr>
      </w:pPr>
      <w:r w:rsidDel="00000000" w:rsidR="00000000" w:rsidRPr="00000000">
        <w:rPr>
          <w:rtl w:val="0"/>
        </w:rPr>
        <w:t xml:space="preserve">The second column contains the right ascension values, expressed in degrees.</w:t>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The third column contains the declination values, also expressed in degrees.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 Figure 5</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The file summarises all the inputs to reproduce Fig 5. The ‘entry’ column indicates which line or point from the figure are concerned, the ‘source’ columns indicated the origin of the information (another publication or this work).</w:t>
      </w:r>
    </w:p>
    <w:p w:rsidR="00000000" w:rsidDel="00000000" w:rsidP="00000000" w:rsidRDefault="00000000" w:rsidRPr="00000000" w14:paraId="00000015">
      <w:pPr>
        <w:rPr/>
      </w:pPr>
      <w:r w:rsidDel="00000000" w:rsidR="00000000" w:rsidRPr="00000000">
        <w:rPr>
          <w:rtl w:val="0"/>
        </w:rPr>
        <w:t xml:space="preserve">For continuous lines, the columns ‘Energy [GeV]’ and ‘E^2 F(E) [GeV.cm^-2.s^-1.sr^-1]’ are used to draw the line in the Energy – E²F(E) plane, where the flux is per-flavour neutrino+antineutrino.</w:t>
      </w:r>
    </w:p>
    <w:p w:rsidR="00000000" w:rsidDel="00000000" w:rsidP="00000000" w:rsidRDefault="00000000" w:rsidRPr="00000000" w14:paraId="00000016">
      <w:pPr>
        <w:rPr/>
      </w:pPr>
      <w:r w:rsidDel="00000000" w:rsidR="00000000" w:rsidRPr="00000000">
        <w:rPr>
          <w:rtl w:val="0"/>
        </w:rPr>
        <w:t xml:space="preserve">For bands, the columns ‘Energy [GeV]’, ‘E^2 F(E) lower bound [GeV.cm^-2.s^-1.sr^-1]’ and ‘E^2 F(E) upper bound [GeV.cm^-2.s^-1.sr^-1]’ allow to draw the band. If ‘E^2 F(E) [GeV.cm^-2.s^-1.sr^-1]’ is provided, it is used to draw an additional central line.</w:t>
      </w:r>
    </w:p>
    <w:p w:rsidR="00000000" w:rsidDel="00000000" w:rsidP="00000000" w:rsidRDefault="00000000" w:rsidRPr="00000000" w14:paraId="00000017">
      <w:pPr>
        <w:rPr/>
      </w:pPr>
      <w:r w:rsidDel="00000000" w:rsidR="00000000" w:rsidRPr="00000000">
        <w:rPr>
          <w:rtl w:val="0"/>
        </w:rPr>
        <w:t xml:space="preserve">For single points, the five columns ‘Energy [GeV]’, ‘Energy lower bound [GeV]’, ‘Energy lower bound [GeV]’, ‘E^2 F(E) lower bound [GeV.cm^-2.s^-1.sr^-1]’ and ‘E^2 F(E) upper bound [GeV.cm^-2.s^-1.sr^-1]’ allow to place the point with its vertical and horizontal error spans.</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