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EC28" w14:textId="77777777" w:rsidR="00407E2A" w:rsidRDefault="00000000">
      <w:pPr>
        <w:jc w:val="center"/>
        <w:rPr>
          <w:color w:val="000000"/>
        </w:rPr>
      </w:pPr>
      <w:r>
        <w:rPr>
          <w:b/>
          <w:color w:val="000000"/>
          <w:sz w:val="32"/>
          <w:szCs w:val="32"/>
        </w:rPr>
        <w:t xml:space="preserve">Clonal Driver Neoantigen Loss under </w:t>
      </w:r>
      <w:r>
        <w:rPr>
          <w:b/>
          <w:i/>
          <w:color w:val="000000"/>
          <w:sz w:val="32"/>
          <w:szCs w:val="32"/>
        </w:rPr>
        <w:t>EGFR</w:t>
      </w:r>
      <w:r>
        <w:rPr>
          <w:b/>
          <w:color w:val="000000"/>
          <w:sz w:val="32"/>
          <w:szCs w:val="32"/>
        </w:rPr>
        <w:t xml:space="preserve"> TKI and Immune Selection Pressures</w:t>
      </w:r>
    </w:p>
    <w:p w14:paraId="6022AA3F" w14:textId="77777777" w:rsidR="00407E2A" w:rsidRDefault="00407E2A">
      <w:pPr>
        <w:jc w:val="center"/>
        <w:rPr>
          <w:b/>
        </w:rPr>
      </w:pPr>
    </w:p>
    <w:p w14:paraId="2CEA2C6C" w14:textId="77777777" w:rsidR="00407E2A" w:rsidRDefault="00000000">
      <w:pPr>
        <w:jc w:val="center"/>
        <w:rPr>
          <w:b/>
        </w:rPr>
      </w:pPr>
      <w:r>
        <w:rPr>
          <w:b/>
        </w:rPr>
        <w:t>Supplementary Information</w:t>
      </w:r>
    </w:p>
    <w:p w14:paraId="2EB6F68A" w14:textId="77777777" w:rsidR="00407E2A" w:rsidRDefault="00407E2A">
      <w:pPr>
        <w:jc w:val="center"/>
        <w:rPr>
          <w:b/>
        </w:rPr>
      </w:pPr>
    </w:p>
    <w:p w14:paraId="3C1CD4AA" w14:textId="77777777" w:rsidR="00407E2A" w:rsidRDefault="00000000">
      <w:pPr>
        <w:jc w:val="center"/>
        <w:rPr>
          <w:b/>
        </w:rPr>
      </w:pPr>
      <w:r>
        <w:rPr>
          <w:b/>
        </w:rPr>
        <w:t>Al Bakir, Reading et al. 2024</w:t>
      </w:r>
    </w:p>
    <w:p w14:paraId="39175101" w14:textId="77777777" w:rsidR="00407E2A" w:rsidRDefault="00407E2A">
      <w:pPr>
        <w:jc w:val="center"/>
        <w:rPr>
          <w:b/>
        </w:rPr>
      </w:pPr>
    </w:p>
    <w:p w14:paraId="4E8B65A2" w14:textId="77777777" w:rsidR="00407E2A" w:rsidRDefault="00000000">
      <w:pPr>
        <w:keepNext/>
        <w:keepLines/>
        <w:pBdr>
          <w:top w:val="nil"/>
          <w:left w:val="nil"/>
          <w:bottom w:val="nil"/>
          <w:right w:val="nil"/>
          <w:between w:val="nil"/>
        </w:pBdr>
        <w:spacing w:before="480" w:line="276" w:lineRule="auto"/>
        <w:rPr>
          <w:rFonts w:ascii="Calibri" w:eastAsia="Calibri" w:hAnsi="Calibri" w:cs="Calibri"/>
          <w:b/>
          <w:color w:val="2F5496"/>
          <w:sz w:val="28"/>
          <w:szCs w:val="28"/>
        </w:rPr>
      </w:pPr>
      <w:r>
        <w:rPr>
          <w:rFonts w:ascii="Calibri" w:eastAsia="Calibri" w:hAnsi="Calibri" w:cs="Calibri"/>
          <w:b/>
          <w:color w:val="2F5496"/>
          <w:sz w:val="28"/>
          <w:szCs w:val="28"/>
        </w:rPr>
        <w:t>Table of Contents</w:t>
      </w:r>
    </w:p>
    <w:p w14:paraId="54C6E2A0" w14:textId="77777777" w:rsidR="00407E2A" w:rsidRDefault="00407E2A">
      <w:pPr>
        <w:jc w:val="center"/>
        <w:rPr>
          <w:rFonts w:ascii="Calibri" w:eastAsia="Calibri" w:hAnsi="Calibri" w:cs="Calibri"/>
          <w:b/>
          <w:color w:val="2F5496"/>
          <w:sz w:val="28"/>
          <w:szCs w:val="28"/>
        </w:rPr>
      </w:pPr>
    </w:p>
    <w:sdt>
      <w:sdtPr>
        <w:id w:val="-950629994"/>
        <w:docPartObj>
          <w:docPartGallery w:val="Table of Contents"/>
          <w:docPartUnique/>
        </w:docPartObj>
      </w:sdtPr>
      <w:sdtContent>
        <w:p w14:paraId="070A90D3" w14:textId="4BFD4FED" w:rsidR="002D21B0" w:rsidRDefault="00407E2A">
          <w:pPr>
            <w:pStyle w:val="TOC1"/>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\h \u \z \t "Heading 1,1,Heading 2,2,Heading 3,3,Heading 4,4,Heading 5,5,Heading 6,6,"</w:instrText>
          </w:r>
          <w:r>
            <w:fldChar w:fldCharType="separate"/>
          </w:r>
          <w:hyperlink w:anchor="_Toc189062892" w:history="1">
            <w:r w:rsidR="002D21B0" w:rsidRPr="00C4270B">
              <w:rPr>
                <w:rStyle w:val="Hyperlink"/>
                <w:noProof/>
              </w:rPr>
              <w:t>Supplementary Note</w:t>
            </w:r>
            <w:r w:rsidR="002D21B0">
              <w:rPr>
                <w:noProof/>
                <w:webHidden/>
              </w:rPr>
              <w:tab/>
            </w:r>
            <w:r w:rsidR="002D21B0">
              <w:rPr>
                <w:noProof/>
                <w:webHidden/>
              </w:rPr>
              <w:fldChar w:fldCharType="begin"/>
            </w:r>
            <w:r w:rsidR="002D21B0">
              <w:rPr>
                <w:noProof/>
                <w:webHidden/>
              </w:rPr>
              <w:instrText xml:space="preserve"> PAGEREF _Toc189062892 \h </w:instrText>
            </w:r>
            <w:r w:rsidR="002D21B0">
              <w:rPr>
                <w:noProof/>
                <w:webHidden/>
              </w:rPr>
            </w:r>
            <w:r w:rsidR="002D21B0">
              <w:rPr>
                <w:noProof/>
                <w:webHidden/>
              </w:rPr>
              <w:fldChar w:fldCharType="separate"/>
            </w:r>
            <w:r w:rsidR="002D21B0">
              <w:rPr>
                <w:noProof/>
                <w:webHidden/>
              </w:rPr>
              <w:t>2</w:t>
            </w:r>
            <w:r w:rsidR="002D21B0">
              <w:rPr>
                <w:noProof/>
                <w:webHidden/>
              </w:rPr>
              <w:fldChar w:fldCharType="end"/>
            </w:r>
          </w:hyperlink>
        </w:p>
        <w:p w14:paraId="3B62A31A" w14:textId="0ED3344F" w:rsidR="002D21B0" w:rsidRDefault="002D21B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9062893" w:history="1">
            <w:r w:rsidRPr="00C4270B">
              <w:rPr>
                <w:rStyle w:val="Hyperlink"/>
                <w:noProof/>
              </w:rPr>
              <w:t>Orthogonal phylogenetic analyses</w:t>
            </w:r>
            <w:r>
              <w:rPr>
                <w:noProof/>
                <w:webHidden/>
              </w:rPr>
              <w:tab/>
            </w:r>
            <w:r>
              <w:rPr>
                <w:noProof/>
                <w:webHidden/>
              </w:rPr>
              <w:fldChar w:fldCharType="begin"/>
            </w:r>
            <w:r>
              <w:rPr>
                <w:noProof/>
                <w:webHidden/>
              </w:rPr>
              <w:instrText xml:space="preserve"> PAGEREF _Toc189062893 \h </w:instrText>
            </w:r>
            <w:r>
              <w:rPr>
                <w:noProof/>
                <w:webHidden/>
              </w:rPr>
            </w:r>
            <w:r>
              <w:rPr>
                <w:noProof/>
                <w:webHidden/>
              </w:rPr>
              <w:fldChar w:fldCharType="separate"/>
            </w:r>
            <w:r>
              <w:rPr>
                <w:noProof/>
                <w:webHidden/>
              </w:rPr>
              <w:t>2</w:t>
            </w:r>
            <w:r>
              <w:rPr>
                <w:noProof/>
                <w:webHidden/>
              </w:rPr>
              <w:fldChar w:fldCharType="end"/>
            </w:r>
          </w:hyperlink>
        </w:p>
        <w:p w14:paraId="5217FBFA" w14:textId="78D67114" w:rsidR="002D21B0" w:rsidRDefault="002D21B0">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189062894" w:history="1">
            <w:r w:rsidRPr="00C4270B">
              <w:rPr>
                <w:rStyle w:val="Hyperlink"/>
                <w:noProof/>
              </w:rPr>
              <w:t>SciClone</w:t>
            </w:r>
            <w:r>
              <w:rPr>
                <w:noProof/>
                <w:webHidden/>
              </w:rPr>
              <w:tab/>
            </w:r>
            <w:r>
              <w:rPr>
                <w:noProof/>
                <w:webHidden/>
              </w:rPr>
              <w:fldChar w:fldCharType="begin"/>
            </w:r>
            <w:r>
              <w:rPr>
                <w:noProof/>
                <w:webHidden/>
              </w:rPr>
              <w:instrText xml:space="preserve"> PAGEREF _Toc189062894 \h </w:instrText>
            </w:r>
            <w:r>
              <w:rPr>
                <w:noProof/>
                <w:webHidden/>
              </w:rPr>
            </w:r>
            <w:r>
              <w:rPr>
                <w:noProof/>
                <w:webHidden/>
              </w:rPr>
              <w:fldChar w:fldCharType="separate"/>
            </w:r>
            <w:r>
              <w:rPr>
                <w:noProof/>
                <w:webHidden/>
              </w:rPr>
              <w:t>2</w:t>
            </w:r>
            <w:r>
              <w:rPr>
                <w:noProof/>
                <w:webHidden/>
              </w:rPr>
              <w:fldChar w:fldCharType="end"/>
            </w:r>
          </w:hyperlink>
        </w:p>
        <w:p w14:paraId="7D2A965C" w14:textId="25AAED30" w:rsidR="002D21B0" w:rsidRDefault="002D21B0">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189062895" w:history="1">
            <w:r w:rsidRPr="00C4270B">
              <w:rPr>
                <w:rStyle w:val="Hyperlink"/>
                <w:noProof/>
              </w:rPr>
              <w:t>MEDICC2</w:t>
            </w:r>
            <w:r>
              <w:rPr>
                <w:noProof/>
                <w:webHidden/>
              </w:rPr>
              <w:tab/>
            </w:r>
            <w:r>
              <w:rPr>
                <w:noProof/>
                <w:webHidden/>
              </w:rPr>
              <w:fldChar w:fldCharType="begin"/>
            </w:r>
            <w:r>
              <w:rPr>
                <w:noProof/>
                <w:webHidden/>
              </w:rPr>
              <w:instrText xml:space="preserve"> PAGEREF _Toc189062895 \h </w:instrText>
            </w:r>
            <w:r>
              <w:rPr>
                <w:noProof/>
                <w:webHidden/>
              </w:rPr>
            </w:r>
            <w:r>
              <w:rPr>
                <w:noProof/>
                <w:webHidden/>
              </w:rPr>
              <w:fldChar w:fldCharType="separate"/>
            </w:r>
            <w:r>
              <w:rPr>
                <w:noProof/>
                <w:webHidden/>
              </w:rPr>
              <w:t>2</w:t>
            </w:r>
            <w:r>
              <w:rPr>
                <w:noProof/>
                <w:webHidden/>
              </w:rPr>
              <w:fldChar w:fldCharType="end"/>
            </w:r>
          </w:hyperlink>
        </w:p>
        <w:p w14:paraId="65D740E1" w14:textId="2D0E65AE" w:rsidR="002D21B0" w:rsidRDefault="002D21B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9062896" w:history="1">
            <w:r w:rsidRPr="00C4270B">
              <w:rPr>
                <w:rStyle w:val="Hyperlink"/>
                <w:noProof/>
              </w:rPr>
              <w:t>Exploring characteristics of samples with a high proportion of subclonal pre-whole genome doubling variants</w:t>
            </w:r>
            <w:r>
              <w:rPr>
                <w:noProof/>
                <w:webHidden/>
              </w:rPr>
              <w:tab/>
            </w:r>
            <w:r>
              <w:rPr>
                <w:noProof/>
                <w:webHidden/>
              </w:rPr>
              <w:fldChar w:fldCharType="begin"/>
            </w:r>
            <w:r>
              <w:rPr>
                <w:noProof/>
                <w:webHidden/>
              </w:rPr>
              <w:instrText xml:space="preserve"> PAGEREF _Toc189062896 \h </w:instrText>
            </w:r>
            <w:r>
              <w:rPr>
                <w:noProof/>
                <w:webHidden/>
              </w:rPr>
            </w:r>
            <w:r>
              <w:rPr>
                <w:noProof/>
                <w:webHidden/>
              </w:rPr>
              <w:fldChar w:fldCharType="separate"/>
            </w:r>
            <w:r>
              <w:rPr>
                <w:noProof/>
                <w:webHidden/>
              </w:rPr>
              <w:t>3</w:t>
            </w:r>
            <w:r>
              <w:rPr>
                <w:noProof/>
                <w:webHidden/>
              </w:rPr>
              <w:fldChar w:fldCharType="end"/>
            </w:r>
          </w:hyperlink>
        </w:p>
        <w:p w14:paraId="0DE0E284" w14:textId="04AEDF7F" w:rsidR="002D21B0" w:rsidRDefault="002D21B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189062897" w:history="1">
            <w:r w:rsidRPr="00C4270B">
              <w:rPr>
                <w:rStyle w:val="Hyperlink"/>
                <w:noProof/>
              </w:rPr>
              <w:t>Supplementary Tables</w:t>
            </w:r>
            <w:r>
              <w:rPr>
                <w:noProof/>
                <w:webHidden/>
              </w:rPr>
              <w:tab/>
            </w:r>
            <w:r>
              <w:rPr>
                <w:noProof/>
                <w:webHidden/>
              </w:rPr>
              <w:fldChar w:fldCharType="begin"/>
            </w:r>
            <w:r>
              <w:rPr>
                <w:noProof/>
                <w:webHidden/>
              </w:rPr>
              <w:instrText xml:space="preserve"> PAGEREF _Toc189062897 \h </w:instrText>
            </w:r>
            <w:r>
              <w:rPr>
                <w:noProof/>
                <w:webHidden/>
              </w:rPr>
            </w:r>
            <w:r>
              <w:rPr>
                <w:noProof/>
                <w:webHidden/>
              </w:rPr>
              <w:fldChar w:fldCharType="separate"/>
            </w:r>
            <w:r>
              <w:rPr>
                <w:noProof/>
                <w:webHidden/>
              </w:rPr>
              <w:t>4</w:t>
            </w:r>
            <w:r>
              <w:rPr>
                <w:noProof/>
                <w:webHidden/>
              </w:rPr>
              <w:fldChar w:fldCharType="end"/>
            </w:r>
          </w:hyperlink>
        </w:p>
        <w:p w14:paraId="075E8F37" w14:textId="6C150ADA" w:rsidR="002D21B0" w:rsidRDefault="002D21B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9062898" w:history="1">
            <w:r w:rsidRPr="00C4270B">
              <w:rPr>
                <w:rStyle w:val="Hyperlink"/>
                <w:noProof/>
              </w:rPr>
              <w:t>Sample characteristics</w:t>
            </w:r>
            <w:r>
              <w:rPr>
                <w:noProof/>
                <w:webHidden/>
              </w:rPr>
              <w:tab/>
            </w:r>
            <w:r>
              <w:rPr>
                <w:noProof/>
                <w:webHidden/>
              </w:rPr>
              <w:fldChar w:fldCharType="begin"/>
            </w:r>
            <w:r>
              <w:rPr>
                <w:noProof/>
                <w:webHidden/>
              </w:rPr>
              <w:instrText xml:space="preserve"> PAGEREF _Toc189062898 \h </w:instrText>
            </w:r>
            <w:r>
              <w:rPr>
                <w:noProof/>
                <w:webHidden/>
              </w:rPr>
            </w:r>
            <w:r>
              <w:rPr>
                <w:noProof/>
                <w:webHidden/>
              </w:rPr>
              <w:fldChar w:fldCharType="separate"/>
            </w:r>
            <w:r>
              <w:rPr>
                <w:noProof/>
                <w:webHidden/>
              </w:rPr>
              <w:t>4</w:t>
            </w:r>
            <w:r>
              <w:rPr>
                <w:noProof/>
                <w:webHidden/>
              </w:rPr>
              <w:fldChar w:fldCharType="end"/>
            </w:r>
          </w:hyperlink>
        </w:p>
        <w:p w14:paraId="51A8D95E" w14:textId="2F39054C" w:rsidR="002D21B0" w:rsidRDefault="002D21B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9062899" w:history="1">
            <w:r w:rsidRPr="00C4270B">
              <w:rPr>
                <w:rStyle w:val="Hyperlink"/>
                <w:noProof/>
              </w:rPr>
              <w:t xml:space="preserve">Mechanisms of resistance to </w:t>
            </w:r>
            <w:r w:rsidRPr="00C4270B">
              <w:rPr>
                <w:rStyle w:val="Hyperlink"/>
                <w:i/>
                <w:noProof/>
              </w:rPr>
              <w:t>EGFR</w:t>
            </w:r>
            <w:r w:rsidRPr="00C4270B">
              <w:rPr>
                <w:rStyle w:val="Hyperlink"/>
                <w:noProof/>
              </w:rPr>
              <w:t xml:space="preserve"> TKI explored using ctDNA</w:t>
            </w:r>
            <w:r>
              <w:rPr>
                <w:noProof/>
                <w:webHidden/>
              </w:rPr>
              <w:tab/>
            </w:r>
            <w:r>
              <w:rPr>
                <w:noProof/>
                <w:webHidden/>
              </w:rPr>
              <w:fldChar w:fldCharType="begin"/>
            </w:r>
            <w:r>
              <w:rPr>
                <w:noProof/>
                <w:webHidden/>
              </w:rPr>
              <w:instrText xml:space="preserve"> PAGEREF _Toc189062899 \h </w:instrText>
            </w:r>
            <w:r>
              <w:rPr>
                <w:noProof/>
                <w:webHidden/>
              </w:rPr>
            </w:r>
            <w:r>
              <w:rPr>
                <w:noProof/>
                <w:webHidden/>
              </w:rPr>
              <w:fldChar w:fldCharType="separate"/>
            </w:r>
            <w:r>
              <w:rPr>
                <w:noProof/>
                <w:webHidden/>
              </w:rPr>
              <w:t>5</w:t>
            </w:r>
            <w:r>
              <w:rPr>
                <w:noProof/>
                <w:webHidden/>
              </w:rPr>
              <w:fldChar w:fldCharType="end"/>
            </w:r>
          </w:hyperlink>
        </w:p>
        <w:p w14:paraId="55A7C151" w14:textId="302BE946" w:rsidR="002D21B0" w:rsidRDefault="002D21B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9062900" w:history="1">
            <w:r w:rsidRPr="00C4270B">
              <w:rPr>
                <w:rStyle w:val="Hyperlink"/>
                <w:noProof/>
              </w:rPr>
              <w:t>HLA class I prediction results</w:t>
            </w:r>
            <w:r>
              <w:rPr>
                <w:noProof/>
                <w:webHidden/>
              </w:rPr>
              <w:tab/>
            </w:r>
            <w:r>
              <w:rPr>
                <w:noProof/>
                <w:webHidden/>
              </w:rPr>
              <w:fldChar w:fldCharType="begin"/>
            </w:r>
            <w:r>
              <w:rPr>
                <w:noProof/>
                <w:webHidden/>
              </w:rPr>
              <w:instrText xml:space="preserve"> PAGEREF _Toc189062900 \h </w:instrText>
            </w:r>
            <w:r>
              <w:rPr>
                <w:noProof/>
                <w:webHidden/>
              </w:rPr>
            </w:r>
            <w:r>
              <w:rPr>
                <w:noProof/>
                <w:webHidden/>
              </w:rPr>
              <w:fldChar w:fldCharType="separate"/>
            </w:r>
            <w:r>
              <w:rPr>
                <w:noProof/>
                <w:webHidden/>
              </w:rPr>
              <w:t>6</w:t>
            </w:r>
            <w:r>
              <w:rPr>
                <w:noProof/>
                <w:webHidden/>
              </w:rPr>
              <w:fldChar w:fldCharType="end"/>
            </w:r>
          </w:hyperlink>
        </w:p>
        <w:p w14:paraId="1FB015EC" w14:textId="5EC1CC8D" w:rsidR="002D21B0" w:rsidRDefault="002D21B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9062901" w:history="1">
            <w:r w:rsidRPr="00C4270B">
              <w:rPr>
                <w:rStyle w:val="Hyperlink"/>
                <w:noProof/>
              </w:rPr>
              <w:t>Immune genes</w:t>
            </w:r>
            <w:r>
              <w:rPr>
                <w:noProof/>
                <w:webHidden/>
              </w:rPr>
              <w:tab/>
            </w:r>
            <w:r>
              <w:rPr>
                <w:noProof/>
                <w:webHidden/>
              </w:rPr>
              <w:fldChar w:fldCharType="begin"/>
            </w:r>
            <w:r>
              <w:rPr>
                <w:noProof/>
                <w:webHidden/>
              </w:rPr>
              <w:instrText xml:space="preserve"> PAGEREF _Toc189062901 \h </w:instrText>
            </w:r>
            <w:r>
              <w:rPr>
                <w:noProof/>
                <w:webHidden/>
              </w:rPr>
            </w:r>
            <w:r>
              <w:rPr>
                <w:noProof/>
                <w:webHidden/>
              </w:rPr>
              <w:fldChar w:fldCharType="separate"/>
            </w:r>
            <w:r>
              <w:rPr>
                <w:noProof/>
                <w:webHidden/>
              </w:rPr>
              <w:t>6</w:t>
            </w:r>
            <w:r>
              <w:rPr>
                <w:noProof/>
                <w:webHidden/>
              </w:rPr>
              <w:fldChar w:fldCharType="end"/>
            </w:r>
          </w:hyperlink>
        </w:p>
        <w:p w14:paraId="4145BBE0" w14:textId="559CF3C8" w:rsidR="002D21B0" w:rsidRDefault="002D21B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9062902" w:history="1">
            <w:r w:rsidRPr="00C4270B">
              <w:rPr>
                <w:rStyle w:val="Hyperlink"/>
                <w:i/>
                <w:noProof/>
              </w:rPr>
              <w:t xml:space="preserve">CXCL9 </w:t>
            </w:r>
            <w:r w:rsidRPr="00C4270B">
              <w:rPr>
                <w:rStyle w:val="Hyperlink"/>
                <w:noProof/>
              </w:rPr>
              <w:t>expression</w:t>
            </w:r>
            <w:r>
              <w:rPr>
                <w:noProof/>
                <w:webHidden/>
              </w:rPr>
              <w:tab/>
            </w:r>
            <w:r>
              <w:rPr>
                <w:noProof/>
                <w:webHidden/>
              </w:rPr>
              <w:fldChar w:fldCharType="begin"/>
            </w:r>
            <w:r>
              <w:rPr>
                <w:noProof/>
                <w:webHidden/>
              </w:rPr>
              <w:instrText xml:space="preserve"> PAGEREF _Toc189062902 \h </w:instrText>
            </w:r>
            <w:r>
              <w:rPr>
                <w:noProof/>
                <w:webHidden/>
              </w:rPr>
            </w:r>
            <w:r>
              <w:rPr>
                <w:noProof/>
                <w:webHidden/>
              </w:rPr>
              <w:fldChar w:fldCharType="separate"/>
            </w:r>
            <w:r>
              <w:rPr>
                <w:noProof/>
                <w:webHidden/>
              </w:rPr>
              <w:t>6</w:t>
            </w:r>
            <w:r>
              <w:rPr>
                <w:noProof/>
                <w:webHidden/>
              </w:rPr>
              <w:fldChar w:fldCharType="end"/>
            </w:r>
          </w:hyperlink>
        </w:p>
        <w:p w14:paraId="2B45629C" w14:textId="0A23A043" w:rsidR="002D21B0" w:rsidRDefault="002D21B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189062903" w:history="1">
            <w:r w:rsidRPr="00C4270B">
              <w:rPr>
                <w:rStyle w:val="Hyperlink"/>
                <w:noProof/>
              </w:rPr>
              <w:t>References</w:t>
            </w:r>
            <w:r>
              <w:rPr>
                <w:noProof/>
                <w:webHidden/>
              </w:rPr>
              <w:tab/>
            </w:r>
            <w:r>
              <w:rPr>
                <w:noProof/>
                <w:webHidden/>
              </w:rPr>
              <w:fldChar w:fldCharType="begin"/>
            </w:r>
            <w:r>
              <w:rPr>
                <w:noProof/>
                <w:webHidden/>
              </w:rPr>
              <w:instrText xml:space="preserve"> PAGEREF _Toc189062903 \h </w:instrText>
            </w:r>
            <w:r>
              <w:rPr>
                <w:noProof/>
                <w:webHidden/>
              </w:rPr>
            </w:r>
            <w:r>
              <w:rPr>
                <w:noProof/>
                <w:webHidden/>
              </w:rPr>
              <w:fldChar w:fldCharType="separate"/>
            </w:r>
            <w:r>
              <w:rPr>
                <w:noProof/>
                <w:webHidden/>
              </w:rPr>
              <w:t>7</w:t>
            </w:r>
            <w:r>
              <w:rPr>
                <w:noProof/>
                <w:webHidden/>
              </w:rPr>
              <w:fldChar w:fldCharType="end"/>
            </w:r>
          </w:hyperlink>
        </w:p>
        <w:p w14:paraId="1137B1FE" w14:textId="1FE4B32C" w:rsidR="00407E2A" w:rsidRDefault="00407E2A">
          <w:pPr>
            <w:widowControl w:val="0"/>
            <w:tabs>
              <w:tab w:val="right" w:leader="dot" w:pos="12000"/>
            </w:tabs>
            <w:spacing w:before="60"/>
            <w:jc w:val="left"/>
            <w:rPr>
              <w:b/>
              <w:color w:val="000000"/>
            </w:rPr>
          </w:pPr>
          <w:r>
            <w:fldChar w:fldCharType="end"/>
          </w:r>
        </w:p>
      </w:sdtContent>
    </w:sdt>
    <w:p w14:paraId="20B42043" w14:textId="77777777" w:rsidR="00407E2A" w:rsidRDefault="00407E2A">
      <w:pPr>
        <w:jc w:val="center"/>
        <w:rPr>
          <w:rFonts w:ascii="Calibri" w:eastAsia="Calibri" w:hAnsi="Calibri" w:cs="Calibri"/>
          <w:b/>
          <w:color w:val="2F5496"/>
          <w:sz w:val="28"/>
          <w:szCs w:val="28"/>
        </w:rPr>
      </w:pPr>
    </w:p>
    <w:p w14:paraId="39466CA7" w14:textId="77777777" w:rsidR="00407E2A" w:rsidRDefault="00000000">
      <w:pPr>
        <w:rPr>
          <w:b/>
        </w:rPr>
      </w:pPr>
      <w:r>
        <w:br w:type="page"/>
      </w:r>
    </w:p>
    <w:p w14:paraId="5DC312FD" w14:textId="77777777" w:rsidR="00407E2A" w:rsidRDefault="00000000">
      <w:pPr>
        <w:pStyle w:val="Heading1"/>
      </w:pPr>
      <w:bookmarkStart w:id="0" w:name="_Toc189062892"/>
      <w:r>
        <w:lastRenderedPageBreak/>
        <w:t>Supplementary Note</w:t>
      </w:r>
      <w:bookmarkEnd w:id="0"/>
    </w:p>
    <w:p w14:paraId="1FBC6953" w14:textId="77777777" w:rsidR="00407E2A" w:rsidRDefault="00407E2A"/>
    <w:p w14:paraId="1A2160D5" w14:textId="77777777" w:rsidR="00407E2A" w:rsidRDefault="00000000">
      <w:pPr>
        <w:pStyle w:val="Heading2"/>
      </w:pPr>
      <w:bookmarkStart w:id="1" w:name="_Toc189062893"/>
      <w:r>
        <w:t>Orthogonal phylogenetic analyses</w:t>
      </w:r>
      <w:bookmarkEnd w:id="1"/>
    </w:p>
    <w:p w14:paraId="0D8C9064" w14:textId="77777777" w:rsidR="00407E2A" w:rsidRDefault="00000000">
      <w:pPr>
        <w:pStyle w:val="Heading3"/>
      </w:pPr>
      <w:bookmarkStart w:id="2" w:name="_Toc189062894"/>
      <w:proofErr w:type="spellStart"/>
      <w:r>
        <w:t>SciClone</w:t>
      </w:r>
      <w:bookmarkEnd w:id="2"/>
      <w:proofErr w:type="spellEnd"/>
    </w:p>
    <w:p w14:paraId="648C0AF7" w14:textId="30779665" w:rsidR="00407E2A" w:rsidRDefault="00000000">
      <w:r>
        <w:t>SciClone</w:t>
      </w:r>
      <w:r>
        <w:rPr>
          <w:vertAlign w:val="superscript"/>
        </w:rPr>
        <w:t>5</w:t>
      </w:r>
      <w:r w:rsidR="00C90DCE">
        <w:rPr>
          <w:vertAlign w:val="superscript"/>
        </w:rPr>
        <w:t>5</w:t>
      </w:r>
      <w:r>
        <w:t xml:space="preserve"> (v1.1.0) was also used to generate mutation clusters to compare to the output from the </w:t>
      </w:r>
      <w:proofErr w:type="spellStart"/>
      <w:r>
        <w:t>PyClone</w:t>
      </w:r>
      <w:proofErr w:type="spellEnd"/>
      <w:r>
        <w:t xml:space="preserve"> based method described in the case report (Supplementary Figure 1). </w:t>
      </w:r>
      <w:proofErr w:type="spellStart"/>
      <w:r>
        <w:t>SciClone</w:t>
      </w:r>
      <w:proofErr w:type="spellEnd"/>
      <w:r>
        <w:t xml:space="preserve"> clustering did not </w:t>
      </w:r>
      <w:proofErr w:type="gramStart"/>
      <w:r>
        <w:t>take into account</w:t>
      </w:r>
      <w:proofErr w:type="gramEnd"/>
      <w:r>
        <w:t xml:space="preserve"> copy number aberrations and clustered based on mutation variant allele frequencies (VAFs). </w:t>
      </w:r>
      <w:proofErr w:type="gramStart"/>
      <w:r>
        <w:t>With the exception of</w:t>
      </w:r>
      <w:proofErr w:type="gramEnd"/>
      <w:r>
        <w:t xml:space="preserve"> </w:t>
      </w:r>
      <w:proofErr w:type="spellStart"/>
      <w:r>
        <w:t>PyClone</w:t>
      </w:r>
      <w:proofErr w:type="spellEnd"/>
      <w:r>
        <w:t xml:space="preserve"> Cluster 1, each </w:t>
      </w:r>
      <w:proofErr w:type="spellStart"/>
      <w:r>
        <w:t>PyClone</w:t>
      </w:r>
      <w:proofErr w:type="spellEnd"/>
      <w:r>
        <w:t xml:space="preserve"> Cluster lies within a single </w:t>
      </w:r>
      <w:proofErr w:type="spellStart"/>
      <w:r>
        <w:t>sciClone</w:t>
      </w:r>
      <w:proofErr w:type="spellEnd"/>
      <w:r>
        <w:t xml:space="preserve"> cluster. The variation seen in </w:t>
      </w:r>
      <w:proofErr w:type="spellStart"/>
      <w:r>
        <w:t>PyClone</w:t>
      </w:r>
      <w:proofErr w:type="spellEnd"/>
      <w:r>
        <w:t xml:space="preserve"> cluster 1 is explained by copy number differences such as genome doubling status of the mutation or copy number losses. These results suggest that our </w:t>
      </w:r>
      <w:proofErr w:type="spellStart"/>
      <w:r>
        <w:t>PyClone</w:t>
      </w:r>
      <w:proofErr w:type="spellEnd"/>
      <w:r>
        <w:t xml:space="preserve"> clustering output is likely robust.</w:t>
      </w:r>
    </w:p>
    <w:p w14:paraId="6B8DA03C" w14:textId="77777777" w:rsidR="00407E2A" w:rsidRDefault="00407E2A"/>
    <w:p w14:paraId="33491D53" w14:textId="77777777" w:rsidR="00407E2A" w:rsidRDefault="00000000">
      <w:pPr>
        <w:spacing w:after="240"/>
        <w:jc w:val="left"/>
      </w:pPr>
      <w:r>
        <w:rPr>
          <w:noProof/>
        </w:rPr>
        <w:drawing>
          <wp:inline distT="0" distB="0" distL="0" distR="0" wp14:anchorId="31FFF7F2" wp14:editId="43D7CD10">
            <wp:extent cx="5486400" cy="3657600"/>
            <wp:effectExtent l="0" t="0" r="0" b="0"/>
            <wp:docPr id="6" name="image5.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 scatter chart&#10;&#10;Description automatically generated"/>
                    <pic:cNvPicPr preferRelativeResize="0"/>
                  </pic:nvPicPr>
                  <pic:blipFill>
                    <a:blip r:embed="rId4"/>
                    <a:srcRect/>
                    <a:stretch>
                      <a:fillRect/>
                    </a:stretch>
                  </pic:blipFill>
                  <pic:spPr>
                    <a:xfrm>
                      <a:off x="0" y="0"/>
                      <a:ext cx="5486400" cy="3657600"/>
                    </a:xfrm>
                    <a:prstGeom prst="rect">
                      <a:avLst/>
                    </a:prstGeom>
                    <a:ln/>
                  </pic:spPr>
                </pic:pic>
              </a:graphicData>
            </a:graphic>
          </wp:inline>
        </w:drawing>
      </w:r>
    </w:p>
    <w:p w14:paraId="16F6D8D7" w14:textId="77777777" w:rsidR="00407E2A" w:rsidRDefault="00000000">
      <w:pPr>
        <w:spacing w:after="200"/>
      </w:pPr>
      <w:r>
        <w:rPr>
          <w:b/>
          <w:color w:val="44546A"/>
          <w:sz w:val="20"/>
          <w:szCs w:val="20"/>
          <w:u w:val="single"/>
        </w:rPr>
        <w:t>Supplementary Figure 1.</w:t>
      </w:r>
      <w:r>
        <w:rPr>
          <w:color w:val="44546A"/>
          <w:sz w:val="20"/>
          <w:szCs w:val="20"/>
        </w:rPr>
        <w:t xml:space="preserve"> Comparison of </w:t>
      </w:r>
      <w:proofErr w:type="spellStart"/>
      <w:r>
        <w:rPr>
          <w:color w:val="44546A"/>
          <w:sz w:val="20"/>
          <w:szCs w:val="20"/>
        </w:rPr>
        <w:t>SciClone</w:t>
      </w:r>
      <w:proofErr w:type="spellEnd"/>
      <w:r>
        <w:rPr>
          <w:color w:val="44546A"/>
          <w:sz w:val="20"/>
          <w:szCs w:val="20"/>
        </w:rPr>
        <w:t xml:space="preserve"> and </w:t>
      </w:r>
      <w:proofErr w:type="spellStart"/>
      <w:r>
        <w:rPr>
          <w:color w:val="44546A"/>
          <w:sz w:val="20"/>
          <w:szCs w:val="20"/>
        </w:rPr>
        <w:t>PyClone</w:t>
      </w:r>
      <w:proofErr w:type="spellEnd"/>
      <w:r>
        <w:rPr>
          <w:color w:val="44546A"/>
          <w:sz w:val="20"/>
          <w:szCs w:val="20"/>
        </w:rPr>
        <w:t xml:space="preserve"> clustering.</w:t>
      </w:r>
    </w:p>
    <w:p w14:paraId="16E961DC" w14:textId="77777777" w:rsidR="00407E2A" w:rsidRDefault="00407E2A"/>
    <w:p w14:paraId="125BFFC7" w14:textId="77777777" w:rsidR="00407E2A" w:rsidRDefault="00000000">
      <w:pPr>
        <w:pStyle w:val="Heading3"/>
        <w:rPr>
          <w:color w:val="000000"/>
        </w:rPr>
      </w:pPr>
      <w:bookmarkStart w:id="3" w:name="_Toc189062895"/>
      <w:r>
        <w:t>MEDICC2</w:t>
      </w:r>
      <w:bookmarkEnd w:id="3"/>
      <w:r>
        <w:t xml:space="preserve"> </w:t>
      </w:r>
    </w:p>
    <w:p w14:paraId="6E703A60" w14:textId="47B8335C" w:rsidR="00407E2A" w:rsidRDefault="00000000">
      <w:r>
        <w:t>Regional somatic copy number trees were also generated to understand the relationship of the primary and metastatic regions using MEDICC2</w:t>
      </w:r>
      <w:r>
        <w:rPr>
          <w:vertAlign w:val="superscript"/>
        </w:rPr>
        <w:t>5</w:t>
      </w:r>
      <w:r w:rsidR="00C90DCE">
        <w:rPr>
          <w:vertAlign w:val="superscript"/>
        </w:rPr>
        <w:t>6</w:t>
      </w:r>
      <w:r w:rsidR="00E6514E">
        <w:rPr>
          <w:vertAlign w:val="superscript"/>
        </w:rPr>
        <w:t>,5</w:t>
      </w:r>
      <w:r w:rsidR="00C90DCE">
        <w:rPr>
          <w:vertAlign w:val="superscript"/>
        </w:rPr>
        <w:t>7</w:t>
      </w:r>
      <w:r>
        <w:t xml:space="preserve"> (Minimum Event Distance for Intra-tumour Copy number Comparisons, v1.3.2). Whilst this only provided a region-based tree (Supplementary Figure 2), it supports the finding that the liver metastasis (38 months) and the mediastinal mass (45 months) are more closely related to each other; and that the supraclavicular LN (7 months) and RUL metastasis (19 months) are more closely related to each other, supporting the phylogenetic tree generated (</w:t>
      </w:r>
      <w:r>
        <w:rPr>
          <w:b/>
        </w:rPr>
        <w:t>Fig. 1b</w:t>
      </w:r>
      <w:r>
        <w:t xml:space="preserve">). </w:t>
      </w:r>
    </w:p>
    <w:p w14:paraId="627C60D8" w14:textId="77777777" w:rsidR="00407E2A" w:rsidRDefault="00407E2A"/>
    <w:p w14:paraId="589C34EE" w14:textId="77777777" w:rsidR="00407E2A" w:rsidRDefault="00000000">
      <w:r>
        <w:rPr>
          <w:noProof/>
        </w:rPr>
        <w:lastRenderedPageBreak/>
        <w:drawing>
          <wp:inline distT="114300" distB="114300" distL="114300" distR="114300" wp14:anchorId="48E2C9F6" wp14:editId="3F6AB277">
            <wp:extent cx="5731200" cy="17907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5731200" cy="1790700"/>
                    </a:xfrm>
                    <a:prstGeom prst="rect">
                      <a:avLst/>
                    </a:prstGeom>
                    <a:ln/>
                  </pic:spPr>
                </pic:pic>
              </a:graphicData>
            </a:graphic>
          </wp:inline>
        </w:drawing>
      </w:r>
    </w:p>
    <w:p w14:paraId="7BA76EF7" w14:textId="77777777" w:rsidR="00407E2A" w:rsidRDefault="00000000">
      <w:pPr>
        <w:spacing w:after="200"/>
      </w:pPr>
      <w:r>
        <w:rPr>
          <w:b/>
          <w:color w:val="44546A"/>
          <w:sz w:val="20"/>
          <w:szCs w:val="20"/>
          <w:u w:val="single"/>
        </w:rPr>
        <w:t>Supplementary Figure 2.</w:t>
      </w:r>
      <w:r>
        <w:rPr>
          <w:color w:val="44546A"/>
          <w:sz w:val="20"/>
          <w:szCs w:val="20"/>
        </w:rPr>
        <w:t xml:space="preserve"> MEDICC somatic copy number region-based tree</w:t>
      </w:r>
    </w:p>
    <w:p w14:paraId="6158F822" w14:textId="77777777" w:rsidR="00407E2A" w:rsidRDefault="00407E2A"/>
    <w:p w14:paraId="2D341AAD" w14:textId="77777777" w:rsidR="00407E2A" w:rsidRDefault="00000000">
      <w:pPr>
        <w:pStyle w:val="Heading2"/>
      </w:pPr>
      <w:bookmarkStart w:id="4" w:name="_Toc189062896"/>
      <w:r>
        <w:t>Exploring characteristics of samples with a high proportion of subclonal pre-whole genome doubling variants</w:t>
      </w:r>
      <w:bookmarkEnd w:id="4"/>
    </w:p>
    <w:p w14:paraId="42F02F05" w14:textId="77777777" w:rsidR="00407E2A" w:rsidRDefault="00000000">
      <w:r>
        <w:t xml:space="preserve">The characteristics of samples with a low proportion of clonal, pre-WGD mutations were compared to those with a high proportion of clonal, pre-WGD mutations (lowest 5th centile vs remaining samples). There was no difference in total number of mutations explored in each region (lowest vs remaining samples: 105 vs 161; Wilcoxon rank sum test </w:t>
      </w:r>
      <w:r>
        <w:rPr>
          <w:i/>
        </w:rPr>
        <w:t>p</w:t>
      </w:r>
      <w:r>
        <w:t xml:space="preserve">=0.14), number of genome doubling events detected in that region (Fisher’s exact test </w:t>
      </w:r>
      <w:r>
        <w:rPr>
          <w:i/>
        </w:rPr>
        <w:t>p</w:t>
      </w:r>
      <w:r>
        <w:t xml:space="preserve">=0.32), weighted genomic instability index of that region (wGII – a measure of chromosomal instability; lowest vs remaining samples: 0.57 vs 0.56, Wilcoxon rank sum test </w:t>
      </w:r>
      <w:r>
        <w:rPr>
          <w:i/>
        </w:rPr>
        <w:t>p</w:t>
      </w:r>
      <w:r>
        <w:t xml:space="preserve">=0.26) or histology (Fisher’s exact test </w:t>
      </w:r>
      <w:r>
        <w:rPr>
          <w:i/>
        </w:rPr>
        <w:t>p</w:t>
      </w:r>
      <w:r>
        <w:t>=0.66). Strikingly, regions with a high proportion of subclonal pre-WGD variants were enriched in tumours with subclonal WGD events and tumours with a higher number of sampled regions (</w:t>
      </w:r>
      <w:r>
        <w:rPr>
          <w:i/>
        </w:rPr>
        <w:t>p</w:t>
      </w:r>
      <w:r>
        <w:t xml:space="preserve">&lt;2.2e-16 &amp; </w:t>
      </w:r>
      <w:r>
        <w:rPr>
          <w:i/>
        </w:rPr>
        <w:t>p</w:t>
      </w:r>
      <w:r>
        <w:t xml:space="preserve">=0.045 respectively; ANOVA testing of fixed linear effects model incorporating tumour GD clonality, number of regions sequenced, histology, tumour size, region wGII and number of GD events in each region; </w:t>
      </w:r>
      <w:r>
        <w:rPr>
          <w:b/>
        </w:rPr>
        <w:t>Fig. 3</w:t>
      </w:r>
      <w:r>
        <w:t xml:space="preserve">). </w:t>
      </w:r>
    </w:p>
    <w:p w14:paraId="1348BA4C" w14:textId="77777777" w:rsidR="00407E2A" w:rsidRDefault="00000000">
      <w:pPr>
        <w:pStyle w:val="Heading1"/>
      </w:pPr>
      <w:bookmarkStart w:id="5" w:name="_clxo32p5ial2" w:colFirst="0" w:colLast="0"/>
      <w:bookmarkEnd w:id="5"/>
      <w:r>
        <w:br w:type="page"/>
      </w:r>
    </w:p>
    <w:p w14:paraId="681FA32A" w14:textId="77777777" w:rsidR="00407E2A" w:rsidRDefault="00000000">
      <w:pPr>
        <w:pStyle w:val="Heading1"/>
      </w:pPr>
      <w:bookmarkStart w:id="6" w:name="_Toc189062897"/>
      <w:r>
        <w:lastRenderedPageBreak/>
        <w:t>Supplementary Tables</w:t>
      </w:r>
      <w:bookmarkEnd w:id="6"/>
    </w:p>
    <w:p w14:paraId="20C36CE2" w14:textId="77777777" w:rsidR="00407E2A" w:rsidRDefault="00407E2A">
      <w:pPr>
        <w:pStyle w:val="Heading2"/>
      </w:pPr>
      <w:bookmarkStart w:id="7" w:name="_52y3ejil15ma" w:colFirst="0" w:colLast="0"/>
      <w:bookmarkEnd w:id="7"/>
    </w:p>
    <w:p w14:paraId="0434DFCA" w14:textId="77777777" w:rsidR="00407E2A" w:rsidRDefault="00000000">
      <w:pPr>
        <w:pStyle w:val="Heading2"/>
      </w:pPr>
      <w:bookmarkStart w:id="8" w:name="_Toc189062898"/>
      <w:r>
        <w:t>Sample characteristics</w:t>
      </w:r>
      <w:bookmarkEnd w:id="8"/>
    </w:p>
    <w:p w14:paraId="7B79F902" w14:textId="77777777" w:rsidR="00407E2A" w:rsidRDefault="00000000">
      <w:r>
        <w:rPr>
          <w:noProof/>
        </w:rPr>
        <w:drawing>
          <wp:inline distT="0" distB="0" distL="0" distR="0" wp14:anchorId="7B4D5FBC" wp14:editId="625EADB3">
            <wp:extent cx="5731510" cy="132334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510" cy="1323340"/>
                    </a:xfrm>
                    <a:prstGeom prst="rect">
                      <a:avLst/>
                    </a:prstGeom>
                    <a:ln/>
                  </pic:spPr>
                </pic:pic>
              </a:graphicData>
            </a:graphic>
          </wp:inline>
        </w:drawing>
      </w:r>
    </w:p>
    <w:p w14:paraId="1152BD83" w14:textId="77777777" w:rsidR="00407E2A" w:rsidRDefault="00000000">
      <w:pPr>
        <w:pBdr>
          <w:top w:val="nil"/>
          <w:left w:val="nil"/>
          <w:bottom w:val="nil"/>
          <w:right w:val="nil"/>
          <w:between w:val="nil"/>
        </w:pBdr>
        <w:spacing w:after="200"/>
      </w:pPr>
      <w:r>
        <w:rPr>
          <w:b/>
          <w:color w:val="44546A"/>
          <w:sz w:val="20"/>
          <w:szCs w:val="20"/>
          <w:u w:val="single"/>
        </w:rPr>
        <w:t>Supplementary Table 1.</w:t>
      </w:r>
      <w:r>
        <w:rPr>
          <w:color w:val="44546A"/>
          <w:sz w:val="20"/>
          <w:szCs w:val="20"/>
        </w:rPr>
        <w:t xml:space="preserve"> Summary of sample characteristics including sample type, depth, duplication, purity, ploidy, and total number of somatic mutations detected mutations</w:t>
      </w:r>
    </w:p>
    <w:p w14:paraId="2E3D00C4" w14:textId="77777777" w:rsidR="00407E2A" w:rsidRDefault="00407E2A">
      <w:pPr>
        <w:pStyle w:val="Heading2"/>
      </w:pPr>
      <w:bookmarkStart w:id="9" w:name="_jipsrlj74h3l" w:colFirst="0" w:colLast="0"/>
      <w:bookmarkEnd w:id="9"/>
    </w:p>
    <w:p w14:paraId="7E29347D" w14:textId="77777777" w:rsidR="00D06D8F" w:rsidRDefault="00D06D8F" w:rsidP="00D06D8F">
      <w:pPr>
        <w:pStyle w:val="Heading2"/>
      </w:pPr>
    </w:p>
    <w:p w14:paraId="71AF55D5" w14:textId="77777777" w:rsidR="00D06D8F" w:rsidRDefault="00D06D8F" w:rsidP="00D06D8F">
      <w:pPr>
        <w:pStyle w:val="Heading2"/>
      </w:pPr>
    </w:p>
    <w:p w14:paraId="4051D4E3" w14:textId="77777777" w:rsidR="00D06D8F" w:rsidRDefault="00D06D8F" w:rsidP="00D06D8F">
      <w:pPr>
        <w:pStyle w:val="Heading2"/>
      </w:pPr>
    </w:p>
    <w:p w14:paraId="0283C24B" w14:textId="77777777" w:rsidR="00D06D8F" w:rsidRDefault="00D06D8F" w:rsidP="00D06D8F">
      <w:pPr>
        <w:pStyle w:val="Heading2"/>
      </w:pPr>
    </w:p>
    <w:p w14:paraId="7CEBDB1B" w14:textId="77777777" w:rsidR="00D06D8F" w:rsidRDefault="00D06D8F" w:rsidP="00D06D8F">
      <w:pPr>
        <w:pStyle w:val="Heading2"/>
      </w:pPr>
    </w:p>
    <w:p w14:paraId="0F77DB36" w14:textId="77777777" w:rsidR="00D06D8F" w:rsidRDefault="00D06D8F" w:rsidP="00D06D8F">
      <w:pPr>
        <w:pStyle w:val="Heading2"/>
      </w:pPr>
    </w:p>
    <w:p w14:paraId="0D1FECB0" w14:textId="77777777" w:rsidR="00D06D8F" w:rsidRDefault="00D06D8F" w:rsidP="00D06D8F">
      <w:pPr>
        <w:pStyle w:val="Heading2"/>
      </w:pPr>
    </w:p>
    <w:p w14:paraId="3B6F4485" w14:textId="77777777" w:rsidR="00D06D8F" w:rsidRDefault="00D06D8F" w:rsidP="00D06D8F">
      <w:pPr>
        <w:pStyle w:val="Heading2"/>
      </w:pPr>
    </w:p>
    <w:p w14:paraId="60610F03" w14:textId="77777777" w:rsidR="00D06D8F" w:rsidRDefault="00D06D8F" w:rsidP="00D06D8F">
      <w:pPr>
        <w:pStyle w:val="Heading2"/>
      </w:pPr>
    </w:p>
    <w:p w14:paraId="6DC2DD10" w14:textId="77777777" w:rsidR="00D06D8F" w:rsidRDefault="00D06D8F" w:rsidP="00D06D8F">
      <w:pPr>
        <w:pStyle w:val="Heading2"/>
      </w:pPr>
    </w:p>
    <w:p w14:paraId="22BEEE92" w14:textId="77777777" w:rsidR="00D06D8F" w:rsidRDefault="00D06D8F" w:rsidP="00D06D8F">
      <w:pPr>
        <w:pStyle w:val="Heading2"/>
      </w:pPr>
    </w:p>
    <w:p w14:paraId="6A4404BB" w14:textId="77777777" w:rsidR="00D06D8F" w:rsidRDefault="00D06D8F" w:rsidP="00D06D8F">
      <w:pPr>
        <w:pStyle w:val="Heading2"/>
      </w:pPr>
    </w:p>
    <w:p w14:paraId="32130412" w14:textId="77777777" w:rsidR="00D06D8F" w:rsidRDefault="00D06D8F" w:rsidP="00D06D8F">
      <w:pPr>
        <w:pStyle w:val="Heading2"/>
      </w:pPr>
    </w:p>
    <w:p w14:paraId="11E1E3A7" w14:textId="77777777" w:rsidR="00D06D8F" w:rsidRDefault="00D06D8F" w:rsidP="00D06D8F">
      <w:pPr>
        <w:pStyle w:val="Heading2"/>
      </w:pPr>
    </w:p>
    <w:p w14:paraId="3C5555A0" w14:textId="77777777" w:rsidR="00D06D8F" w:rsidRDefault="00D06D8F" w:rsidP="00D06D8F">
      <w:pPr>
        <w:pStyle w:val="Heading2"/>
      </w:pPr>
    </w:p>
    <w:p w14:paraId="2733901D" w14:textId="77777777" w:rsidR="00D06D8F" w:rsidRDefault="00D06D8F" w:rsidP="00D06D8F">
      <w:pPr>
        <w:pStyle w:val="Heading2"/>
      </w:pPr>
    </w:p>
    <w:p w14:paraId="3CF5D67E" w14:textId="77777777" w:rsidR="00D06D8F" w:rsidRDefault="00D06D8F" w:rsidP="00D06D8F"/>
    <w:p w14:paraId="32CC1E0F" w14:textId="77777777" w:rsidR="00D06D8F" w:rsidRPr="00D06D8F" w:rsidRDefault="00D06D8F" w:rsidP="00D06D8F"/>
    <w:p w14:paraId="644308D4" w14:textId="77777777" w:rsidR="00D06D8F" w:rsidRDefault="00D06D8F" w:rsidP="00D06D8F">
      <w:pPr>
        <w:pStyle w:val="Heading2"/>
      </w:pPr>
    </w:p>
    <w:p w14:paraId="5B60E61B" w14:textId="77777777" w:rsidR="00D06D8F" w:rsidRDefault="00D06D8F" w:rsidP="00D06D8F">
      <w:pPr>
        <w:pStyle w:val="Heading2"/>
      </w:pPr>
    </w:p>
    <w:p w14:paraId="58963188" w14:textId="77777777" w:rsidR="00D06D8F" w:rsidRDefault="00D06D8F" w:rsidP="00D06D8F">
      <w:pPr>
        <w:pStyle w:val="Heading2"/>
      </w:pPr>
    </w:p>
    <w:p w14:paraId="654EBBAF" w14:textId="77777777" w:rsidR="00D06D8F" w:rsidRDefault="00D06D8F" w:rsidP="00D06D8F">
      <w:pPr>
        <w:pStyle w:val="Heading2"/>
      </w:pPr>
    </w:p>
    <w:p w14:paraId="78A6A425" w14:textId="77777777" w:rsidR="00D06D8F" w:rsidRDefault="00D06D8F" w:rsidP="00D06D8F">
      <w:pPr>
        <w:pStyle w:val="Heading2"/>
      </w:pPr>
    </w:p>
    <w:p w14:paraId="4FDEE992" w14:textId="77777777" w:rsidR="00D06D8F" w:rsidRDefault="00D06D8F" w:rsidP="00D06D8F">
      <w:pPr>
        <w:pStyle w:val="Heading2"/>
      </w:pPr>
    </w:p>
    <w:p w14:paraId="79A0E8CF" w14:textId="77777777" w:rsidR="00D06D8F" w:rsidRDefault="00D06D8F" w:rsidP="00D06D8F">
      <w:pPr>
        <w:pStyle w:val="Heading2"/>
      </w:pPr>
    </w:p>
    <w:p w14:paraId="65BB370F" w14:textId="77777777" w:rsidR="00D06D8F" w:rsidRPr="00D06D8F" w:rsidRDefault="00D06D8F" w:rsidP="00D06D8F"/>
    <w:p w14:paraId="6C004CC5" w14:textId="7D427574" w:rsidR="00D06D8F" w:rsidRDefault="00D06D8F" w:rsidP="00D06D8F">
      <w:pPr>
        <w:pStyle w:val="Heading2"/>
      </w:pPr>
      <w:bookmarkStart w:id="10" w:name="_Toc189062899"/>
      <w:r>
        <w:lastRenderedPageBreak/>
        <w:t xml:space="preserve">Mechanisms of resistance to </w:t>
      </w:r>
      <w:r>
        <w:rPr>
          <w:i/>
        </w:rPr>
        <w:t>EGFR</w:t>
      </w:r>
      <w:r>
        <w:t xml:space="preserve"> TKI explored using ctDNA</w:t>
      </w:r>
      <w:bookmarkEnd w:id="10"/>
    </w:p>
    <w:p w14:paraId="699920DD" w14:textId="4E20F6D1" w:rsidR="00D06D8F" w:rsidRDefault="00D06D8F" w:rsidP="00D06D8F">
      <w:r>
        <w:t xml:space="preserve">None of the mechanisms of resistance to </w:t>
      </w:r>
      <w:r>
        <w:rPr>
          <w:i/>
        </w:rPr>
        <w:t xml:space="preserve">EGFR </w:t>
      </w:r>
      <w:r>
        <w:t xml:space="preserve">TKI therapy highlighted in Supplementary Table </w:t>
      </w:r>
      <w:r w:rsidR="00E8104D">
        <w:t>2</w:t>
      </w:r>
      <w:r>
        <w:t xml:space="preserve"> were identified in the ctDNA at any timepoint.</w:t>
      </w:r>
    </w:p>
    <w:p w14:paraId="709A85B8" w14:textId="248871D9" w:rsidR="00D06D8F" w:rsidRDefault="00D06D8F" w:rsidP="00D06D8F">
      <w:r>
        <w:t xml:space="preserve"> </w:t>
      </w:r>
      <w:r>
        <w:rPr>
          <w:noProof/>
        </w:rPr>
        <w:drawing>
          <wp:inline distT="114300" distB="114300" distL="114300" distR="114300" wp14:anchorId="298C49DA" wp14:editId="5987DAF8">
            <wp:extent cx="4330262" cy="7893269"/>
            <wp:effectExtent l="0" t="0" r="635" b="0"/>
            <wp:docPr id="5" name="image3.png" descr="A table of numbers and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3.png" descr="A table of numbers and letters&#10;&#10;Description automatically generated"/>
                    <pic:cNvPicPr preferRelativeResize="0"/>
                  </pic:nvPicPr>
                  <pic:blipFill>
                    <a:blip r:embed="rId7"/>
                    <a:srcRect l="7308" t="5779" r="23421" b="5955"/>
                    <a:stretch>
                      <a:fillRect/>
                    </a:stretch>
                  </pic:blipFill>
                  <pic:spPr>
                    <a:xfrm>
                      <a:off x="0" y="0"/>
                      <a:ext cx="4360596" cy="7948563"/>
                    </a:xfrm>
                    <a:prstGeom prst="rect">
                      <a:avLst/>
                    </a:prstGeom>
                    <a:ln/>
                  </pic:spPr>
                </pic:pic>
              </a:graphicData>
            </a:graphic>
          </wp:inline>
        </w:drawing>
      </w:r>
    </w:p>
    <w:p w14:paraId="4B9640BC" w14:textId="514A255E" w:rsidR="00D06D8F" w:rsidRPr="00D06D8F" w:rsidRDefault="00D06D8F" w:rsidP="00D06D8F">
      <w:pPr>
        <w:pBdr>
          <w:top w:val="nil"/>
          <w:left w:val="nil"/>
          <w:bottom w:val="nil"/>
          <w:right w:val="nil"/>
          <w:between w:val="nil"/>
        </w:pBdr>
        <w:spacing w:after="200"/>
        <w:rPr>
          <w:color w:val="44546A"/>
          <w:sz w:val="20"/>
          <w:szCs w:val="20"/>
        </w:rPr>
      </w:pPr>
      <w:r>
        <w:rPr>
          <w:b/>
          <w:color w:val="44546A"/>
          <w:sz w:val="20"/>
          <w:szCs w:val="20"/>
          <w:u w:val="single"/>
        </w:rPr>
        <w:t>Supplementary Table 2.</w:t>
      </w:r>
      <w:r>
        <w:rPr>
          <w:color w:val="44546A"/>
          <w:sz w:val="20"/>
          <w:szCs w:val="20"/>
        </w:rPr>
        <w:t xml:space="preserve">Point mutation mechanisms of resistance to </w:t>
      </w:r>
      <w:r>
        <w:rPr>
          <w:i/>
          <w:color w:val="44546A"/>
          <w:sz w:val="20"/>
          <w:szCs w:val="20"/>
        </w:rPr>
        <w:t>EGFR</w:t>
      </w:r>
      <w:r>
        <w:rPr>
          <w:color w:val="44546A"/>
          <w:sz w:val="20"/>
          <w:szCs w:val="20"/>
        </w:rPr>
        <w:t xml:space="preserve"> TKIs were explored using ctDNA</w:t>
      </w:r>
    </w:p>
    <w:p w14:paraId="75531F30" w14:textId="7AB6A2F3" w:rsidR="00407E2A" w:rsidRDefault="00000000">
      <w:pPr>
        <w:pStyle w:val="Heading2"/>
      </w:pPr>
      <w:bookmarkStart w:id="11" w:name="_Toc189062900"/>
      <w:r>
        <w:lastRenderedPageBreak/>
        <w:t>HLA class I prediction results</w:t>
      </w:r>
      <w:bookmarkEnd w:id="11"/>
    </w:p>
    <w:tbl>
      <w:tblPr>
        <w:tblStyle w:val="a"/>
        <w:tblW w:w="3680" w:type="dxa"/>
        <w:tblLayout w:type="fixed"/>
        <w:tblLook w:val="0400" w:firstRow="0" w:lastRow="0" w:firstColumn="0" w:lastColumn="0" w:noHBand="0" w:noVBand="1"/>
      </w:tblPr>
      <w:tblGrid>
        <w:gridCol w:w="1280"/>
        <w:gridCol w:w="2400"/>
      </w:tblGrid>
      <w:tr w:rsidR="00407E2A" w14:paraId="3B99BABB" w14:textId="77777777">
        <w:trPr>
          <w:trHeight w:val="280"/>
        </w:trPr>
        <w:tc>
          <w:tcPr>
            <w:tcW w:w="128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0E0794A" w14:textId="77777777" w:rsidR="00407E2A" w:rsidRDefault="00000000">
            <w:pPr>
              <w:jc w:val="center"/>
              <w:rPr>
                <w:b/>
                <w:sz w:val="20"/>
                <w:szCs w:val="20"/>
              </w:rPr>
            </w:pPr>
            <w:r>
              <w:rPr>
                <w:b/>
                <w:sz w:val="20"/>
                <w:szCs w:val="20"/>
              </w:rPr>
              <w:t>HLA I</w:t>
            </w:r>
          </w:p>
        </w:tc>
        <w:tc>
          <w:tcPr>
            <w:tcW w:w="2400" w:type="dxa"/>
            <w:tcBorders>
              <w:top w:val="single" w:sz="8" w:space="0" w:color="000000"/>
              <w:left w:val="nil"/>
              <w:bottom w:val="single" w:sz="8" w:space="0" w:color="000000"/>
              <w:right w:val="single" w:sz="8" w:space="0" w:color="000000"/>
            </w:tcBorders>
            <w:shd w:val="clear" w:color="auto" w:fill="auto"/>
            <w:vAlign w:val="bottom"/>
          </w:tcPr>
          <w:p w14:paraId="0E99C14F" w14:textId="77777777" w:rsidR="00407E2A" w:rsidRDefault="00000000">
            <w:pPr>
              <w:jc w:val="center"/>
              <w:rPr>
                <w:b/>
                <w:sz w:val="20"/>
                <w:szCs w:val="20"/>
              </w:rPr>
            </w:pPr>
            <w:r>
              <w:rPr>
                <w:b/>
                <w:sz w:val="20"/>
                <w:szCs w:val="20"/>
              </w:rPr>
              <w:t>Predicted HLA Typing</w:t>
            </w:r>
          </w:p>
        </w:tc>
      </w:tr>
      <w:tr w:rsidR="00407E2A" w14:paraId="4DAD6C67" w14:textId="77777777">
        <w:trPr>
          <w:trHeight w:val="260"/>
        </w:trPr>
        <w:tc>
          <w:tcPr>
            <w:tcW w:w="1280" w:type="dxa"/>
            <w:vMerge w:val="restart"/>
            <w:tcBorders>
              <w:top w:val="nil"/>
              <w:left w:val="single" w:sz="8" w:space="0" w:color="000000"/>
              <w:bottom w:val="single" w:sz="4" w:space="0" w:color="000000"/>
              <w:right w:val="single" w:sz="8" w:space="0" w:color="000000"/>
            </w:tcBorders>
            <w:shd w:val="clear" w:color="auto" w:fill="auto"/>
            <w:vAlign w:val="center"/>
          </w:tcPr>
          <w:p w14:paraId="139D7945" w14:textId="77777777" w:rsidR="00407E2A" w:rsidRDefault="00000000">
            <w:pPr>
              <w:jc w:val="center"/>
              <w:rPr>
                <w:b/>
                <w:sz w:val="20"/>
                <w:szCs w:val="20"/>
              </w:rPr>
            </w:pPr>
            <w:r>
              <w:rPr>
                <w:b/>
                <w:sz w:val="20"/>
                <w:szCs w:val="20"/>
              </w:rPr>
              <w:t>A</w:t>
            </w:r>
          </w:p>
        </w:tc>
        <w:tc>
          <w:tcPr>
            <w:tcW w:w="2400" w:type="dxa"/>
            <w:tcBorders>
              <w:top w:val="nil"/>
              <w:left w:val="nil"/>
              <w:bottom w:val="single" w:sz="4" w:space="0" w:color="000000"/>
              <w:right w:val="single" w:sz="8" w:space="0" w:color="000000"/>
            </w:tcBorders>
            <w:shd w:val="clear" w:color="auto" w:fill="auto"/>
            <w:vAlign w:val="bottom"/>
          </w:tcPr>
          <w:p w14:paraId="1B41FDAC" w14:textId="77777777" w:rsidR="00407E2A" w:rsidRDefault="00000000">
            <w:pPr>
              <w:jc w:val="left"/>
              <w:rPr>
                <w:color w:val="000000"/>
                <w:sz w:val="20"/>
                <w:szCs w:val="20"/>
              </w:rPr>
            </w:pPr>
            <w:r>
              <w:rPr>
                <w:color w:val="000000"/>
                <w:sz w:val="20"/>
                <w:szCs w:val="20"/>
              </w:rPr>
              <w:t>HLA-A*23:01:01</w:t>
            </w:r>
          </w:p>
        </w:tc>
      </w:tr>
      <w:tr w:rsidR="00407E2A" w14:paraId="0831D3F5" w14:textId="77777777">
        <w:trPr>
          <w:trHeight w:val="260"/>
        </w:trPr>
        <w:tc>
          <w:tcPr>
            <w:tcW w:w="1280" w:type="dxa"/>
            <w:vMerge/>
            <w:tcBorders>
              <w:top w:val="nil"/>
              <w:left w:val="single" w:sz="8" w:space="0" w:color="000000"/>
              <w:bottom w:val="single" w:sz="4" w:space="0" w:color="000000"/>
              <w:right w:val="single" w:sz="8" w:space="0" w:color="000000"/>
            </w:tcBorders>
            <w:shd w:val="clear" w:color="auto" w:fill="auto"/>
            <w:vAlign w:val="center"/>
          </w:tcPr>
          <w:p w14:paraId="112478BF" w14:textId="77777777" w:rsidR="00407E2A" w:rsidRDefault="00407E2A">
            <w:pPr>
              <w:widowControl w:val="0"/>
              <w:pBdr>
                <w:top w:val="nil"/>
                <w:left w:val="nil"/>
                <w:bottom w:val="nil"/>
                <w:right w:val="nil"/>
                <w:between w:val="nil"/>
              </w:pBdr>
              <w:spacing w:line="276" w:lineRule="auto"/>
              <w:jc w:val="left"/>
              <w:rPr>
                <w:color w:val="000000"/>
                <w:sz w:val="20"/>
                <w:szCs w:val="20"/>
              </w:rPr>
            </w:pPr>
          </w:p>
        </w:tc>
        <w:tc>
          <w:tcPr>
            <w:tcW w:w="2400" w:type="dxa"/>
            <w:tcBorders>
              <w:top w:val="nil"/>
              <w:left w:val="nil"/>
              <w:bottom w:val="single" w:sz="4" w:space="0" w:color="000000"/>
              <w:right w:val="single" w:sz="8" w:space="0" w:color="000000"/>
            </w:tcBorders>
            <w:shd w:val="clear" w:color="auto" w:fill="auto"/>
            <w:vAlign w:val="bottom"/>
          </w:tcPr>
          <w:p w14:paraId="3F38FC3F" w14:textId="77777777" w:rsidR="00407E2A" w:rsidRDefault="00000000">
            <w:pPr>
              <w:jc w:val="left"/>
              <w:rPr>
                <w:color w:val="000000"/>
                <w:sz w:val="20"/>
                <w:szCs w:val="20"/>
              </w:rPr>
            </w:pPr>
            <w:r>
              <w:rPr>
                <w:color w:val="000000"/>
                <w:sz w:val="20"/>
                <w:szCs w:val="20"/>
              </w:rPr>
              <w:t>HLA-A*03:01:01:01</w:t>
            </w:r>
          </w:p>
        </w:tc>
      </w:tr>
      <w:tr w:rsidR="00407E2A" w14:paraId="282E25BB" w14:textId="77777777">
        <w:trPr>
          <w:trHeight w:val="260"/>
        </w:trPr>
        <w:tc>
          <w:tcPr>
            <w:tcW w:w="1280" w:type="dxa"/>
            <w:vMerge w:val="restart"/>
            <w:tcBorders>
              <w:top w:val="nil"/>
              <w:left w:val="single" w:sz="8" w:space="0" w:color="000000"/>
              <w:bottom w:val="single" w:sz="4" w:space="0" w:color="000000"/>
              <w:right w:val="single" w:sz="8" w:space="0" w:color="000000"/>
            </w:tcBorders>
            <w:shd w:val="clear" w:color="auto" w:fill="auto"/>
            <w:vAlign w:val="center"/>
          </w:tcPr>
          <w:p w14:paraId="7A9D1406" w14:textId="77777777" w:rsidR="00407E2A" w:rsidRDefault="00000000">
            <w:pPr>
              <w:jc w:val="center"/>
              <w:rPr>
                <w:b/>
                <w:sz w:val="20"/>
                <w:szCs w:val="20"/>
              </w:rPr>
            </w:pPr>
            <w:r>
              <w:rPr>
                <w:b/>
                <w:sz w:val="20"/>
                <w:szCs w:val="20"/>
              </w:rPr>
              <w:t>B</w:t>
            </w:r>
          </w:p>
        </w:tc>
        <w:tc>
          <w:tcPr>
            <w:tcW w:w="2400" w:type="dxa"/>
            <w:tcBorders>
              <w:top w:val="nil"/>
              <w:left w:val="nil"/>
              <w:bottom w:val="single" w:sz="4" w:space="0" w:color="000000"/>
              <w:right w:val="single" w:sz="8" w:space="0" w:color="000000"/>
            </w:tcBorders>
            <w:shd w:val="clear" w:color="auto" w:fill="auto"/>
            <w:vAlign w:val="bottom"/>
          </w:tcPr>
          <w:p w14:paraId="771628F5" w14:textId="77777777" w:rsidR="00407E2A" w:rsidRDefault="00000000">
            <w:pPr>
              <w:jc w:val="left"/>
              <w:rPr>
                <w:color w:val="000000"/>
                <w:sz w:val="20"/>
                <w:szCs w:val="20"/>
              </w:rPr>
            </w:pPr>
            <w:r>
              <w:rPr>
                <w:color w:val="000000"/>
                <w:sz w:val="20"/>
                <w:szCs w:val="20"/>
              </w:rPr>
              <w:t>HLA-B*44:03:01</w:t>
            </w:r>
          </w:p>
        </w:tc>
      </w:tr>
      <w:tr w:rsidR="00407E2A" w14:paraId="6210C495" w14:textId="77777777">
        <w:trPr>
          <w:trHeight w:val="260"/>
        </w:trPr>
        <w:tc>
          <w:tcPr>
            <w:tcW w:w="1280" w:type="dxa"/>
            <w:vMerge/>
            <w:tcBorders>
              <w:top w:val="nil"/>
              <w:left w:val="single" w:sz="8" w:space="0" w:color="000000"/>
              <w:bottom w:val="single" w:sz="4" w:space="0" w:color="000000"/>
              <w:right w:val="single" w:sz="8" w:space="0" w:color="000000"/>
            </w:tcBorders>
            <w:shd w:val="clear" w:color="auto" w:fill="auto"/>
            <w:vAlign w:val="center"/>
          </w:tcPr>
          <w:p w14:paraId="0D6A51FA" w14:textId="77777777" w:rsidR="00407E2A" w:rsidRDefault="00407E2A">
            <w:pPr>
              <w:widowControl w:val="0"/>
              <w:pBdr>
                <w:top w:val="nil"/>
                <w:left w:val="nil"/>
                <w:bottom w:val="nil"/>
                <w:right w:val="nil"/>
                <w:between w:val="nil"/>
              </w:pBdr>
              <w:spacing w:line="276" w:lineRule="auto"/>
              <w:jc w:val="left"/>
              <w:rPr>
                <w:color w:val="000000"/>
                <w:sz w:val="20"/>
                <w:szCs w:val="20"/>
              </w:rPr>
            </w:pPr>
          </w:p>
        </w:tc>
        <w:tc>
          <w:tcPr>
            <w:tcW w:w="2400" w:type="dxa"/>
            <w:tcBorders>
              <w:top w:val="nil"/>
              <w:left w:val="nil"/>
              <w:bottom w:val="single" w:sz="4" w:space="0" w:color="000000"/>
              <w:right w:val="single" w:sz="8" w:space="0" w:color="000000"/>
            </w:tcBorders>
            <w:shd w:val="clear" w:color="auto" w:fill="auto"/>
            <w:vAlign w:val="bottom"/>
          </w:tcPr>
          <w:p w14:paraId="42D78B88" w14:textId="77777777" w:rsidR="00407E2A" w:rsidRDefault="00000000">
            <w:pPr>
              <w:jc w:val="left"/>
              <w:rPr>
                <w:color w:val="000000"/>
                <w:sz w:val="20"/>
                <w:szCs w:val="20"/>
              </w:rPr>
            </w:pPr>
            <w:r>
              <w:rPr>
                <w:color w:val="000000"/>
                <w:sz w:val="20"/>
                <w:szCs w:val="20"/>
              </w:rPr>
              <w:t>HLA-B*07:02:01</w:t>
            </w:r>
          </w:p>
        </w:tc>
      </w:tr>
      <w:tr w:rsidR="00407E2A" w14:paraId="0F1252D1" w14:textId="77777777">
        <w:trPr>
          <w:trHeight w:val="260"/>
        </w:trPr>
        <w:tc>
          <w:tcPr>
            <w:tcW w:w="1280" w:type="dxa"/>
            <w:vMerge w:val="restart"/>
            <w:tcBorders>
              <w:top w:val="nil"/>
              <w:left w:val="single" w:sz="8" w:space="0" w:color="000000"/>
              <w:bottom w:val="single" w:sz="8" w:space="0" w:color="000000"/>
              <w:right w:val="single" w:sz="8" w:space="0" w:color="000000"/>
            </w:tcBorders>
            <w:shd w:val="clear" w:color="auto" w:fill="auto"/>
            <w:vAlign w:val="center"/>
          </w:tcPr>
          <w:p w14:paraId="385282B6" w14:textId="77777777" w:rsidR="00407E2A" w:rsidRDefault="00000000">
            <w:pPr>
              <w:jc w:val="center"/>
              <w:rPr>
                <w:b/>
                <w:sz w:val="20"/>
                <w:szCs w:val="20"/>
              </w:rPr>
            </w:pPr>
            <w:r>
              <w:rPr>
                <w:b/>
                <w:sz w:val="20"/>
                <w:szCs w:val="20"/>
              </w:rPr>
              <w:t>C</w:t>
            </w:r>
          </w:p>
        </w:tc>
        <w:tc>
          <w:tcPr>
            <w:tcW w:w="2400" w:type="dxa"/>
            <w:tcBorders>
              <w:top w:val="nil"/>
              <w:left w:val="nil"/>
              <w:bottom w:val="single" w:sz="4" w:space="0" w:color="000000"/>
              <w:right w:val="single" w:sz="8" w:space="0" w:color="000000"/>
            </w:tcBorders>
            <w:shd w:val="clear" w:color="auto" w:fill="auto"/>
            <w:vAlign w:val="bottom"/>
          </w:tcPr>
          <w:p w14:paraId="506D6040" w14:textId="77777777" w:rsidR="00407E2A" w:rsidRDefault="00000000">
            <w:pPr>
              <w:jc w:val="left"/>
              <w:rPr>
                <w:color w:val="000000"/>
                <w:sz w:val="20"/>
                <w:szCs w:val="20"/>
              </w:rPr>
            </w:pPr>
            <w:r>
              <w:rPr>
                <w:color w:val="000000"/>
                <w:sz w:val="20"/>
                <w:szCs w:val="20"/>
              </w:rPr>
              <w:t>HLA-C*07:02:01:03</w:t>
            </w:r>
          </w:p>
        </w:tc>
      </w:tr>
      <w:tr w:rsidR="00407E2A" w14:paraId="26B2FDB7" w14:textId="77777777">
        <w:trPr>
          <w:trHeight w:val="280"/>
        </w:trPr>
        <w:tc>
          <w:tcPr>
            <w:tcW w:w="1280" w:type="dxa"/>
            <w:vMerge/>
            <w:tcBorders>
              <w:top w:val="nil"/>
              <w:left w:val="single" w:sz="8" w:space="0" w:color="000000"/>
              <w:bottom w:val="single" w:sz="8" w:space="0" w:color="000000"/>
              <w:right w:val="single" w:sz="8" w:space="0" w:color="000000"/>
            </w:tcBorders>
            <w:shd w:val="clear" w:color="auto" w:fill="auto"/>
            <w:vAlign w:val="center"/>
          </w:tcPr>
          <w:p w14:paraId="4CFFCE0D" w14:textId="77777777" w:rsidR="00407E2A" w:rsidRDefault="00407E2A">
            <w:pPr>
              <w:widowControl w:val="0"/>
              <w:pBdr>
                <w:top w:val="nil"/>
                <w:left w:val="nil"/>
                <w:bottom w:val="nil"/>
                <w:right w:val="nil"/>
                <w:between w:val="nil"/>
              </w:pBdr>
              <w:spacing w:line="276" w:lineRule="auto"/>
              <w:jc w:val="left"/>
              <w:rPr>
                <w:color w:val="000000"/>
                <w:sz w:val="20"/>
                <w:szCs w:val="20"/>
              </w:rPr>
            </w:pPr>
          </w:p>
        </w:tc>
        <w:tc>
          <w:tcPr>
            <w:tcW w:w="2400" w:type="dxa"/>
            <w:tcBorders>
              <w:top w:val="nil"/>
              <w:left w:val="nil"/>
              <w:bottom w:val="single" w:sz="8" w:space="0" w:color="000000"/>
              <w:right w:val="single" w:sz="8" w:space="0" w:color="000000"/>
            </w:tcBorders>
            <w:shd w:val="clear" w:color="auto" w:fill="auto"/>
            <w:vAlign w:val="bottom"/>
          </w:tcPr>
          <w:p w14:paraId="0C90B66C" w14:textId="77777777" w:rsidR="00407E2A" w:rsidRDefault="00000000">
            <w:pPr>
              <w:jc w:val="left"/>
              <w:rPr>
                <w:color w:val="000000"/>
                <w:sz w:val="20"/>
                <w:szCs w:val="20"/>
              </w:rPr>
            </w:pPr>
            <w:r>
              <w:rPr>
                <w:color w:val="000000"/>
                <w:sz w:val="20"/>
                <w:szCs w:val="20"/>
              </w:rPr>
              <w:t>HLA-C*04:01:01:01</w:t>
            </w:r>
          </w:p>
        </w:tc>
      </w:tr>
    </w:tbl>
    <w:p w14:paraId="3BBC1CF6" w14:textId="6340A14C" w:rsidR="00407E2A" w:rsidRDefault="00000000">
      <w:pPr>
        <w:pBdr>
          <w:top w:val="nil"/>
          <w:left w:val="nil"/>
          <w:bottom w:val="nil"/>
          <w:right w:val="nil"/>
          <w:between w:val="nil"/>
        </w:pBdr>
        <w:spacing w:after="200"/>
        <w:rPr>
          <w:color w:val="44546A"/>
          <w:sz w:val="20"/>
          <w:szCs w:val="20"/>
        </w:rPr>
      </w:pPr>
      <w:r>
        <w:rPr>
          <w:b/>
          <w:color w:val="44546A"/>
          <w:sz w:val="20"/>
          <w:szCs w:val="20"/>
          <w:u w:val="single"/>
        </w:rPr>
        <w:t xml:space="preserve">Supplementary Table </w:t>
      </w:r>
      <w:r w:rsidR="00D06D8F">
        <w:rPr>
          <w:b/>
          <w:color w:val="44546A"/>
          <w:sz w:val="20"/>
          <w:szCs w:val="20"/>
          <w:u w:val="single"/>
        </w:rPr>
        <w:t>3</w:t>
      </w:r>
      <w:r>
        <w:rPr>
          <w:b/>
          <w:color w:val="44546A"/>
          <w:sz w:val="20"/>
          <w:szCs w:val="20"/>
          <w:u w:val="single"/>
        </w:rPr>
        <w:t>.</w:t>
      </w:r>
      <w:r>
        <w:rPr>
          <w:color w:val="44546A"/>
          <w:sz w:val="20"/>
          <w:szCs w:val="20"/>
        </w:rPr>
        <w:t xml:space="preserve"> Human Leukocyte Antigen (HLA) Class I prediction results</w:t>
      </w:r>
    </w:p>
    <w:p w14:paraId="19C72956" w14:textId="77777777" w:rsidR="00407E2A" w:rsidRDefault="00000000">
      <w:pPr>
        <w:pStyle w:val="Heading2"/>
      </w:pPr>
      <w:bookmarkStart w:id="12" w:name="_Toc189062901"/>
      <w:r>
        <w:t>Immune genes</w:t>
      </w:r>
      <w:bookmarkEnd w:id="12"/>
    </w:p>
    <w:p w14:paraId="08897B92" w14:textId="77777777" w:rsidR="00407E2A" w:rsidRDefault="00000000">
      <w:r>
        <w:t xml:space="preserve">Genomic mechanisms of immune evasion were explored in the genomic data using the gene list summarised in Supplementary Table 4. There were no variants identified in the whole exome sequencing data for all regions sequenced. </w:t>
      </w:r>
    </w:p>
    <w:p w14:paraId="1D5653C7" w14:textId="77777777" w:rsidR="00407E2A" w:rsidRDefault="00407E2A"/>
    <w:p w14:paraId="13D8B490" w14:textId="77777777" w:rsidR="00407E2A" w:rsidRDefault="00000000">
      <w:pPr>
        <w:rPr>
          <w:i/>
        </w:rPr>
      </w:pPr>
      <w:r>
        <w:rPr>
          <w:noProof/>
        </w:rPr>
        <w:drawing>
          <wp:inline distT="114300" distB="114300" distL="114300" distR="114300" wp14:anchorId="00C18E21" wp14:editId="1C76358C">
            <wp:extent cx="3609975" cy="224299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7308" t="5928" r="29734" b="66431"/>
                    <a:stretch>
                      <a:fillRect/>
                    </a:stretch>
                  </pic:blipFill>
                  <pic:spPr>
                    <a:xfrm>
                      <a:off x="0" y="0"/>
                      <a:ext cx="3609975" cy="2242995"/>
                    </a:xfrm>
                    <a:prstGeom prst="rect">
                      <a:avLst/>
                    </a:prstGeom>
                    <a:ln/>
                  </pic:spPr>
                </pic:pic>
              </a:graphicData>
            </a:graphic>
          </wp:inline>
        </w:drawing>
      </w:r>
    </w:p>
    <w:p w14:paraId="7B93C5C9" w14:textId="77777777" w:rsidR="00407E2A" w:rsidRDefault="00000000">
      <w:pPr>
        <w:pBdr>
          <w:top w:val="nil"/>
          <w:left w:val="nil"/>
          <w:bottom w:val="nil"/>
          <w:right w:val="nil"/>
          <w:between w:val="nil"/>
        </w:pBdr>
        <w:spacing w:after="200"/>
        <w:rPr>
          <w:color w:val="44546A"/>
          <w:sz w:val="20"/>
          <w:szCs w:val="20"/>
        </w:rPr>
      </w:pPr>
      <w:r>
        <w:rPr>
          <w:b/>
          <w:color w:val="44546A"/>
          <w:sz w:val="20"/>
          <w:szCs w:val="20"/>
          <w:u w:val="single"/>
        </w:rPr>
        <w:t>Supplementary Table 4.</w:t>
      </w:r>
      <w:r>
        <w:rPr>
          <w:color w:val="44546A"/>
          <w:sz w:val="20"/>
          <w:szCs w:val="20"/>
        </w:rPr>
        <w:t xml:space="preserve"> List of genes associated with immune evasion. </w:t>
      </w:r>
    </w:p>
    <w:p w14:paraId="6F17A92D" w14:textId="77777777" w:rsidR="00407E2A" w:rsidRDefault="00407E2A">
      <w:pPr>
        <w:pStyle w:val="Heading2"/>
        <w:rPr>
          <w:i/>
        </w:rPr>
      </w:pPr>
    </w:p>
    <w:p w14:paraId="79C2189B" w14:textId="77777777" w:rsidR="00407E2A" w:rsidRDefault="00000000">
      <w:pPr>
        <w:pStyle w:val="Heading2"/>
      </w:pPr>
      <w:bookmarkStart w:id="13" w:name="_Toc189062902"/>
      <w:r>
        <w:rPr>
          <w:i/>
        </w:rPr>
        <w:t xml:space="preserve">CXCL9 </w:t>
      </w:r>
      <w:r>
        <w:t>expression</w:t>
      </w:r>
      <w:bookmarkEnd w:id="13"/>
    </w:p>
    <w:p w14:paraId="2636FCDA" w14:textId="77777777" w:rsidR="00407E2A" w:rsidRDefault="00000000">
      <w:r>
        <w:rPr>
          <w:i/>
        </w:rPr>
        <w:t>CXCL9</w:t>
      </w:r>
      <w:r>
        <w:t xml:space="preserve"> expression was compared in the RUL metastasis, SCLC-transformed liver metastasis &amp; in the TRACERx 421 </w:t>
      </w:r>
      <w:r>
        <w:rPr>
          <w:i/>
        </w:rPr>
        <w:t>EGFR</w:t>
      </w:r>
      <w:r>
        <w:t>-mutant NSCLC cohort (54 regions in 23 patients)</w:t>
      </w:r>
    </w:p>
    <w:p w14:paraId="268F0B7E" w14:textId="77777777" w:rsidR="00407E2A" w:rsidRDefault="00407E2A"/>
    <w:p w14:paraId="58B8A183" w14:textId="77777777" w:rsidR="00407E2A" w:rsidRDefault="00000000">
      <w:pPr>
        <w:pBdr>
          <w:top w:val="nil"/>
          <w:left w:val="nil"/>
          <w:bottom w:val="nil"/>
          <w:right w:val="nil"/>
          <w:between w:val="nil"/>
        </w:pBdr>
        <w:spacing w:after="200"/>
        <w:rPr>
          <w:color w:val="44546A"/>
          <w:sz w:val="18"/>
          <w:szCs w:val="18"/>
        </w:rPr>
      </w:pPr>
      <w:r>
        <w:rPr>
          <w:noProof/>
          <w:color w:val="44546A"/>
          <w:sz w:val="18"/>
          <w:szCs w:val="18"/>
        </w:rPr>
        <w:drawing>
          <wp:inline distT="0" distB="0" distL="0" distR="0" wp14:anchorId="7DF1001E" wp14:editId="219E7673">
            <wp:extent cx="3003451" cy="72899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003451" cy="728993"/>
                    </a:xfrm>
                    <a:prstGeom prst="rect">
                      <a:avLst/>
                    </a:prstGeom>
                    <a:ln/>
                  </pic:spPr>
                </pic:pic>
              </a:graphicData>
            </a:graphic>
          </wp:inline>
        </w:drawing>
      </w:r>
    </w:p>
    <w:p w14:paraId="3E18F608" w14:textId="77777777" w:rsidR="00407E2A" w:rsidRDefault="00000000">
      <w:pPr>
        <w:pBdr>
          <w:top w:val="nil"/>
          <w:left w:val="nil"/>
          <w:bottom w:val="nil"/>
          <w:right w:val="nil"/>
          <w:between w:val="nil"/>
        </w:pBdr>
        <w:spacing w:after="200"/>
        <w:rPr>
          <w:b/>
          <w:color w:val="44546A"/>
          <w:sz w:val="20"/>
          <w:szCs w:val="20"/>
          <w:u w:val="single"/>
        </w:rPr>
      </w:pPr>
      <w:r>
        <w:rPr>
          <w:b/>
          <w:color w:val="44546A"/>
          <w:sz w:val="20"/>
          <w:szCs w:val="20"/>
          <w:u w:val="single"/>
        </w:rPr>
        <w:t>Supplementary Table 5.</w:t>
      </w:r>
      <w:r>
        <w:rPr>
          <w:color w:val="44546A"/>
          <w:sz w:val="20"/>
          <w:szCs w:val="20"/>
        </w:rPr>
        <w:t xml:space="preserve"> </w:t>
      </w:r>
      <w:r>
        <w:rPr>
          <w:i/>
          <w:color w:val="44546A"/>
          <w:sz w:val="20"/>
          <w:szCs w:val="20"/>
        </w:rPr>
        <w:t>CXCL9</w:t>
      </w:r>
      <w:r>
        <w:rPr>
          <w:color w:val="44546A"/>
          <w:sz w:val="20"/>
          <w:szCs w:val="20"/>
        </w:rPr>
        <w:t xml:space="preserve"> TPM in the RUL &amp; Liver metastases, as well as in the TRACERx 421 EGFR-mutant NSCLC cohort (54 regions in 23 patients)</w:t>
      </w:r>
      <w:r>
        <w:br w:type="page"/>
      </w:r>
    </w:p>
    <w:p w14:paraId="5EA369C5" w14:textId="77777777" w:rsidR="00407E2A" w:rsidRDefault="00000000">
      <w:pPr>
        <w:pStyle w:val="Heading1"/>
      </w:pPr>
      <w:bookmarkStart w:id="14" w:name="_Toc189062903"/>
      <w:r>
        <w:lastRenderedPageBreak/>
        <w:t>References</w:t>
      </w:r>
      <w:bookmarkEnd w:id="14"/>
    </w:p>
    <w:p w14:paraId="3E1D94BE" w14:textId="77777777" w:rsidR="00407E2A" w:rsidRDefault="00407E2A"/>
    <w:p w14:paraId="0FDFFF43" w14:textId="77777777" w:rsidR="00407E2A" w:rsidRDefault="00407E2A">
      <w:pPr>
        <w:tabs>
          <w:tab w:val="left" w:pos="480"/>
        </w:tabs>
      </w:pPr>
    </w:p>
    <w:p w14:paraId="1F5076B2" w14:textId="5D92E25C" w:rsidR="00407E2A" w:rsidRDefault="00000000">
      <w:pPr>
        <w:widowControl w:val="0"/>
        <w:pBdr>
          <w:top w:val="nil"/>
          <w:left w:val="nil"/>
          <w:bottom w:val="nil"/>
          <w:right w:val="nil"/>
          <w:between w:val="nil"/>
        </w:pBdr>
        <w:spacing w:before="220" w:line="480" w:lineRule="auto"/>
        <w:ind w:left="440" w:hanging="440"/>
        <w:jc w:val="left"/>
        <w:rPr>
          <w:color w:val="000000"/>
        </w:rPr>
      </w:pPr>
      <w:r>
        <w:t>5</w:t>
      </w:r>
      <w:r w:rsidR="00C90DCE">
        <w:t>5</w:t>
      </w:r>
      <w:r>
        <w:t>.</w:t>
      </w:r>
      <w:r>
        <w:rPr>
          <w:color w:val="000000"/>
        </w:rPr>
        <w:tab/>
      </w:r>
      <w:hyperlink r:id="rId10">
        <w:r w:rsidR="00407E2A">
          <w:rPr>
            <w:color w:val="000000"/>
          </w:rPr>
          <w:t xml:space="preserve">Miller, C. A. </w:t>
        </w:r>
      </w:hyperlink>
      <w:hyperlink r:id="rId11">
        <w:r w:rsidR="00407E2A">
          <w:rPr>
            <w:i/>
            <w:color w:val="000000"/>
          </w:rPr>
          <w:t>et al.</w:t>
        </w:r>
      </w:hyperlink>
      <w:hyperlink r:id="rId12">
        <w:r w:rsidR="00407E2A">
          <w:rPr>
            <w:color w:val="000000"/>
          </w:rPr>
          <w:t xml:space="preserve"> </w:t>
        </w:r>
        <w:proofErr w:type="spellStart"/>
        <w:r w:rsidR="00407E2A">
          <w:rPr>
            <w:color w:val="000000"/>
          </w:rPr>
          <w:t>SciClone</w:t>
        </w:r>
        <w:proofErr w:type="spellEnd"/>
        <w:r w:rsidR="00407E2A">
          <w:rPr>
            <w:color w:val="000000"/>
          </w:rPr>
          <w:t xml:space="preserve">: inferring clonal architecture and tracking the spatial and temporal patterns of </w:t>
        </w:r>
        <w:proofErr w:type="spellStart"/>
        <w:r w:rsidR="00407E2A">
          <w:rPr>
            <w:color w:val="000000"/>
          </w:rPr>
          <w:t>tumor</w:t>
        </w:r>
        <w:proofErr w:type="spellEnd"/>
        <w:r w:rsidR="00407E2A">
          <w:rPr>
            <w:color w:val="000000"/>
          </w:rPr>
          <w:t xml:space="preserve"> evolution. </w:t>
        </w:r>
      </w:hyperlink>
      <w:hyperlink r:id="rId13">
        <w:proofErr w:type="spellStart"/>
        <w:r w:rsidR="00407E2A">
          <w:rPr>
            <w:i/>
            <w:color w:val="000000"/>
          </w:rPr>
          <w:t>PLoS</w:t>
        </w:r>
        <w:proofErr w:type="spellEnd"/>
        <w:r w:rsidR="00407E2A">
          <w:rPr>
            <w:i/>
            <w:color w:val="000000"/>
          </w:rPr>
          <w:t xml:space="preserve"> </w:t>
        </w:r>
        <w:proofErr w:type="spellStart"/>
        <w:r w:rsidR="00407E2A">
          <w:rPr>
            <w:i/>
            <w:color w:val="000000"/>
          </w:rPr>
          <w:t>Comput</w:t>
        </w:r>
        <w:proofErr w:type="spellEnd"/>
        <w:r w:rsidR="00407E2A">
          <w:rPr>
            <w:i/>
            <w:color w:val="000000"/>
          </w:rPr>
          <w:t>. Biol.</w:t>
        </w:r>
      </w:hyperlink>
      <w:hyperlink r:id="rId14">
        <w:r w:rsidR="00407E2A">
          <w:rPr>
            <w:color w:val="000000"/>
          </w:rPr>
          <w:t xml:space="preserve"> </w:t>
        </w:r>
      </w:hyperlink>
      <w:hyperlink r:id="rId15">
        <w:r w:rsidR="00407E2A">
          <w:rPr>
            <w:b/>
            <w:color w:val="000000"/>
          </w:rPr>
          <w:t>10</w:t>
        </w:r>
      </w:hyperlink>
      <w:hyperlink r:id="rId16">
        <w:r w:rsidR="00407E2A">
          <w:rPr>
            <w:color w:val="000000"/>
          </w:rPr>
          <w:t>, e1003665 (2014).</w:t>
        </w:r>
      </w:hyperlink>
    </w:p>
    <w:p w14:paraId="6CE65DD5" w14:textId="735C5462" w:rsidR="00407E2A" w:rsidRDefault="00000000">
      <w:pPr>
        <w:widowControl w:val="0"/>
        <w:pBdr>
          <w:top w:val="nil"/>
          <w:left w:val="nil"/>
          <w:bottom w:val="nil"/>
          <w:right w:val="nil"/>
          <w:between w:val="nil"/>
        </w:pBdr>
        <w:spacing w:line="480" w:lineRule="auto"/>
        <w:ind w:left="440" w:hanging="440"/>
        <w:jc w:val="left"/>
        <w:rPr>
          <w:color w:val="000000"/>
        </w:rPr>
      </w:pPr>
      <w:r>
        <w:t>5</w:t>
      </w:r>
      <w:r w:rsidR="00C90DCE">
        <w:t>6</w:t>
      </w:r>
      <w:r>
        <w:t>.</w:t>
      </w:r>
      <w:r>
        <w:rPr>
          <w:color w:val="000000"/>
        </w:rPr>
        <w:tab/>
      </w:r>
      <w:hyperlink r:id="rId17">
        <w:r w:rsidR="00407E2A">
          <w:rPr>
            <w:color w:val="000000"/>
          </w:rPr>
          <w:t xml:space="preserve">Schwarz, R. F. </w:t>
        </w:r>
      </w:hyperlink>
      <w:hyperlink r:id="rId18">
        <w:r w:rsidR="00407E2A">
          <w:rPr>
            <w:i/>
            <w:color w:val="000000"/>
          </w:rPr>
          <w:t>et al.</w:t>
        </w:r>
      </w:hyperlink>
      <w:hyperlink r:id="rId19">
        <w:r w:rsidR="00407E2A">
          <w:rPr>
            <w:color w:val="000000"/>
          </w:rPr>
          <w:t xml:space="preserve"> Phylogenetic quantification of intra-tumour heterogeneity. </w:t>
        </w:r>
      </w:hyperlink>
      <w:hyperlink r:id="rId20">
        <w:proofErr w:type="spellStart"/>
        <w:r w:rsidR="00407E2A">
          <w:rPr>
            <w:i/>
            <w:color w:val="000000"/>
          </w:rPr>
          <w:t>PLoS</w:t>
        </w:r>
        <w:proofErr w:type="spellEnd"/>
        <w:r w:rsidR="00407E2A">
          <w:rPr>
            <w:i/>
            <w:color w:val="000000"/>
          </w:rPr>
          <w:t xml:space="preserve"> </w:t>
        </w:r>
        <w:proofErr w:type="spellStart"/>
        <w:r w:rsidR="00407E2A">
          <w:rPr>
            <w:i/>
            <w:color w:val="000000"/>
          </w:rPr>
          <w:t>Comput</w:t>
        </w:r>
        <w:proofErr w:type="spellEnd"/>
        <w:r w:rsidR="00407E2A">
          <w:rPr>
            <w:i/>
            <w:color w:val="000000"/>
          </w:rPr>
          <w:t>. Biol.</w:t>
        </w:r>
      </w:hyperlink>
      <w:hyperlink r:id="rId21">
        <w:r w:rsidR="00407E2A">
          <w:rPr>
            <w:color w:val="000000"/>
          </w:rPr>
          <w:t xml:space="preserve"> </w:t>
        </w:r>
      </w:hyperlink>
      <w:hyperlink r:id="rId22">
        <w:r w:rsidR="00407E2A">
          <w:rPr>
            <w:b/>
            <w:color w:val="000000"/>
          </w:rPr>
          <w:t>10</w:t>
        </w:r>
      </w:hyperlink>
      <w:hyperlink r:id="rId23">
        <w:r w:rsidR="00407E2A">
          <w:rPr>
            <w:color w:val="000000"/>
          </w:rPr>
          <w:t>, e1003535 (2014).</w:t>
        </w:r>
      </w:hyperlink>
    </w:p>
    <w:p w14:paraId="5CAAA60B" w14:textId="77661239" w:rsidR="00407E2A" w:rsidRDefault="00E6514E">
      <w:pPr>
        <w:widowControl w:val="0"/>
        <w:pBdr>
          <w:top w:val="nil"/>
          <w:left w:val="nil"/>
          <w:bottom w:val="nil"/>
          <w:right w:val="nil"/>
          <w:between w:val="nil"/>
        </w:pBdr>
        <w:spacing w:after="220" w:line="480" w:lineRule="auto"/>
        <w:ind w:left="440" w:hanging="440"/>
        <w:jc w:val="left"/>
        <w:rPr>
          <w:color w:val="000000"/>
        </w:rPr>
      </w:pPr>
      <w:r>
        <w:t>5</w:t>
      </w:r>
      <w:r w:rsidR="00C90DCE">
        <w:t>7</w:t>
      </w:r>
      <w:r>
        <w:t>.</w:t>
      </w:r>
      <w:r>
        <w:rPr>
          <w:color w:val="000000"/>
        </w:rPr>
        <w:tab/>
      </w:r>
      <w:hyperlink r:id="rId24">
        <w:r>
          <w:rPr>
            <w:color w:val="000000"/>
          </w:rPr>
          <w:t xml:space="preserve">Kaufmann, T. L. </w:t>
        </w:r>
      </w:hyperlink>
      <w:hyperlink r:id="rId25">
        <w:r>
          <w:rPr>
            <w:i/>
            <w:color w:val="000000"/>
          </w:rPr>
          <w:t>et al.</w:t>
        </w:r>
      </w:hyperlink>
      <w:hyperlink r:id="rId26">
        <w:r>
          <w:rPr>
            <w:color w:val="000000"/>
          </w:rPr>
          <w:t xml:space="preserve"> MEDICC2: whole-genome doubling aware copy-number phylogenies for cancer evolution. </w:t>
        </w:r>
      </w:hyperlink>
      <w:hyperlink r:id="rId27">
        <w:r>
          <w:rPr>
            <w:i/>
            <w:color w:val="000000"/>
          </w:rPr>
          <w:t>Genome Biol.</w:t>
        </w:r>
      </w:hyperlink>
      <w:hyperlink r:id="rId28">
        <w:r>
          <w:rPr>
            <w:color w:val="000000"/>
          </w:rPr>
          <w:t xml:space="preserve"> </w:t>
        </w:r>
      </w:hyperlink>
      <w:hyperlink r:id="rId29">
        <w:r>
          <w:rPr>
            <w:b/>
            <w:color w:val="000000"/>
          </w:rPr>
          <w:t>23</w:t>
        </w:r>
      </w:hyperlink>
      <w:hyperlink r:id="rId30">
        <w:r>
          <w:rPr>
            <w:color w:val="000000"/>
          </w:rPr>
          <w:t>, 241 (2022).</w:t>
        </w:r>
      </w:hyperlink>
    </w:p>
    <w:p w14:paraId="19B0E2F8" w14:textId="77777777" w:rsidR="00407E2A" w:rsidRDefault="00407E2A">
      <w:pPr>
        <w:widowControl w:val="0"/>
        <w:pBdr>
          <w:top w:val="nil"/>
          <w:left w:val="nil"/>
          <w:bottom w:val="nil"/>
          <w:right w:val="nil"/>
          <w:between w:val="nil"/>
        </w:pBdr>
        <w:spacing w:line="276" w:lineRule="auto"/>
        <w:jc w:val="left"/>
      </w:pPr>
    </w:p>
    <w:sectPr w:rsidR="00407E2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2A"/>
    <w:rsid w:val="001C2534"/>
    <w:rsid w:val="002D21B0"/>
    <w:rsid w:val="00407E2A"/>
    <w:rsid w:val="005A711D"/>
    <w:rsid w:val="007F3038"/>
    <w:rsid w:val="00C90DCE"/>
    <w:rsid w:val="00D06D8F"/>
    <w:rsid w:val="00DD6E47"/>
    <w:rsid w:val="00E6514E"/>
    <w:rsid w:val="00E8104D"/>
    <w:rsid w:val="00F81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350CA2"/>
  <w15:docId w15:val="{CC13D253-6659-5B4F-8378-AB0377CC8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TOC1">
    <w:name w:val="toc 1"/>
    <w:basedOn w:val="Normal"/>
    <w:next w:val="Normal"/>
    <w:autoRedefine/>
    <w:uiPriority w:val="39"/>
    <w:unhideWhenUsed/>
    <w:rsid w:val="002D21B0"/>
    <w:pPr>
      <w:spacing w:after="100"/>
    </w:pPr>
  </w:style>
  <w:style w:type="paragraph" w:styleId="TOC2">
    <w:name w:val="toc 2"/>
    <w:basedOn w:val="Normal"/>
    <w:next w:val="Normal"/>
    <w:autoRedefine/>
    <w:uiPriority w:val="39"/>
    <w:unhideWhenUsed/>
    <w:rsid w:val="002D21B0"/>
    <w:pPr>
      <w:spacing w:after="100"/>
      <w:ind w:left="220"/>
    </w:pPr>
  </w:style>
  <w:style w:type="paragraph" w:styleId="TOC3">
    <w:name w:val="toc 3"/>
    <w:basedOn w:val="Normal"/>
    <w:next w:val="Normal"/>
    <w:autoRedefine/>
    <w:uiPriority w:val="39"/>
    <w:unhideWhenUsed/>
    <w:rsid w:val="002D21B0"/>
    <w:pPr>
      <w:spacing w:after="100"/>
      <w:ind w:left="440"/>
    </w:pPr>
  </w:style>
  <w:style w:type="character" w:styleId="Hyperlink">
    <w:name w:val="Hyperlink"/>
    <w:basedOn w:val="DefaultParagraphFont"/>
    <w:uiPriority w:val="99"/>
    <w:unhideWhenUsed/>
    <w:rsid w:val="002D21B0"/>
    <w:rPr>
      <w:color w:val="0000FF" w:themeColor="hyperlink"/>
      <w:u w:val="single"/>
    </w:rPr>
  </w:style>
  <w:style w:type="paragraph" w:styleId="Revision">
    <w:name w:val="Revision"/>
    <w:hidden/>
    <w:uiPriority w:val="99"/>
    <w:semiHidden/>
    <w:rsid w:val="00E8104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paperpile.com/b/JMPLip/BrQc" TargetMode="External"/><Relationship Id="rId18" Type="http://schemas.openxmlformats.org/officeDocument/2006/relationships/hyperlink" Target="http://paperpile.com/b/JMPLip/j9nC" TargetMode="External"/><Relationship Id="rId26" Type="http://schemas.openxmlformats.org/officeDocument/2006/relationships/hyperlink" Target="http://paperpile.com/b/JMPLip/ynqr" TargetMode="External"/><Relationship Id="rId3" Type="http://schemas.openxmlformats.org/officeDocument/2006/relationships/webSettings" Target="webSettings.xml"/><Relationship Id="rId21" Type="http://schemas.openxmlformats.org/officeDocument/2006/relationships/hyperlink" Target="http://paperpile.com/b/JMPLip/j9nC" TargetMode="External"/><Relationship Id="rId7" Type="http://schemas.openxmlformats.org/officeDocument/2006/relationships/image" Target="media/image4.png"/><Relationship Id="rId12" Type="http://schemas.openxmlformats.org/officeDocument/2006/relationships/hyperlink" Target="http://paperpile.com/b/JMPLip/BrQc" TargetMode="External"/><Relationship Id="rId17" Type="http://schemas.openxmlformats.org/officeDocument/2006/relationships/hyperlink" Target="http://paperpile.com/b/JMPLip/j9nC" TargetMode="External"/><Relationship Id="rId25" Type="http://schemas.openxmlformats.org/officeDocument/2006/relationships/hyperlink" Target="http://paperpile.com/b/JMPLip/ynqr" TargetMode="External"/><Relationship Id="rId2" Type="http://schemas.openxmlformats.org/officeDocument/2006/relationships/settings" Target="settings.xml"/><Relationship Id="rId16" Type="http://schemas.openxmlformats.org/officeDocument/2006/relationships/hyperlink" Target="http://paperpile.com/b/JMPLip/BrQc" TargetMode="External"/><Relationship Id="rId20" Type="http://schemas.openxmlformats.org/officeDocument/2006/relationships/hyperlink" Target="http://paperpile.com/b/JMPLip/j9nC" TargetMode="External"/><Relationship Id="rId29" Type="http://schemas.openxmlformats.org/officeDocument/2006/relationships/hyperlink" Target="http://paperpile.com/b/JMPLip/ynqr"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paperpile.com/b/JMPLip/BrQc" TargetMode="External"/><Relationship Id="rId24" Type="http://schemas.openxmlformats.org/officeDocument/2006/relationships/hyperlink" Target="http://paperpile.com/b/JMPLip/ynqr" TargetMode="External"/><Relationship Id="rId32"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http://paperpile.com/b/JMPLip/BrQc" TargetMode="External"/><Relationship Id="rId23" Type="http://schemas.openxmlformats.org/officeDocument/2006/relationships/hyperlink" Target="http://paperpile.com/b/JMPLip/j9nC" TargetMode="External"/><Relationship Id="rId28" Type="http://schemas.openxmlformats.org/officeDocument/2006/relationships/hyperlink" Target="http://paperpile.com/b/JMPLip/ynqr" TargetMode="External"/><Relationship Id="rId10" Type="http://schemas.openxmlformats.org/officeDocument/2006/relationships/hyperlink" Target="http://paperpile.com/b/JMPLip/BrQc" TargetMode="External"/><Relationship Id="rId19" Type="http://schemas.openxmlformats.org/officeDocument/2006/relationships/hyperlink" Target="http://paperpile.com/b/JMPLip/j9nC"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paperpile.com/b/JMPLip/BrQc" TargetMode="External"/><Relationship Id="rId22" Type="http://schemas.openxmlformats.org/officeDocument/2006/relationships/hyperlink" Target="http://paperpile.com/b/JMPLip/j9nC" TargetMode="External"/><Relationship Id="rId27" Type="http://schemas.openxmlformats.org/officeDocument/2006/relationships/hyperlink" Target="http://paperpile.com/b/JMPLip/ynqr" TargetMode="External"/><Relationship Id="rId30" Type="http://schemas.openxmlformats.org/officeDocument/2006/relationships/hyperlink" Target="http://paperpile.com/b/JMPLip/ynq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1044</Words>
  <Characters>5956</Characters>
  <Application>Microsoft Office Word</Application>
  <DocSecurity>0</DocSecurity>
  <Lines>49</Lines>
  <Paragraphs>13</Paragraphs>
  <ScaleCrop>false</ScaleCrop>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Gribbin</cp:lastModifiedBy>
  <cp:revision>2</cp:revision>
  <dcterms:created xsi:type="dcterms:W3CDTF">2025-02-14T10:59:00Z</dcterms:created>
  <dcterms:modified xsi:type="dcterms:W3CDTF">2025-02-14T10:59:00Z</dcterms:modified>
</cp:coreProperties>
</file>